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3.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6.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7.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ABD3F" w14:textId="6B323A76" w:rsidR="00510335" w:rsidRDefault="00510335" w:rsidP="004D4361">
      <w:pPr>
        <w:spacing w:line="360" w:lineRule="auto"/>
        <w:jc w:val="center"/>
        <w:rPr>
          <w:rFonts w:cstheme="minorHAnsi"/>
          <w:b/>
          <w:bCs/>
          <w:sz w:val="24"/>
          <w:szCs w:val="24"/>
          <w:lang w:val="tr-TR"/>
        </w:rPr>
      </w:pPr>
    </w:p>
    <w:p w14:paraId="28F60E50" w14:textId="77777777" w:rsidR="00510335" w:rsidRDefault="00510335" w:rsidP="004D4361">
      <w:pPr>
        <w:spacing w:line="360" w:lineRule="auto"/>
        <w:jc w:val="center"/>
        <w:rPr>
          <w:rFonts w:cstheme="minorHAnsi"/>
          <w:b/>
          <w:bCs/>
          <w:sz w:val="24"/>
          <w:szCs w:val="24"/>
          <w:lang w:val="tr-TR"/>
        </w:rPr>
      </w:pPr>
    </w:p>
    <w:p w14:paraId="64BCDFE4" w14:textId="3EBB504B" w:rsidR="00510335" w:rsidRDefault="00B075A6" w:rsidP="004D4361">
      <w:pPr>
        <w:spacing w:line="360" w:lineRule="auto"/>
        <w:jc w:val="center"/>
        <w:rPr>
          <w:rFonts w:cstheme="minorHAnsi"/>
          <w:b/>
          <w:bCs/>
          <w:sz w:val="24"/>
          <w:szCs w:val="24"/>
          <w:lang w:val="tr-TR"/>
        </w:rPr>
      </w:pPr>
      <w:r w:rsidRPr="00B075A6">
        <w:rPr>
          <w:rFonts w:cstheme="minorHAnsi"/>
          <w:b/>
          <w:bCs/>
          <w:noProof/>
          <w:sz w:val="24"/>
          <w:szCs w:val="24"/>
        </w:rPr>
        <w:drawing>
          <wp:anchor distT="0" distB="0" distL="114300" distR="114300" simplePos="0" relativeHeight="251659281" behindDoc="1" locked="0" layoutInCell="1" allowOverlap="1" wp14:anchorId="640B1F9E" wp14:editId="33041D6C">
            <wp:simplePos x="0" y="0"/>
            <wp:positionH relativeFrom="margin">
              <wp:align>center</wp:align>
            </wp:positionH>
            <wp:positionV relativeFrom="paragraph">
              <wp:posOffset>4462765</wp:posOffset>
            </wp:positionV>
            <wp:extent cx="4560495" cy="1655625"/>
            <wp:effectExtent l="0" t="0" r="0" b="0"/>
            <wp:wrapNone/>
            <wp:docPr id="6" name="Picture 5" descr="C:\Users\Baris\Desktop\APLUS-KURUMSAL\Logo\KIT\aplus-logo-b.png">
              <a:extLst xmlns:a="http://schemas.openxmlformats.org/drawingml/2006/main">
                <a:ext uri="{FF2B5EF4-FFF2-40B4-BE49-F238E27FC236}">
                  <a16:creationId xmlns:a16="http://schemas.microsoft.com/office/drawing/2014/main" id="{2B7621A7-9AA4-43F8-AE81-872E8768C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Baris\Desktop\APLUS-KURUMSAL\Logo\KIT\aplus-logo-b.png">
                      <a:extLst>
                        <a:ext uri="{FF2B5EF4-FFF2-40B4-BE49-F238E27FC236}">
                          <a16:creationId xmlns:a16="http://schemas.microsoft.com/office/drawing/2014/main" id="{2B7621A7-9AA4-43F8-AE81-872E8768C2B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0495" cy="1655625"/>
                    </a:xfrm>
                    <a:prstGeom prst="rect">
                      <a:avLst/>
                    </a:prstGeom>
                    <a:noFill/>
                  </pic:spPr>
                </pic:pic>
              </a:graphicData>
            </a:graphic>
          </wp:anchor>
        </w:drawing>
      </w:r>
      <w:r>
        <w:rPr>
          <w:rFonts w:cstheme="minorHAnsi"/>
          <w:b/>
          <w:bCs/>
          <w:noProof/>
          <w:sz w:val="24"/>
          <w:szCs w:val="24"/>
          <w:lang w:val="tr-TR"/>
        </w:rPr>
        <w:drawing>
          <wp:inline distT="0" distB="0" distL="0" distR="0" wp14:anchorId="250C6A1A" wp14:editId="040D5078">
            <wp:extent cx="5943600" cy="4524500"/>
            <wp:effectExtent l="0" t="0" r="0" b="9525"/>
            <wp:docPr id="259881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1307"/>
                    <a:stretch/>
                  </pic:blipFill>
                  <pic:spPr bwMode="auto">
                    <a:xfrm>
                      <a:off x="0" y="0"/>
                      <a:ext cx="5943600" cy="4524500"/>
                    </a:xfrm>
                    <a:prstGeom prst="rect">
                      <a:avLst/>
                    </a:prstGeom>
                    <a:noFill/>
                    <a:ln>
                      <a:noFill/>
                    </a:ln>
                    <a:extLst>
                      <a:ext uri="{53640926-AAD7-44D8-BBD7-CCE9431645EC}">
                        <a14:shadowObscured xmlns:a14="http://schemas.microsoft.com/office/drawing/2010/main"/>
                      </a:ext>
                    </a:extLst>
                  </pic:spPr>
                </pic:pic>
              </a:graphicData>
            </a:graphic>
          </wp:inline>
        </w:drawing>
      </w:r>
    </w:p>
    <w:p w14:paraId="64A93B47" w14:textId="77777777" w:rsidR="00510335" w:rsidRDefault="00510335" w:rsidP="004D4361">
      <w:pPr>
        <w:spacing w:line="360" w:lineRule="auto"/>
        <w:jc w:val="center"/>
        <w:rPr>
          <w:rFonts w:cstheme="minorHAnsi"/>
          <w:b/>
          <w:bCs/>
          <w:sz w:val="24"/>
          <w:szCs w:val="24"/>
          <w:lang w:val="tr-TR"/>
        </w:rPr>
      </w:pPr>
    </w:p>
    <w:p w14:paraId="79CB3421" w14:textId="341486B6" w:rsidR="00B075A6" w:rsidRDefault="00B075A6" w:rsidP="00B075A6">
      <w:pPr>
        <w:spacing w:line="360" w:lineRule="auto"/>
        <w:jc w:val="center"/>
        <w:rPr>
          <w:rFonts w:cstheme="minorHAnsi"/>
          <w:b/>
          <w:bCs/>
          <w:sz w:val="24"/>
          <w:szCs w:val="24"/>
          <w:lang w:val="tr-TR"/>
        </w:rPr>
      </w:pPr>
    </w:p>
    <w:p w14:paraId="4DDFAB66" w14:textId="77777777" w:rsidR="00B075A6" w:rsidRDefault="00B075A6" w:rsidP="00B075A6">
      <w:pPr>
        <w:spacing w:line="360" w:lineRule="auto"/>
        <w:jc w:val="center"/>
        <w:rPr>
          <w:rFonts w:cstheme="minorHAnsi"/>
          <w:b/>
          <w:bCs/>
          <w:sz w:val="24"/>
          <w:szCs w:val="24"/>
          <w:lang w:val="tr-TR"/>
        </w:rPr>
      </w:pPr>
    </w:p>
    <w:p w14:paraId="557442F1" w14:textId="77777777" w:rsidR="00A447BE" w:rsidRDefault="00A447BE" w:rsidP="00B075A6">
      <w:pPr>
        <w:spacing w:line="360" w:lineRule="auto"/>
        <w:jc w:val="center"/>
        <w:rPr>
          <w:rFonts w:cstheme="minorHAnsi"/>
          <w:b/>
          <w:bCs/>
          <w:sz w:val="24"/>
          <w:szCs w:val="24"/>
          <w:lang w:val="tr-TR"/>
        </w:rPr>
      </w:pPr>
      <w:r w:rsidRPr="00A447BE">
        <w:rPr>
          <w:rFonts w:cstheme="minorHAnsi"/>
          <w:b/>
          <w:bCs/>
          <w:sz w:val="24"/>
          <w:szCs w:val="24"/>
          <w:lang w:val="tr-TR"/>
        </w:rPr>
        <w:t>Türkiye Elektrik Piyasasında Kapasite Mekanizması ve Yerli Kömür Santrallerinin Mekanizma İçindeki Yeri</w:t>
      </w:r>
    </w:p>
    <w:p w14:paraId="77723A88" w14:textId="6EAFAC9C" w:rsidR="00646960" w:rsidRPr="00CF336B" w:rsidRDefault="00646960" w:rsidP="00B075A6">
      <w:pPr>
        <w:spacing w:line="360" w:lineRule="auto"/>
        <w:jc w:val="center"/>
        <w:rPr>
          <w:rFonts w:cstheme="minorHAnsi"/>
          <w:b/>
          <w:bCs/>
          <w:sz w:val="24"/>
          <w:szCs w:val="24"/>
          <w:lang w:val="tr-TR"/>
        </w:rPr>
      </w:pPr>
    </w:p>
    <w:p w14:paraId="58ACD288" w14:textId="424C1DC9" w:rsidR="00413DBB" w:rsidRPr="00CF336B" w:rsidRDefault="004E3D0E" w:rsidP="009C4C8B">
      <w:pPr>
        <w:spacing w:line="360" w:lineRule="auto"/>
        <w:jc w:val="center"/>
        <w:rPr>
          <w:rFonts w:cstheme="minorHAnsi"/>
          <w:b/>
          <w:bCs/>
          <w:sz w:val="24"/>
          <w:szCs w:val="24"/>
          <w:lang w:val="tr-TR"/>
        </w:rPr>
      </w:pPr>
      <w:r>
        <w:rPr>
          <w:rFonts w:cstheme="minorHAnsi"/>
          <w:b/>
          <w:bCs/>
          <w:sz w:val="24"/>
          <w:szCs w:val="24"/>
          <w:lang w:val="tr-TR"/>
        </w:rPr>
        <w:t>Ocak 2024</w:t>
      </w:r>
      <w:r w:rsidR="00413DBB" w:rsidRPr="00CF336B">
        <w:rPr>
          <w:rFonts w:cstheme="minorHAnsi"/>
          <w:b/>
          <w:bCs/>
          <w:sz w:val="24"/>
          <w:szCs w:val="24"/>
          <w:lang w:val="tr-TR"/>
        </w:rPr>
        <w:br w:type="page"/>
      </w:r>
    </w:p>
    <w:p w14:paraId="23D02B98" w14:textId="5BC371E1" w:rsidR="00646960" w:rsidRPr="00CF336B" w:rsidRDefault="00646960" w:rsidP="004D4361">
      <w:pPr>
        <w:pStyle w:val="Heading1"/>
        <w:spacing w:line="360" w:lineRule="auto"/>
        <w:rPr>
          <w:lang w:val="tr-TR"/>
        </w:rPr>
      </w:pPr>
      <w:bookmarkStart w:id="0" w:name="_Toc156210429"/>
      <w:r w:rsidRPr="00CF336B">
        <w:rPr>
          <w:lang w:val="tr-TR"/>
        </w:rPr>
        <w:lastRenderedPageBreak/>
        <w:t>İçindekiler</w:t>
      </w:r>
      <w:bookmarkEnd w:id="0"/>
    </w:p>
    <w:sdt>
      <w:sdtPr>
        <w:rPr>
          <w:rFonts w:asciiTheme="minorHAnsi" w:eastAsiaTheme="minorHAnsi" w:hAnsiTheme="minorHAnsi" w:cstheme="minorBidi"/>
          <w:color w:val="auto"/>
          <w:kern w:val="2"/>
          <w:sz w:val="22"/>
          <w:szCs w:val="22"/>
          <w:lang w:val="tr-TR"/>
          <w14:ligatures w14:val="standardContextual"/>
        </w:rPr>
        <w:id w:val="1982888718"/>
        <w:docPartObj>
          <w:docPartGallery w:val="Table of Contents"/>
          <w:docPartUnique/>
        </w:docPartObj>
      </w:sdtPr>
      <w:sdtEndPr>
        <w:rPr>
          <w:b/>
          <w:bCs/>
          <w:noProof/>
        </w:rPr>
      </w:sdtEndPr>
      <w:sdtContent>
        <w:p w14:paraId="31B95922" w14:textId="73F4ADDC" w:rsidR="00646960" w:rsidRPr="00CF336B" w:rsidRDefault="00646960" w:rsidP="004D4361">
          <w:pPr>
            <w:pStyle w:val="TOCHeading"/>
            <w:spacing w:line="360" w:lineRule="auto"/>
            <w:rPr>
              <w:rStyle w:val="Heading1Char"/>
              <w:b w:val="0"/>
              <w:color w:val="auto"/>
              <w:kern w:val="2"/>
              <w:lang w:val="tr-TR"/>
              <w14:ligatures w14:val="standardContextual"/>
            </w:rPr>
          </w:pPr>
        </w:p>
        <w:p w14:paraId="78F8CCEF" w14:textId="42E6068C" w:rsidR="002C31AC" w:rsidRDefault="00646960">
          <w:pPr>
            <w:pStyle w:val="TOC1"/>
            <w:rPr>
              <w:rFonts w:eastAsiaTheme="minorEastAsia"/>
              <w:noProof/>
              <w:sz w:val="24"/>
              <w:szCs w:val="24"/>
            </w:rPr>
          </w:pPr>
          <w:r w:rsidRPr="00CF336B">
            <w:rPr>
              <w:lang w:val="tr-TR"/>
            </w:rPr>
            <w:fldChar w:fldCharType="begin"/>
          </w:r>
          <w:r w:rsidRPr="00CF336B">
            <w:rPr>
              <w:lang w:val="tr-TR"/>
            </w:rPr>
            <w:instrText xml:space="preserve"> TOC \o "1-3" \h \z \u </w:instrText>
          </w:r>
          <w:r w:rsidRPr="00CF336B">
            <w:rPr>
              <w:lang w:val="tr-TR"/>
            </w:rPr>
            <w:fldChar w:fldCharType="separate"/>
          </w:r>
          <w:hyperlink w:anchor="_Toc156210429" w:history="1">
            <w:r w:rsidR="002C31AC" w:rsidRPr="00BD7D0D">
              <w:rPr>
                <w:rStyle w:val="Hyperlink"/>
                <w:noProof/>
                <w:lang w:val="tr-TR"/>
              </w:rPr>
              <w:t>İçindekiler</w:t>
            </w:r>
            <w:r w:rsidR="002C31AC">
              <w:rPr>
                <w:noProof/>
                <w:webHidden/>
              </w:rPr>
              <w:tab/>
            </w:r>
            <w:r w:rsidR="002C31AC">
              <w:rPr>
                <w:noProof/>
                <w:webHidden/>
              </w:rPr>
              <w:fldChar w:fldCharType="begin"/>
            </w:r>
            <w:r w:rsidR="002C31AC">
              <w:rPr>
                <w:noProof/>
                <w:webHidden/>
              </w:rPr>
              <w:instrText xml:space="preserve"> PAGEREF _Toc156210429 \h </w:instrText>
            </w:r>
            <w:r w:rsidR="002C31AC">
              <w:rPr>
                <w:noProof/>
                <w:webHidden/>
              </w:rPr>
            </w:r>
            <w:r w:rsidR="002C31AC">
              <w:rPr>
                <w:noProof/>
                <w:webHidden/>
              </w:rPr>
              <w:fldChar w:fldCharType="separate"/>
            </w:r>
            <w:r w:rsidR="002C31AC">
              <w:rPr>
                <w:noProof/>
                <w:webHidden/>
              </w:rPr>
              <w:t>2</w:t>
            </w:r>
            <w:r w:rsidR="002C31AC">
              <w:rPr>
                <w:noProof/>
                <w:webHidden/>
              </w:rPr>
              <w:fldChar w:fldCharType="end"/>
            </w:r>
          </w:hyperlink>
        </w:p>
        <w:p w14:paraId="7BDAF63D" w14:textId="1B6A69A5" w:rsidR="002C31AC" w:rsidRDefault="002C31AC">
          <w:pPr>
            <w:pStyle w:val="TOC1"/>
            <w:rPr>
              <w:rFonts w:eastAsiaTheme="minorEastAsia"/>
              <w:noProof/>
              <w:sz w:val="24"/>
              <w:szCs w:val="24"/>
            </w:rPr>
          </w:pPr>
          <w:hyperlink w:anchor="_Toc156210430" w:history="1">
            <w:r w:rsidRPr="00BD7D0D">
              <w:rPr>
                <w:rStyle w:val="Hyperlink"/>
                <w:noProof/>
                <w:lang w:val="tr-TR"/>
              </w:rPr>
              <w:t>Şekiller Listesi</w:t>
            </w:r>
            <w:r>
              <w:rPr>
                <w:noProof/>
                <w:webHidden/>
              </w:rPr>
              <w:tab/>
            </w:r>
            <w:r>
              <w:rPr>
                <w:noProof/>
                <w:webHidden/>
              </w:rPr>
              <w:fldChar w:fldCharType="begin"/>
            </w:r>
            <w:r>
              <w:rPr>
                <w:noProof/>
                <w:webHidden/>
              </w:rPr>
              <w:instrText xml:space="preserve"> PAGEREF _Toc156210430 \h </w:instrText>
            </w:r>
            <w:r>
              <w:rPr>
                <w:noProof/>
                <w:webHidden/>
              </w:rPr>
            </w:r>
            <w:r>
              <w:rPr>
                <w:noProof/>
                <w:webHidden/>
              </w:rPr>
              <w:fldChar w:fldCharType="separate"/>
            </w:r>
            <w:r>
              <w:rPr>
                <w:noProof/>
                <w:webHidden/>
              </w:rPr>
              <w:t>3</w:t>
            </w:r>
            <w:r>
              <w:rPr>
                <w:noProof/>
                <w:webHidden/>
              </w:rPr>
              <w:fldChar w:fldCharType="end"/>
            </w:r>
          </w:hyperlink>
        </w:p>
        <w:p w14:paraId="1A258776" w14:textId="1FC790F2" w:rsidR="002C31AC" w:rsidRDefault="002C31AC">
          <w:pPr>
            <w:pStyle w:val="TOC1"/>
            <w:rPr>
              <w:rFonts w:eastAsiaTheme="minorEastAsia"/>
              <w:noProof/>
              <w:sz w:val="24"/>
              <w:szCs w:val="24"/>
            </w:rPr>
          </w:pPr>
          <w:hyperlink w:anchor="_Toc156210431" w:history="1">
            <w:r w:rsidRPr="00BD7D0D">
              <w:rPr>
                <w:rStyle w:val="Hyperlink"/>
                <w:noProof/>
                <w:lang w:val="tr-TR"/>
              </w:rPr>
              <w:t>Tablolar Listesi</w:t>
            </w:r>
            <w:r>
              <w:rPr>
                <w:noProof/>
                <w:webHidden/>
              </w:rPr>
              <w:tab/>
            </w:r>
            <w:r>
              <w:rPr>
                <w:noProof/>
                <w:webHidden/>
              </w:rPr>
              <w:fldChar w:fldCharType="begin"/>
            </w:r>
            <w:r>
              <w:rPr>
                <w:noProof/>
                <w:webHidden/>
              </w:rPr>
              <w:instrText xml:space="preserve"> PAGEREF _Toc156210431 \h </w:instrText>
            </w:r>
            <w:r>
              <w:rPr>
                <w:noProof/>
                <w:webHidden/>
              </w:rPr>
            </w:r>
            <w:r>
              <w:rPr>
                <w:noProof/>
                <w:webHidden/>
              </w:rPr>
              <w:fldChar w:fldCharType="separate"/>
            </w:r>
            <w:r>
              <w:rPr>
                <w:noProof/>
                <w:webHidden/>
              </w:rPr>
              <w:t>5</w:t>
            </w:r>
            <w:r>
              <w:rPr>
                <w:noProof/>
                <w:webHidden/>
              </w:rPr>
              <w:fldChar w:fldCharType="end"/>
            </w:r>
          </w:hyperlink>
        </w:p>
        <w:p w14:paraId="2CCA72BD" w14:textId="3DD70C96" w:rsidR="002C31AC" w:rsidRDefault="002C31AC">
          <w:pPr>
            <w:pStyle w:val="TOC1"/>
            <w:rPr>
              <w:rFonts w:eastAsiaTheme="minorEastAsia"/>
              <w:noProof/>
              <w:sz w:val="24"/>
              <w:szCs w:val="24"/>
            </w:rPr>
          </w:pPr>
          <w:hyperlink w:anchor="_Toc156210432" w:history="1">
            <w:r w:rsidRPr="00BD7D0D">
              <w:rPr>
                <w:rStyle w:val="Hyperlink"/>
                <w:noProof/>
                <w:lang w:val="tr-TR"/>
              </w:rPr>
              <w:t>Kısaltmalar</w:t>
            </w:r>
            <w:r>
              <w:rPr>
                <w:noProof/>
                <w:webHidden/>
              </w:rPr>
              <w:tab/>
            </w:r>
            <w:r>
              <w:rPr>
                <w:noProof/>
                <w:webHidden/>
              </w:rPr>
              <w:fldChar w:fldCharType="begin"/>
            </w:r>
            <w:r>
              <w:rPr>
                <w:noProof/>
                <w:webHidden/>
              </w:rPr>
              <w:instrText xml:space="preserve"> PAGEREF _Toc156210432 \h </w:instrText>
            </w:r>
            <w:r>
              <w:rPr>
                <w:noProof/>
                <w:webHidden/>
              </w:rPr>
            </w:r>
            <w:r>
              <w:rPr>
                <w:noProof/>
                <w:webHidden/>
              </w:rPr>
              <w:fldChar w:fldCharType="separate"/>
            </w:r>
            <w:r>
              <w:rPr>
                <w:noProof/>
                <w:webHidden/>
              </w:rPr>
              <w:t>6</w:t>
            </w:r>
            <w:r>
              <w:rPr>
                <w:noProof/>
                <w:webHidden/>
              </w:rPr>
              <w:fldChar w:fldCharType="end"/>
            </w:r>
          </w:hyperlink>
        </w:p>
        <w:p w14:paraId="6DA09154" w14:textId="455F9465" w:rsidR="002C31AC" w:rsidRDefault="002C31AC">
          <w:pPr>
            <w:pStyle w:val="TOC1"/>
            <w:rPr>
              <w:rFonts w:eastAsiaTheme="minorEastAsia"/>
              <w:noProof/>
              <w:sz w:val="24"/>
              <w:szCs w:val="24"/>
            </w:rPr>
          </w:pPr>
          <w:hyperlink w:anchor="_Toc156210433" w:history="1">
            <w:r w:rsidRPr="00BD7D0D">
              <w:rPr>
                <w:rStyle w:val="Hyperlink"/>
                <w:noProof/>
                <w:lang w:val="tr-TR"/>
              </w:rPr>
              <w:t>Yönetici Özeti</w:t>
            </w:r>
            <w:r>
              <w:rPr>
                <w:noProof/>
                <w:webHidden/>
              </w:rPr>
              <w:tab/>
            </w:r>
            <w:r>
              <w:rPr>
                <w:noProof/>
                <w:webHidden/>
              </w:rPr>
              <w:fldChar w:fldCharType="begin"/>
            </w:r>
            <w:r>
              <w:rPr>
                <w:noProof/>
                <w:webHidden/>
              </w:rPr>
              <w:instrText xml:space="preserve"> PAGEREF _Toc156210433 \h </w:instrText>
            </w:r>
            <w:r>
              <w:rPr>
                <w:noProof/>
                <w:webHidden/>
              </w:rPr>
            </w:r>
            <w:r>
              <w:rPr>
                <w:noProof/>
                <w:webHidden/>
              </w:rPr>
              <w:fldChar w:fldCharType="separate"/>
            </w:r>
            <w:r>
              <w:rPr>
                <w:noProof/>
                <w:webHidden/>
              </w:rPr>
              <w:t>8</w:t>
            </w:r>
            <w:r>
              <w:rPr>
                <w:noProof/>
                <w:webHidden/>
              </w:rPr>
              <w:fldChar w:fldCharType="end"/>
            </w:r>
          </w:hyperlink>
        </w:p>
        <w:p w14:paraId="43F42718" w14:textId="54988F8C" w:rsidR="002C31AC" w:rsidRDefault="002C31AC">
          <w:pPr>
            <w:pStyle w:val="TOC1"/>
            <w:rPr>
              <w:rFonts w:eastAsiaTheme="minorEastAsia"/>
              <w:noProof/>
              <w:sz w:val="24"/>
              <w:szCs w:val="24"/>
            </w:rPr>
          </w:pPr>
          <w:hyperlink w:anchor="_Toc156210434" w:history="1">
            <w:r w:rsidRPr="00BD7D0D">
              <w:rPr>
                <w:rStyle w:val="Hyperlink"/>
                <w:bCs/>
                <w:noProof/>
                <w:lang w:val="tr-TR"/>
              </w:rPr>
              <w:t>1.</w:t>
            </w:r>
            <w:r>
              <w:rPr>
                <w:rFonts w:eastAsiaTheme="minorEastAsia"/>
                <w:noProof/>
                <w:sz w:val="24"/>
                <w:szCs w:val="24"/>
              </w:rPr>
              <w:tab/>
            </w:r>
            <w:r w:rsidRPr="00BD7D0D">
              <w:rPr>
                <w:rStyle w:val="Hyperlink"/>
                <w:bCs/>
                <w:noProof/>
                <w:lang w:val="tr-TR"/>
              </w:rPr>
              <w:t>Giriş</w:t>
            </w:r>
            <w:r>
              <w:rPr>
                <w:noProof/>
                <w:webHidden/>
              </w:rPr>
              <w:tab/>
            </w:r>
            <w:r>
              <w:rPr>
                <w:noProof/>
                <w:webHidden/>
              </w:rPr>
              <w:fldChar w:fldCharType="begin"/>
            </w:r>
            <w:r>
              <w:rPr>
                <w:noProof/>
                <w:webHidden/>
              </w:rPr>
              <w:instrText xml:space="preserve"> PAGEREF _Toc156210434 \h </w:instrText>
            </w:r>
            <w:r>
              <w:rPr>
                <w:noProof/>
                <w:webHidden/>
              </w:rPr>
            </w:r>
            <w:r>
              <w:rPr>
                <w:noProof/>
                <w:webHidden/>
              </w:rPr>
              <w:fldChar w:fldCharType="separate"/>
            </w:r>
            <w:r>
              <w:rPr>
                <w:noProof/>
                <w:webHidden/>
              </w:rPr>
              <w:t>13</w:t>
            </w:r>
            <w:r>
              <w:rPr>
                <w:noProof/>
                <w:webHidden/>
              </w:rPr>
              <w:fldChar w:fldCharType="end"/>
            </w:r>
          </w:hyperlink>
        </w:p>
        <w:p w14:paraId="088CACFF" w14:textId="4FD110DD" w:rsidR="002C31AC" w:rsidRDefault="002C31AC">
          <w:pPr>
            <w:pStyle w:val="TOC1"/>
            <w:rPr>
              <w:rFonts w:eastAsiaTheme="minorEastAsia"/>
              <w:noProof/>
              <w:sz w:val="24"/>
              <w:szCs w:val="24"/>
            </w:rPr>
          </w:pPr>
          <w:hyperlink w:anchor="_Toc156210435" w:history="1">
            <w:r w:rsidRPr="00BD7D0D">
              <w:rPr>
                <w:rStyle w:val="Hyperlink"/>
                <w:noProof/>
                <w:lang w:val="tr-TR"/>
              </w:rPr>
              <w:t>2.</w:t>
            </w:r>
            <w:r>
              <w:rPr>
                <w:rFonts w:eastAsiaTheme="minorEastAsia"/>
                <w:noProof/>
                <w:sz w:val="24"/>
                <w:szCs w:val="24"/>
              </w:rPr>
              <w:tab/>
            </w:r>
            <w:r w:rsidRPr="00BD7D0D">
              <w:rPr>
                <w:rStyle w:val="Hyperlink"/>
                <w:noProof/>
                <w:lang w:val="tr-TR"/>
              </w:rPr>
              <w:t>Kapasite Mekanizması</w:t>
            </w:r>
            <w:r>
              <w:rPr>
                <w:noProof/>
                <w:webHidden/>
              </w:rPr>
              <w:tab/>
            </w:r>
            <w:r>
              <w:rPr>
                <w:noProof/>
                <w:webHidden/>
              </w:rPr>
              <w:fldChar w:fldCharType="begin"/>
            </w:r>
            <w:r>
              <w:rPr>
                <w:noProof/>
                <w:webHidden/>
              </w:rPr>
              <w:instrText xml:space="preserve"> PAGEREF _Toc156210435 \h </w:instrText>
            </w:r>
            <w:r>
              <w:rPr>
                <w:noProof/>
                <w:webHidden/>
              </w:rPr>
            </w:r>
            <w:r>
              <w:rPr>
                <w:noProof/>
                <w:webHidden/>
              </w:rPr>
              <w:fldChar w:fldCharType="separate"/>
            </w:r>
            <w:r>
              <w:rPr>
                <w:noProof/>
                <w:webHidden/>
              </w:rPr>
              <w:t>17</w:t>
            </w:r>
            <w:r>
              <w:rPr>
                <w:noProof/>
                <w:webHidden/>
              </w:rPr>
              <w:fldChar w:fldCharType="end"/>
            </w:r>
          </w:hyperlink>
        </w:p>
        <w:p w14:paraId="17D56DFC" w14:textId="1BBF2795" w:rsidR="002C31AC" w:rsidRDefault="002C31AC">
          <w:pPr>
            <w:pStyle w:val="TOC1"/>
            <w:rPr>
              <w:rFonts w:eastAsiaTheme="minorEastAsia"/>
              <w:noProof/>
              <w:sz w:val="24"/>
              <w:szCs w:val="24"/>
            </w:rPr>
          </w:pPr>
          <w:hyperlink w:anchor="_Toc156210436" w:history="1">
            <w:r w:rsidRPr="00BD7D0D">
              <w:rPr>
                <w:rStyle w:val="Hyperlink"/>
                <w:noProof/>
                <w:lang w:val="tr-TR"/>
              </w:rPr>
              <w:t>3.</w:t>
            </w:r>
            <w:r>
              <w:rPr>
                <w:rFonts w:eastAsiaTheme="minorEastAsia"/>
                <w:noProof/>
                <w:sz w:val="24"/>
                <w:szCs w:val="24"/>
              </w:rPr>
              <w:tab/>
            </w:r>
            <w:r w:rsidRPr="00BD7D0D">
              <w:rPr>
                <w:rStyle w:val="Hyperlink"/>
                <w:noProof/>
                <w:lang w:val="tr-TR"/>
              </w:rPr>
              <w:t>Türkiye’de Kapasite Mekanizması</w:t>
            </w:r>
            <w:r>
              <w:rPr>
                <w:noProof/>
                <w:webHidden/>
              </w:rPr>
              <w:tab/>
            </w:r>
            <w:r>
              <w:rPr>
                <w:noProof/>
                <w:webHidden/>
              </w:rPr>
              <w:fldChar w:fldCharType="begin"/>
            </w:r>
            <w:r>
              <w:rPr>
                <w:noProof/>
                <w:webHidden/>
              </w:rPr>
              <w:instrText xml:space="preserve"> PAGEREF _Toc156210436 \h </w:instrText>
            </w:r>
            <w:r>
              <w:rPr>
                <w:noProof/>
                <w:webHidden/>
              </w:rPr>
            </w:r>
            <w:r>
              <w:rPr>
                <w:noProof/>
                <w:webHidden/>
              </w:rPr>
              <w:fldChar w:fldCharType="separate"/>
            </w:r>
            <w:r>
              <w:rPr>
                <w:noProof/>
                <w:webHidden/>
              </w:rPr>
              <w:t>20</w:t>
            </w:r>
            <w:r>
              <w:rPr>
                <w:noProof/>
                <w:webHidden/>
              </w:rPr>
              <w:fldChar w:fldCharType="end"/>
            </w:r>
          </w:hyperlink>
        </w:p>
        <w:p w14:paraId="71E90AA0" w14:textId="4E0EDA6D" w:rsidR="002C31AC" w:rsidRDefault="002C31AC">
          <w:pPr>
            <w:pStyle w:val="TOC2"/>
            <w:tabs>
              <w:tab w:val="left" w:pos="960"/>
            </w:tabs>
            <w:rPr>
              <w:rFonts w:eastAsiaTheme="minorEastAsia"/>
              <w:noProof/>
              <w:sz w:val="24"/>
              <w:szCs w:val="24"/>
            </w:rPr>
          </w:pPr>
          <w:hyperlink w:anchor="_Toc156210437" w:history="1">
            <w:r w:rsidRPr="00BD7D0D">
              <w:rPr>
                <w:rStyle w:val="Hyperlink"/>
                <w:noProof/>
                <w:lang w:val="tr-TR"/>
              </w:rPr>
              <w:t>3.1.</w:t>
            </w:r>
            <w:r>
              <w:rPr>
                <w:rFonts w:eastAsiaTheme="minorEastAsia"/>
                <w:noProof/>
                <w:sz w:val="24"/>
                <w:szCs w:val="24"/>
              </w:rPr>
              <w:tab/>
            </w:r>
            <w:r w:rsidRPr="00BD7D0D">
              <w:rPr>
                <w:rStyle w:val="Hyperlink"/>
                <w:noProof/>
                <w:lang w:val="tr-TR"/>
              </w:rPr>
              <w:t>Kapasite Mekanizması Ödemelerinde Kullanılan Metot - 1</w:t>
            </w:r>
            <w:r>
              <w:rPr>
                <w:noProof/>
                <w:webHidden/>
              </w:rPr>
              <w:tab/>
            </w:r>
            <w:r>
              <w:rPr>
                <w:noProof/>
                <w:webHidden/>
              </w:rPr>
              <w:fldChar w:fldCharType="begin"/>
            </w:r>
            <w:r>
              <w:rPr>
                <w:noProof/>
                <w:webHidden/>
              </w:rPr>
              <w:instrText xml:space="preserve"> PAGEREF _Toc156210437 \h </w:instrText>
            </w:r>
            <w:r>
              <w:rPr>
                <w:noProof/>
                <w:webHidden/>
              </w:rPr>
            </w:r>
            <w:r>
              <w:rPr>
                <w:noProof/>
                <w:webHidden/>
              </w:rPr>
              <w:fldChar w:fldCharType="separate"/>
            </w:r>
            <w:r>
              <w:rPr>
                <w:noProof/>
                <w:webHidden/>
              </w:rPr>
              <w:t>24</w:t>
            </w:r>
            <w:r>
              <w:rPr>
                <w:noProof/>
                <w:webHidden/>
              </w:rPr>
              <w:fldChar w:fldCharType="end"/>
            </w:r>
          </w:hyperlink>
        </w:p>
        <w:p w14:paraId="1449912A" w14:textId="10F4BEFC" w:rsidR="002C31AC" w:rsidRDefault="002C31AC">
          <w:pPr>
            <w:pStyle w:val="TOC2"/>
            <w:tabs>
              <w:tab w:val="left" w:pos="960"/>
            </w:tabs>
            <w:rPr>
              <w:rFonts w:eastAsiaTheme="minorEastAsia"/>
              <w:noProof/>
              <w:sz w:val="24"/>
              <w:szCs w:val="24"/>
            </w:rPr>
          </w:pPr>
          <w:hyperlink w:anchor="_Toc156210438" w:history="1">
            <w:r w:rsidRPr="00BD7D0D">
              <w:rPr>
                <w:rStyle w:val="Hyperlink"/>
                <w:noProof/>
                <w:lang w:val="tr-TR"/>
              </w:rPr>
              <w:t>3.2.</w:t>
            </w:r>
            <w:r>
              <w:rPr>
                <w:rFonts w:eastAsiaTheme="minorEastAsia"/>
                <w:noProof/>
                <w:sz w:val="24"/>
                <w:szCs w:val="24"/>
              </w:rPr>
              <w:tab/>
            </w:r>
            <w:r w:rsidRPr="00BD7D0D">
              <w:rPr>
                <w:rStyle w:val="Hyperlink"/>
                <w:noProof/>
                <w:lang w:val="tr-TR"/>
              </w:rPr>
              <w:t>Kapasite Mekanizması Ödemelerinde Kullanılan Metot - 2</w:t>
            </w:r>
            <w:r>
              <w:rPr>
                <w:noProof/>
                <w:webHidden/>
              </w:rPr>
              <w:tab/>
            </w:r>
            <w:r>
              <w:rPr>
                <w:noProof/>
                <w:webHidden/>
              </w:rPr>
              <w:fldChar w:fldCharType="begin"/>
            </w:r>
            <w:r>
              <w:rPr>
                <w:noProof/>
                <w:webHidden/>
              </w:rPr>
              <w:instrText xml:space="preserve"> PAGEREF _Toc156210438 \h </w:instrText>
            </w:r>
            <w:r>
              <w:rPr>
                <w:noProof/>
                <w:webHidden/>
              </w:rPr>
            </w:r>
            <w:r>
              <w:rPr>
                <w:noProof/>
                <w:webHidden/>
              </w:rPr>
              <w:fldChar w:fldCharType="separate"/>
            </w:r>
            <w:r>
              <w:rPr>
                <w:noProof/>
                <w:webHidden/>
              </w:rPr>
              <w:t>25</w:t>
            </w:r>
            <w:r>
              <w:rPr>
                <w:noProof/>
                <w:webHidden/>
              </w:rPr>
              <w:fldChar w:fldCharType="end"/>
            </w:r>
          </w:hyperlink>
        </w:p>
        <w:p w14:paraId="6552C79B" w14:textId="5354D568" w:rsidR="002C31AC" w:rsidRDefault="002C31AC">
          <w:pPr>
            <w:pStyle w:val="TOC2"/>
            <w:tabs>
              <w:tab w:val="left" w:pos="960"/>
            </w:tabs>
            <w:rPr>
              <w:rFonts w:eastAsiaTheme="minorEastAsia"/>
              <w:noProof/>
              <w:sz w:val="24"/>
              <w:szCs w:val="24"/>
            </w:rPr>
          </w:pPr>
          <w:hyperlink w:anchor="_Toc156210439" w:history="1">
            <w:r w:rsidRPr="00BD7D0D">
              <w:rPr>
                <w:rStyle w:val="Hyperlink"/>
                <w:noProof/>
                <w:lang w:val="tr-TR"/>
              </w:rPr>
              <w:t>3.3.</w:t>
            </w:r>
            <w:r>
              <w:rPr>
                <w:rFonts w:eastAsiaTheme="minorEastAsia"/>
                <w:noProof/>
                <w:sz w:val="24"/>
                <w:szCs w:val="24"/>
              </w:rPr>
              <w:tab/>
            </w:r>
            <w:r w:rsidRPr="00BD7D0D">
              <w:rPr>
                <w:rStyle w:val="Hyperlink"/>
                <w:noProof/>
                <w:lang w:val="tr-TR"/>
              </w:rPr>
              <w:t>Kapasite Mekanizması Ödemelerinde Kullanılan Metot - 3</w:t>
            </w:r>
            <w:r>
              <w:rPr>
                <w:noProof/>
                <w:webHidden/>
              </w:rPr>
              <w:tab/>
            </w:r>
            <w:r>
              <w:rPr>
                <w:noProof/>
                <w:webHidden/>
              </w:rPr>
              <w:fldChar w:fldCharType="begin"/>
            </w:r>
            <w:r>
              <w:rPr>
                <w:noProof/>
                <w:webHidden/>
              </w:rPr>
              <w:instrText xml:space="preserve"> PAGEREF _Toc156210439 \h </w:instrText>
            </w:r>
            <w:r>
              <w:rPr>
                <w:noProof/>
                <w:webHidden/>
              </w:rPr>
            </w:r>
            <w:r>
              <w:rPr>
                <w:noProof/>
                <w:webHidden/>
              </w:rPr>
              <w:fldChar w:fldCharType="separate"/>
            </w:r>
            <w:r>
              <w:rPr>
                <w:noProof/>
                <w:webHidden/>
              </w:rPr>
              <w:t>26</w:t>
            </w:r>
            <w:r>
              <w:rPr>
                <w:noProof/>
                <w:webHidden/>
              </w:rPr>
              <w:fldChar w:fldCharType="end"/>
            </w:r>
          </w:hyperlink>
        </w:p>
        <w:p w14:paraId="33C06CDC" w14:textId="338683CD" w:rsidR="002C31AC" w:rsidRDefault="002C31AC">
          <w:pPr>
            <w:pStyle w:val="TOC2"/>
            <w:tabs>
              <w:tab w:val="left" w:pos="960"/>
            </w:tabs>
            <w:rPr>
              <w:rFonts w:eastAsiaTheme="minorEastAsia"/>
              <w:noProof/>
              <w:sz w:val="24"/>
              <w:szCs w:val="24"/>
            </w:rPr>
          </w:pPr>
          <w:hyperlink w:anchor="_Toc156210440" w:history="1">
            <w:r w:rsidRPr="00BD7D0D">
              <w:rPr>
                <w:rStyle w:val="Hyperlink"/>
                <w:noProof/>
                <w:lang w:val="tr-TR"/>
              </w:rPr>
              <w:t>3.4.</w:t>
            </w:r>
            <w:r>
              <w:rPr>
                <w:rFonts w:eastAsiaTheme="minorEastAsia"/>
                <w:noProof/>
                <w:sz w:val="24"/>
                <w:szCs w:val="24"/>
              </w:rPr>
              <w:tab/>
            </w:r>
            <w:r w:rsidRPr="00BD7D0D">
              <w:rPr>
                <w:rStyle w:val="Hyperlink"/>
                <w:noProof/>
                <w:lang w:val="tr-TR"/>
              </w:rPr>
              <w:t>Kapasite Mekanizması Ödemelerinde Kullanılan Metot - 4</w:t>
            </w:r>
            <w:r>
              <w:rPr>
                <w:noProof/>
                <w:webHidden/>
              </w:rPr>
              <w:tab/>
            </w:r>
            <w:r>
              <w:rPr>
                <w:noProof/>
                <w:webHidden/>
              </w:rPr>
              <w:fldChar w:fldCharType="begin"/>
            </w:r>
            <w:r>
              <w:rPr>
                <w:noProof/>
                <w:webHidden/>
              </w:rPr>
              <w:instrText xml:space="preserve"> PAGEREF _Toc156210440 \h </w:instrText>
            </w:r>
            <w:r>
              <w:rPr>
                <w:noProof/>
                <w:webHidden/>
              </w:rPr>
            </w:r>
            <w:r>
              <w:rPr>
                <w:noProof/>
                <w:webHidden/>
              </w:rPr>
              <w:fldChar w:fldCharType="separate"/>
            </w:r>
            <w:r>
              <w:rPr>
                <w:noProof/>
                <w:webHidden/>
              </w:rPr>
              <w:t>28</w:t>
            </w:r>
            <w:r>
              <w:rPr>
                <w:noProof/>
                <w:webHidden/>
              </w:rPr>
              <w:fldChar w:fldCharType="end"/>
            </w:r>
          </w:hyperlink>
        </w:p>
        <w:p w14:paraId="781D0ECF" w14:textId="2AD6128B" w:rsidR="002C31AC" w:rsidRDefault="002C31AC">
          <w:pPr>
            <w:pStyle w:val="TOC1"/>
            <w:rPr>
              <w:rFonts w:eastAsiaTheme="minorEastAsia"/>
              <w:noProof/>
              <w:sz w:val="24"/>
              <w:szCs w:val="24"/>
            </w:rPr>
          </w:pPr>
          <w:hyperlink w:anchor="_Toc156210441" w:history="1">
            <w:r w:rsidRPr="00BD7D0D">
              <w:rPr>
                <w:rStyle w:val="Hyperlink"/>
                <w:noProof/>
                <w:lang w:val="tr-TR"/>
              </w:rPr>
              <w:t>4.</w:t>
            </w:r>
            <w:r>
              <w:rPr>
                <w:rFonts w:eastAsiaTheme="minorEastAsia"/>
                <w:noProof/>
                <w:sz w:val="24"/>
                <w:szCs w:val="24"/>
              </w:rPr>
              <w:tab/>
            </w:r>
            <w:r w:rsidRPr="00BD7D0D">
              <w:rPr>
                <w:rStyle w:val="Hyperlink"/>
                <w:noProof/>
                <w:lang w:val="tr-TR"/>
              </w:rPr>
              <w:t>Kapasite Mekanizması Uygulamasının Mevcut Durumu</w:t>
            </w:r>
            <w:r>
              <w:rPr>
                <w:noProof/>
                <w:webHidden/>
              </w:rPr>
              <w:tab/>
            </w:r>
            <w:r>
              <w:rPr>
                <w:noProof/>
                <w:webHidden/>
              </w:rPr>
              <w:fldChar w:fldCharType="begin"/>
            </w:r>
            <w:r>
              <w:rPr>
                <w:noProof/>
                <w:webHidden/>
              </w:rPr>
              <w:instrText xml:space="preserve"> PAGEREF _Toc156210441 \h </w:instrText>
            </w:r>
            <w:r>
              <w:rPr>
                <w:noProof/>
                <w:webHidden/>
              </w:rPr>
            </w:r>
            <w:r>
              <w:rPr>
                <w:noProof/>
                <w:webHidden/>
              </w:rPr>
              <w:fldChar w:fldCharType="separate"/>
            </w:r>
            <w:r>
              <w:rPr>
                <w:noProof/>
                <w:webHidden/>
              </w:rPr>
              <w:t>29</w:t>
            </w:r>
            <w:r>
              <w:rPr>
                <w:noProof/>
                <w:webHidden/>
              </w:rPr>
              <w:fldChar w:fldCharType="end"/>
            </w:r>
          </w:hyperlink>
        </w:p>
        <w:p w14:paraId="0DCE01B4" w14:textId="262C0EC9" w:rsidR="002C31AC" w:rsidRDefault="002C31AC">
          <w:pPr>
            <w:pStyle w:val="TOC1"/>
            <w:rPr>
              <w:rFonts w:eastAsiaTheme="minorEastAsia"/>
              <w:noProof/>
              <w:sz w:val="24"/>
              <w:szCs w:val="24"/>
            </w:rPr>
          </w:pPr>
          <w:hyperlink w:anchor="_Toc156210442" w:history="1">
            <w:r w:rsidRPr="00BD7D0D">
              <w:rPr>
                <w:rStyle w:val="Hyperlink"/>
                <w:noProof/>
                <w:lang w:val="tr-TR"/>
              </w:rPr>
              <w:t>5.</w:t>
            </w:r>
            <w:r>
              <w:rPr>
                <w:rFonts w:eastAsiaTheme="minorEastAsia"/>
                <w:noProof/>
                <w:sz w:val="24"/>
                <w:szCs w:val="24"/>
              </w:rPr>
              <w:tab/>
            </w:r>
            <w:r w:rsidRPr="00BD7D0D">
              <w:rPr>
                <w:rStyle w:val="Hyperlink"/>
                <w:noProof/>
                <w:lang w:val="tr-TR"/>
              </w:rPr>
              <w:t>Dünyada Örnek Uygulamalar</w:t>
            </w:r>
            <w:r>
              <w:rPr>
                <w:noProof/>
                <w:webHidden/>
              </w:rPr>
              <w:tab/>
            </w:r>
            <w:r>
              <w:rPr>
                <w:noProof/>
                <w:webHidden/>
              </w:rPr>
              <w:fldChar w:fldCharType="begin"/>
            </w:r>
            <w:r>
              <w:rPr>
                <w:noProof/>
                <w:webHidden/>
              </w:rPr>
              <w:instrText xml:space="preserve"> PAGEREF _Toc156210442 \h </w:instrText>
            </w:r>
            <w:r>
              <w:rPr>
                <w:noProof/>
                <w:webHidden/>
              </w:rPr>
            </w:r>
            <w:r>
              <w:rPr>
                <w:noProof/>
                <w:webHidden/>
              </w:rPr>
              <w:fldChar w:fldCharType="separate"/>
            </w:r>
            <w:r>
              <w:rPr>
                <w:noProof/>
                <w:webHidden/>
              </w:rPr>
              <w:t>34</w:t>
            </w:r>
            <w:r>
              <w:rPr>
                <w:noProof/>
                <w:webHidden/>
              </w:rPr>
              <w:fldChar w:fldCharType="end"/>
            </w:r>
          </w:hyperlink>
        </w:p>
        <w:p w14:paraId="33241C73" w14:textId="7725B775" w:rsidR="002C31AC" w:rsidRDefault="002C31AC">
          <w:pPr>
            <w:pStyle w:val="TOC2"/>
            <w:tabs>
              <w:tab w:val="left" w:pos="960"/>
            </w:tabs>
            <w:rPr>
              <w:rFonts w:eastAsiaTheme="minorEastAsia"/>
              <w:noProof/>
              <w:sz w:val="24"/>
              <w:szCs w:val="24"/>
            </w:rPr>
          </w:pPr>
          <w:hyperlink w:anchor="_Toc156210443" w:history="1">
            <w:r w:rsidRPr="00BD7D0D">
              <w:rPr>
                <w:rStyle w:val="Hyperlink"/>
                <w:noProof/>
                <w:lang w:val="tr-TR"/>
              </w:rPr>
              <w:t>5.1.</w:t>
            </w:r>
            <w:r>
              <w:rPr>
                <w:rFonts w:eastAsiaTheme="minorEastAsia"/>
                <w:noProof/>
                <w:sz w:val="24"/>
                <w:szCs w:val="24"/>
              </w:rPr>
              <w:tab/>
            </w:r>
            <w:r w:rsidRPr="00BD7D0D">
              <w:rPr>
                <w:rStyle w:val="Hyperlink"/>
                <w:noProof/>
                <w:lang w:val="tr-TR"/>
              </w:rPr>
              <w:t>Almanya</w:t>
            </w:r>
            <w:r>
              <w:rPr>
                <w:noProof/>
                <w:webHidden/>
              </w:rPr>
              <w:tab/>
            </w:r>
            <w:r>
              <w:rPr>
                <w:noProof/>
                <w:webHidden/>
              </w:rPr>
              <w:fldChar w:fldCharType="begin"/>
            </w:r>
            <w:r>
              <w:rPr>
                <w:noProof/>
                <w:webHidden/>
              </w:rPr>
              <w:instrText xml:space="preserve"> PAGEREF _Toc156210443 \h </w:instrText>
            </w:r>
            <w:r>
              <w:rPr>
                <w:noProof/>
                <w:webHidden/>
              </w:rPr>
            </w:r>
            <w:r>
              <w:rPr>
                <w:noProof/>
                <w:webHidden/>
              </w:rPr>
              <w:fldChar w:fldCharType="separate"/>
            </w:r>
            <w:r>
              <w:rPr>
                <w:noProof/>
                <w:webHidden/>
              </w:rPr>
              <w:t>40</w:t>
            </w:r>
            <w:r>
              <w:rPr>
                <w:noProof/>
                <w:webHidden/>
              </w:rPr>
              <w:fldChar w:fldCharType="end"/>
            </w:r>
          </w:hyperlink>
        </w:p>
        <w:p w14:paraId="0B643B40" w14:textId="6984A977" w:rsidR="002C31AC" w:rsidRDefault="002C31AC">
          <w:pPr>
            <w:pStyle w:val="TOC2"/>
            <w:tabs>
              <w:tab w:val="left" w:pos="960"/>
            </w:tabs>
            <w:rPr>
              <w:rFonts w:eastAsiaTheme="minorEastAsia"/>
              <w:noProof/>
              <w:sz w:val="24"/>
              <w:szCs w:val="24"/>
            </w:rPr>
          </w:pPr>
          <w:hyperlink w:anchor="_Toc156210444" w:history="1">
            <w:r w:rsidRPr="00BD7D0D">
              <w:rPr>
                <w:rStyle w:val="Hyperlink"/>
                <w:noProof/>
                <w:lang w:val="tr-TR"/>
              </w:rPr>
              <w:t>5.2.</w:t>
            </w:r>
            <w:r>
              <w:rPr>
                <w:rFonts w:eastAsiaTheme="minorEastAsia"/>
                <w:noProof/>
                <w:sz w:val="24"/>
                <w:szCs w:val="24"/>
              </w:rPr>
              <w:tab/>
            </w:r>
            <w:r w:rsidRPr="00BD7D0D">
              <w:rPr>
                <w:rStyle w:val="Hyperlink"/>
                <w:noProof/>
                <w:lang w:val="tr-TR"/>
              </w:rPr>
              <w:t>İngiltere</w:t>
            </w:r>
            <w:r>
              <w:rPr>
                <w:noProof/>
                <w:webHidden/>
              </w:rPr>
              <w:tab/>
            </w:r>
            <w:r>
              <w:rPr>
                <w:noProof/>
                <w:webHidden/>
              </w:rPr>
              <w:fldChar w:fldCharType="begin"/>
            </w:r>
            <w:r>
              <w:rPr>
                <w:noProof/>
                <w:webHidden/>
              </w:rPr>
              <w:instrText xml:space="preserve"> PAGEREF _Toc156210444 \h </w:instrText>
            </w:r>
            <w:r>
              <w:rPr>
                <w:noProof/>
                <w:webHidden/>
              </w:rPr>
            </w:r>
            <w:r>
              <w:rPr>
                <w:noProof/>
                <w:webHidden/>
              </w:rPr>
              <w:fldChar w:fldCharType="separate"/>
            </w:r>
            <w:r>
              <w:rPr>
                <w:noProof/>
                <w:webHidden/>
              </w:rPr>
              <w:t>45</w:t>
            </w:r>
            <w:r>
              <w:rPr>
                <w:noProof/>
                <w:webHidden/>
              </w:rPr>
              <w:fldChar w:fldCharType="end"/>
            </w:r>
          </w:hyperlink>
        </w:p>
        <w:p w14:paraId="1F41C711" w14:textId="3C78E932" w:rsidR="002C31AC" w:rsidRDefault="002C31AC">
          <w:pPr>
            <w:pStyle w:val="TOC2"/>
            <w:tabs>
              <w:tab w:val="left" w:pos="960"/>
            </w:tabs>
            <w:rPr>
              <w:rFonts w:eastAsiaTheme="minorEastAsia"/>
              <w:noProof/>
              <w:sz w:val="24"/>
              <w:szCs w:val="24"/>
            </w:rPr>
          </w:pPr>
          <w:hyperlink w:anchor="_Toc156210445" w:history="1">
            <w:r w:rsidRPr="00BD7D0D">
              <w:rPr>
                <w:rStyle w:val="Hyperlink"/>
                <w:noProof/>
                <w:lang w:val="tr-TR"/>
              </w:rPr>
              <w:t>5.3.</w:t>
            </w:r>
            <w:r>
              <w:rPr>
                <w:rFonts w:eastAsiaTheme="minorEastAsia"/>
                <w:noProof/>
                <w:sz w:val="24"/>
                <w:szCs w:val="24"/>
              </w:rPr>
              <w:tab/>
            </w:r>
            <w:r w:rsidRPr="00BD7D0D">
              <w:rPr>
                <w:rStyle w:val="Hyperlink"/>
                <w:noProof/>
                <w:lang w:val="tr-TR"/>
              </w:rPr>
              <w:t>İspanya</w:t>
            </w:r>
            <w:r>
              <w:rPr>
                <w:noProof/>
                <w:webHidden/>
              </w:rPr>
              <w:tab/>
            </w:r>
            <w:r>
              <w:rPr>
                <w:noProof/>
                <w:webHidden/>
              </w:rPr>
              <w:fldChar w:fldCharType="begin"/>
            </w:r>
            <w:r>
              <w:rPr>
                <w:noProof/>
                <w:webHidden/>
              </w:rPr>
              <w:instrText xml:space="preserve"> PAGEREF _Toc156210445 \h </w:instrText>
            </w:r>
            <w:r>
              <w:rPr>
                <w:noProof/>
                <w:webHidden/>
              </w:rPr>
            </w:r>
            <w:r>
              <w:rPr>
                <w:noProof/>
                <w:webHidden/>
              </w:rPr>
              <w:fldChar w:fldCharType="separate"/>
            </w:r>
            <w:r>
              <w:rPr>
                <w:noProof/>
                <w:webHidden/>
              </w:rPr>
              <w:t>54</w:t>
            </w:r>
            <w:r>
              <w:rPr>
                <w:noProof/>
                <w:webHidden/>
              </w:rPr>
              <w:fldChar w:fldCharType="end"/>
            </w:r>
          </w:hyperlink>
        </w:p>
        <w:p w14:paraId="397E8F39" w14:textId="75354377" w:rsidR="002C31AC" w:rsidRDefault="002C31AC">
          <w:pPr>
            <w:pStyle w:val="TOC2"/>
            <w:tabs>
              <w:tab w:val="left" w:pos="960"/>
            </w:tabs>
            <w:rPr>
              <w:rFonts w:eastAsiaTheme="minorEastAsia"/>
              <w:noProof/>
              <w:sz w:val="24"/>
              <w:szCs w:val="24"/>
            </w:rPr>
          </w:pPr>
          <w:hyperlink w:anchor="_Toc156210446" w:history="1">
            <w:r w:rsidRPr="00BD7D0D">
              <w:rPr>
                <w:rStyle w:val="Hyperlink"/>
                <w:noProof/>
                <w:lang w:val="tr-TR"/>
              </w:rPr>
              <w:t>5.4.</w:t>
            </w:r>
            <w:r>
              <w:rPr>
                <w:rFonts w:eastAsiaTheme="minorEastAsia"/>
                <w:noProof/>
                <w:sz w:val="24"/>
                <w:szCs w:val="24"/>
              </w:rPr>
              <w:tab/>
            </w:r>
            <w:r w:rsidRPr="00BD7D0D">
              <w:rPr>
                <w:rStyle w:val="Hyperlink"/>
                <w:noProof/>
                <w:lang w:val="tr-TR"/>
              </w:rPr>
              <w:t>Polonya</w:t>
            </w:r>
            <w:r>
              <w:rPr>
                <w:noProof/>
                <w:webHidden/>
              </w:rPr>
              <w:tab/>
            </w:r>
            <w:r>
              <w:rPr>
                <w:noProof/>
                <w:webHidden/>
              </w:rPr>
              <w:fldChar w:fldCharType="begin"/>
            </w:r>
            <w:r>
              <w:rPr>
                <w:noProof/>
                <w:webHidden/>
              </w:rPr>
              <w:instrText xml:space="preserve"> PAGEREF _Toc156210446 \h </w:instrText>
            </w:r>
            <w:r>
              <w:rPr>
                <w:noProof/>
                <w:webHidden/>
              </w:rPr>
            </w:r>
            <w:r>
              <w:rPr>
                <w:noProof/>
                <w:webHidden/>
              </w:rPr>
              <w:fldChar w:fldCharType="separate"/>
            </w:r>
            <w:r>
              <w:rPr>
                <w:noProof/>
                <w:webHidden/>
              </w:rPr>
              <w:t>58</w:t>
            </w:r>
            <w:r>
              <w:rPr>
                <w:noProof/>
                <w:webHidden/>
              </w:rPr>
              <w:fldChar w:fldCharType="end"/>
            </w:r>
          </w:hyperlink>
        </w:p>
        <w:p w14:paraId="47495273" w14:textId="187AB10A" w:rsidR="002C31AC" w:rsidRDefault="002C31AC">
          <w:pPr>
            <w:pStyle w:val="TOC2"/>
            <w:tabs>
              <w:tab w:val="left" w:pos="960"/>
            </w:tabs>
            <w:rPr>
              <w:rFonts w:eastAsiaTheme="minorEastAsia"/>
              <w:noProof/>
              <w:sz w:val="24"/>
              <w:szCs w:val="24"/>
            </w:rPr>
          </w:pPr>
          <w:hyperlink w:anchor="_Toc156210447" w:history="1">
            <w:r w:rsidRPr="00BD7D0D">
              <w:rPr>
                <w:rStyle w:val="Hyperlink"/>
                <w:noProof/>
                <w:lang w:val="tr-TR"/>
              </w:rPr>
              <w:t>5.5.</w:t>
            </w:r>
            <w:r>
              <w:rPr>
                <w:rFonts w:eastAsiaTheme="minorEastAsia"/>
                <w:noProof/>
                <w:sz w:val="24"/>
                <w:szCs w:val="24"/>
              </w:rPr>
              <w:tab/>
            </w:r>
            <w:r w:rsidRPr="00BD7D0D">
              <w:rPr>
                <w:rStyle w:val="Hyperlink"/>
                <w:noProof/>
                <w:lang w:val="tr-TR"/>
              </w:rPr>
              <w:t>Kapasite Mekanizması Kapsamındaki Yaptırımlar</w:t>
            </w:r>
            <w:r>
              <w:rPr>
                <w:noProof/>
                <w:webHidden/>
              </w:rPr>
              <w:tab/>
            </w:r>
            <w:r>
              <w:rPr>
                <w:noProof/>
                <w:webHidden/>
              </w:rPr>
              <w:fldChar w:fldCharType="begin"/>
            </w:r>
            <w:r>
              <w:rPr>
                <w:noProof/>
                <w:webHidden/>
              </w:rPr>
              <w:instrText xml:space="preserve"> PAGEREF _Toc156210447 \h </w:instrText>
            </w:r>
            <w:r>
              <w:rPr>
                <w:noProof/>
                <w:webHidden/>
              </w:rPr>
            </w:r>
            <w:r>
              <w:rPr>
                <w:noProof/>
                <w:webHidden/>
              </w:rPr>
              <w:fldChar w:fldCharType="separate"/>
            </w:r>
            <w:r>
              <w:rPr>
                <w:noProof/>
                <w:webHidden/>
              </w:rPr>
              <w:t>65</w:t>
            </w:r>
            <w:r>
              <w:rPr>
                <w:noProof/>
                <w:webHidden/>
              </w:rPr>
              <w:fldChar w:fldCharType="end"/>
            </w:r>
          </w:hyperlink>
        </w:p>
        <w:p w14:paraId="62ECF053" w14:textId="24A0C7E4" w:rsidR="002C31AC" w:rsidRDefault="002C31AC">
          <w:pPr>
            <w:pStyle w:val="TOC1"/>
            <w:rPr>
              <w:rFonts w:eastAsiaTheme="minorEastAsia"/>
              <w:noProof/>
              <w:sz w:val="24"/>
              <w:szCs w:val="24"/>
            </w:rPr>
          </w:pPr>
          <w:hyperlink w:anchor="_Toc156210448" w:history="1">
            <w:r w:rsidRPr="00BD7D0D">
              <w:rPr>
                <w:rStyle w:val="Hyperlink"/>
                <w:noProof/>
                <w:lang w:val="tr-TR"/>
              </w:rPr>
              <w:t>6.</w:t>
            </w:r>
            <w:r>
              <w:rPr>
                <w:rFonts w:eastAsiaTheme="minorEastAsia"/>
                <w:noProof/>
                <w:sz w:val="24"/>
                <w:szCs w:val="24"/>
              </w:rPr>
              <w:tab/>
            </w:r>
            <w:r w:rsidRPr="00BD7D0D">
              <w:rPr>
                <w:rStyle w:val="Hyperlink"/>
                <w:noProof/>
                <w:lang w:val="tr-TR"/>
              </w:rPr>
              <w:t>Uzun Dönemde Kapasite Mekanizması İhtiyacının Nedenleri</w:t>
            </w:r>
            <w:r>
              <w:rPr>
                <w:noProof/>
                <w:webHidden/>
              </w:rPr>
              <w:tab/>
            </w:r>
            <w:r>
              <w:rPr>
                <w:noProof/>
                <w:webHidden/>
              </w:rPr>
              <w:fldChar w:fldCharType="begin"/>
            </w:r>
            <w:r>
              <w:rPr>
                <w:noProof/>
                <w:webHidden/>
              </w:rPr>
              <w:instrText xml:space="preserve"> PAGEREF _Toc156210448 \h </w:instrText>
            </w:r>
            <w:r>
              <w:rPr>
                <w:noProof/>
                <w:webHidden/>
              </w:rPr>
            </w:r>
            <w:r>
              <w:rPr>
                <w:noProof/>
                <w:webHidden/>
              </w:rPr>
              <w:fldChar w:fldCharType="separate"/>
            </w:r>
            <w:r>
              <w:rPr>
                <w:noProof/>
                <w:webHidden/>
              </w:rPr>
              <w:t>72</w:t>
            </w:r>
            <w:r>
              <w:rPr>
                <w:noProof/>
                <w:webHidden/>
              </w:rPr>
              <w:fldChar w:fldCharType="end"/>
            </w:r>
          </w:hyperlink>
        </w:p>
        <w:p w14:paraId="36CC853B" w14:textId="367D193B" w:rsidR="002C31AC" w:rsidRDefault="002C31AC">
          <w:pPr>
            <w:pStyle w:val="TOC2"/>
            <w:tabs>
              <w:tab w:val="left" w:pos="960"/>
            </w:tabs>
            <w:rPr>
              <w:rFonts w:eastAsiaTheme="minorEastAsia"/>
              <w:noProof/>
              <w:sz w:val="24"/>
              <w:szCs w:val="24"/>
            </w:rPr>
          </w:pPr>
          <w:hyperlink w:anchor="_Toc156210449" w:history="1">
            <w:r w:rsidRPr="00BD7D0D">
              <w:rPr>
                <w:rStyle w:val="Hyperlink"/>
                <w:noProof/>
                <w:lang w:val="tr-TR"/>
              </w:rPr>
              <w:t>6.1.</w:t>
            </w:r>
            <w:r>
              <w:rPr>
                <w:rFonts w:eastAsiaTheme="minorEastAsia"/>
                <w:noProof/>
                <w:sz w:val="24"/>
                <w:szCs w:val="24"/>
              </w:rPr>
              <w:tab/>
            </w:r>
            <w:r w:rsidRPr="00BD7D0D">
              <w:rPr>
                <w:rStyle w:val="Hyperlink"/>
                <w:noProof/>
                <w:lang w:val="tr-TR"/>
              </w:rPr>
              <w:t>Türkiye’de Enerji Sektöründe Uygulanan Sübvansiyonlar</w:t>
            </w:r>
            <w:r>
              <w:rPr>
                <w:noProof/>
                <w:webHidden/>
              </w:rPr>
              <w:tab/>
            </w:r>
            <w:r>
              <w:rPr>
                <w:noProof/>
                <w:webHidden/>
              </w:rPr>
              <w:fldChar w:fldCharType="begin"/>
            </w:r>
            <w:r>
              <w:rPr>
                <w:noProof/>
                <w:webHidden/>
              </w:rPr>
              <w:instrText xml:space="preserve"> PAGEREF _Toc156210449 \h </w:instrText>
            </w:r>
            <w:r>
              <w:rPr>
                <w:noProof/>
                <w:webHidden/>
              </w:rPr>
            </w:r>
            <w:r>
              <w:rPr>
                <w:noProof/>
                <w:webHidden/>
              </w:rPr>
              <w:fldChar w:fldCharType="separate"/>
            </w:r>
            <w:r>
              <w:rPr>
                <w:noProof/>
                <w:webHidden/>
              </w:rPr>
              <w:t>72</w:t>
            </w:r>
            <w:r>
              <w:rPr>
                <w:noProof/>
                <w:webHidden/>
              </w:rPr>
              <w:fldChar w:fldCharType="end"/>
            </w:r>
          </w:hyperlink>
        </w:p>
        <w:p w14:paraId="5F20038B" w14:textId="5D23AB7B" w:rsidR="002C31AC" w:rsidRDefault="002C31AC">
          <w:pPr>
            <w:pStyle w:val="TOC2"/>
            <w:tabs>
              <w:tab w:val="left" w:pos="960"/>
            </w:tabs>
            <w:rPr>
              <w:rFonts w:eastAsiaTheme="minorEastAsia"/>
              <w:noProof/>
              <w:sz w:val="24"/>
              <w:szCs w:val="24"/>
            </w:rPr>
          </w:pPr>
          <w:hyperlink w:anchor="_Toc156210450" w:history="1">
            <w:r w:rsidRPr="00BD7D0D">
              <w:rPr>
                <w:rStyle w:val="Hyperlink"/>
                <w:noProof/>
                <w:lang w:val="tr-TR"/>
              </w:rPr>
              <w:t>6.2.</w:t>
            </w:r>
            <w:r>
              <w:rPr>
                <w:rFonts w:eastAsiaTheme="minorEastAsia"/>
                <w:noProof/>
                <w:sz w:val="24"/>
                <w:szCs w:val="24"/>
              </w:rPr>
              <w:tab/>
            </w:r>
            <w:r w:rsidRPr="00BD7D0D">
              <w:rPr>
                <w:rStyle w:val="Hyperlink"/>
                <w:noProof/>
                <w:lang w:val="tr-TR"/>
              </w:rPr>
              <w:t>Enerji Piyasasındaki Müdahaleler</w:t>
            </w:r>
            <w:r>
              <w:rPr>
                <w:noProof/>
                <w:webHidden/>
              </w:rPr>
              <w:tab/>
            </w:r>
            <w:r>
              <w:rPr>
                <w:noProof/>
                <w:webHidden/>
              </w:rPr>
              <w:fldChar w:fldCharType="begin"/>
            </w:r>
            <w:r>
              <w:rPr>
                <w:noProof/>
                <w:webHidden/>
              </w:rPr>
              <w:instrText xml:space="preserve"> PAGEREF _Toc156210450 \h </w:instrText>
            </w:r>
            <w:r>
              <w:rPr>
                <w:noProof/>
                <w:webHidden/>
              </w:rPr>
            </w:r>
            <w:r>
              <w:rPr>
                <w:noProof/>
                <w:webHidden/>
              </w:rPr>
              <w:fldChar w:fldCharType="separate"/>
            </w:r>
            <w:r>
              <w:rPr>
                <w:noProof/>
                <w:webHidden/>
              </w:rPr>
              <w:t>74</w:t>
            </w:r>
            <w:r>
              <w:rPr>
                <w:noProof/>
                <w:webHidden/>
              </w:rPr>
              <w:fldChar w:fldCharType="end"/>
            </w:r>
          </w:hyperlink>
        </w:p>
        <w:p w14:paraId="6A34E6E7" w14:textId="7DD29919" w:rsidR="002C31AC" w:rsidRDefault="002C31AC">
          <w:pPr>
            <w:pStyle w:val="TOC2"/>
            <w:tabs>
              <w:tab w:val="left" w:pos="960"/>
            </w:tabs>
            <w:rPr>
              <w:rFonts w:eastAsiaTheme="minorEastAsia"/>
              <w:noProof/>
              <w:sz w:val="24"/>
              <w:szCs w:val="24"/>
            </w:rPr>
          </w:pPr>
          <w:hyperlink w:anchor="_Toc156210451" w:history="1">
            <w:r w:rsidRPr="00BD7D0D">
              <w:rPr>
                <w:rStyle w:val="Hyperlink"/>
                <w:noProof/>
                <w:lang w:val="tr-TR"/>
              </w:rPr>
              <w:t>6.3.</w:t>
            </w:r>
            <w:r>
              <w:rPr>
                <w:rFonts w:eastAsiaTheme="minorEastAsia"/>
                <w:noProof/>
                <w:sz w:val="24"/>
                <w:szCs w:val="24"/>
              </w:rPr>
              <w:tab/>
            </w:r>
            <w:r w:rsidRPr="00BD7D0D">
              <w:rPr>
                <w:rStyle w:val="Hyperlink"/>
                <w:noProof/>
                <w:lang w:val="tr-TR"/>
              </w:rPr>
              <w:t>Yerli Kömür Santrallerine Uygulanan Teşvikler</w:t>
            </w:r>
            <w:r>
              <w:rPr>
                <w:noProof/>
                <w:webHidden/>
              </w:rPr>
              <w:tab/>
            </w:r>
            <w:r>
              <w:rPr>
                <w:noProof/>
                <w:webHidden/>
              </w:rPr>
              <w:fldChar w:fldCharType="begin"/>
            </w:r>
            <w:r>
              <w:rPr>
                <w:noProof/>
                <w:webHidden/>
              </w:rPr>
              <w:instrText xml:space="preserve"> PAGEREF _Toc156210451 \h </w:instrText>
            </w:r>
            <w:r>
              <w:rPr>
                <w:noProof/>
                <w:webHidden/>
              </w:rPr>
            </w:r>
            <w:r>
              <w:rPr>
                <w:noProof/>
                <w:webHidden/>
              </w:rPr>
              <w:fldChar w:fldCharType="separate"/>
            </w:r>
            <w:r>
              <w:rPr>
                <w:noProof/>
                <w:webHidden/>
              </w:rPr>
              <w:t>76</w:t>
            </w:r>
            <w:r>
              <w:rPr>
                <w:noProof/>
                <w:webHidden/>
              </w:rPr>
              <w:fldChar w:fldCharType="end"/>
            </w:r>
          </w:hyperlink>
        </w:p>
        <w:p w14:paraId="0A8B0BFB" w14:textId="47789022" w:rsidR="002C31AC" w:rsidRDefault="002C31AC">
          <w:pPr>
            <w:pStyle w:val="TOC2"/>
            <w:tabs>
              <w:tab w:val="left" w:pos="960"/>
            </w:tabs>
            <w:rPr>
              <w:rFonts w:eastAsiaTheme="minorEastAsia"/>
              <w:noProof/>
              <w:sz w:val="24"/>
              <w:szCs w:val="24"/>
            </w:rPr>
          </w:pPr>
          <w:hyperlink w:anchor="_Toc156210452" w:history="1">
            <w:r w:rsidRPr="00BD7D0D">
              <w:rPr>
                <w:rStyle w:val="Hyperlink"/>
                <w:noProof/>
                <w:lang w:val="tr-TR"/>
              </w:rPr>
              <w:t>6.4.</w:t>
            </w:r>
            <w:r>
              <w:rPr>
                <w:rFonts w:eastAsiaTheme="minorEastAsia"/>
                <w:noProof/>
                <w:sz w:val="24"/>
                <w:szCs w:val="24"/>
              </w:rPr>
              <w:tab/>
            </w:r>
            <w:r w:rsidRPr="00BD7D0D">
              <w:rPr>
                <w:rStyle w:val="Hyperlink"/>
                <w:noProof/>
                <w:lang w:val="tr-TR"/>
              </w:rPr>
              <w:t>Ulusal Enerji Eylem Planı ve Gelecek Dönem Beklentileri</w:t>
            </w:r>
            <w:r>
              <w:rPr>
                <w:noProof/>
                <w:webHidden/>
              </w:rPr>
              <w:tab/>
            </w:r>
            <w:r>
              <w:rPr>
                <w:noProof/>
                <w:webHidden/>
              </w:rPr>
              <w:fldChar w:fldCharType="begin"/>
            </w:r>
            <w:r>
              <w:rPr>
                <w:noProof/>
                <w:webHidden/>
              </w:rPr>
              <w:instrText xml:space="preserve"> PAGEREF _Toc156210452 \h </w:instrText>
            </w:r>
            <w:r>
              <w:rPr>
                <w:noProof/>
                <w:webHidden/>
              </w:rPr>
            </w:r>
            <w:r>
              <w:rPr>
                <w:noProof/>
                <w:webHidden/>
              </w:rPr>
              <w:fldChar w:fldCharType="separate"/>
            </w:r>
            <w:r>
              <w:rPr>
                <w:noProof/>
                <w:webHidden/>
              </w:rPr>
              <w:t>78</w:t>
            </w:r>
            <w:r>
              <w:rPr>
                <w:noProof/>
                <w:webHidden/>
              </w:rPr>
              <w:fldChar w:fldCharType="end"/>
            </w:r>
          </w:hyperlink>
        </w:p>
        <w:p w14:paraId="13574A6B" w14:textId="1EC9A211" w:rsidR="002C31AC" w:rsidRDefault="002C31AC">
          <w:pPr>
            <w:pStyle w:val="TOC1"/>
            <w:rPr>
              <w:rFonts w:eastAsiaTheme="minorEastAsia"/>
              <w:noProof/>
              <w:sz w:val="24"/>
              <w:szCs w:val="24"/>
            </w:rPr>
          </w:pPr>
          <w:hyperlink w:anchor="_Toc156210453" w:history="1">
            <w:r w:rsidRPr="00BD7D0D">
              <w:rPr>
                <w:rStyle w:val="Hyperlink"/>
                <w:noProof/>
                <w:lang w:val="tr-TR"/>
              </w:rPr>
              <w:t>7.</w:t>
            </w:r>
            <w:r>
              <w:rPr>
                <w:rFonts w:eastAsiaTheme="minorEastAsia"/>
                <w:noProof/>
                <w:sz w:val="24"/>
                <w:szCs w:val="24"/>
              </w:rPr>
              <w:tab/>
            </w:r>
            <w:r w:rsidRPr="00BD7D0D">
              <w:rPr>
                <w:rStyle w:val="Hyperlink"/>
                <w:noProof/>
                <w:lang w:val="tr-TR"/>
              </w:rPr>
              <w:t>Politika Önerileri</w:t>
            </w:r>
            <w:r>
              <w:rPr>
                <w:noProof/>
                <w:webHidden/>
              </w:rPr>
              <w:tab/>
            </w:r>
            <w:r>
              <w:rPr>
                <w:noProof/>
                <w:webHidden/>
              </w:rPr>
              <w:fldChar w:fldCharType="begin"/>
            </w:r>
            <w:r>
              <w:rPr>
                <w:noProof/>
                <w:webHidden/>
              </w:rPr>
              <w:instrText xml:space="preserve"> PAGEREF _Toc156210453 \h </w:instrText>
            </w:r>
            <w:r>
              <w:rPr>
                <w:noProof/>
                <w:webHidden/>
              </w:rPr>
            </w:r>
            <w:r>
              <w:rPr>
                <w:noProof/>
                <w:webHidden/>
              </w:rPr>
              <w:fldChar w:fldCharType="separate"/>
            </w:r>
            <w:r>
              <w:rPr>
                <w:noProof/>
                <w:webHidden/>
              </w:rPr>
              <w:t>84</w:t>
            </w:r>
            <w:r>
              <w:rPr>
                <w:noProof/>
                <w:webHidden/>
              </w:rPr>
              <w:fldChar w:fldCharType="end"/>
            </w:r>
          </w:hyperlink>
        </w:p>
        <w:p w14:paraId="16CEA11F" w14:textId="4B54558C" w:rsidR="002C31AC" w:rsidRDefault="002C31AC">
          <w:pPr>
            <w:pStyle w:val="TOC1"/>
            <w:rPr>
              <w:rFonts w:eastAsiaTheme="minorEastAsia"/>
              <w:noProof/>
              <w:sz w:val="24"/>
              <w:szCs w:val="24"/>
            </w:rPr>
          </w:pPr>
          <w:hyperlink w:anchor="_Toc156210454" w:history="1">
            <w:r w:rsidRPr="00BD7D0D">
              <w:rPr>
                <w:rStyle w:val="Hyperlink"/>
                <w:noProof/>
                <w:lang w:val="tr-TR"/>
              </w:rPr>
              <w:t>Kaynaklar</w:t>
            </w:r>
            <w:r>
              <w:rPr>
                <w:noProof/>
                <w:webHidden/>
              </w:rPr>
              <w:tab/>
            </w:r>
            <w:r>
              <w:rPr>
                <w:noProof/>
                <w:webHidden/>
              </w:rPr>
              <w:fldChar w:fldCharType="begin"/>
            </w:r>
            <w:r>
              <w:rPr>
                <w:noProof/>
                <w:webHidden/>
              </w:rPr>
              <w:instrText xml:space="preserve"> PAGEREF _Toc156210454 \h </w:instrText>
            </w:r>
            <w:r>
              <w:rPr>
                <w:noProof/>
                <w:webHidden/>
              </w:rPr>
            </w:r>
            <w:r>
              <w:rPr>
                <w:noProof/>
                <w:webHidden/>
              </w:rPr>
              <w:fldChar w:fldCharType="separate"/>
            </w:r>
            <w:r>
              <w:rPr>
                <w:noProof/>
                <w:webHidden/>
              </w:rPr>
              <w:t>87</w:t>
            </w:r>
            <w:r>
              <w:rPr>
                <w:noProof/>
                <w:webHidden/>
              </w:rPr>
              <w:fldChar w:fldCharType="end"/>
            </w:r>
          </w:hyperlink>
        </w:p>
        <w:p w14:paraId="045AFEB6" w14:textId="1007E939" w:rsidR="008A77BA" w:rsidRDefault="00646960" w:rsidP="004D4361">
          <w:pPr>
            <w:spacing w:line="360" w:lineRule="auto"/>
            <w:rPr>
              <w:b/>
              <w:bCs/>
              <w:noProof/>
              <w:lang w:val="tr-TR"/>
            </w:rPr>
          </w:pPr>
          <w:r w:rsidRPr="00CF336B">
            <w:rPr>
              <w:b/>
              <w:bCs/>
              <w:noProof/>
              <w:lang w:val="tr-TR"/>
            </w:rPr>
            <w:fldChar w:fldCharType="end"/>
          </w:r>
        </w:p>
      </w:sdtContent>
    </w:sdt>
    <w:p w14:paraId="3D59FCC3" w14:textId="72E2DD91" w:rsidR="00DD1AE0" w:rsidRPr="00CF336B" w:rsidRDefault="00DD1AE0" w:rsidP="004D4361">
      <w:pPr>
        <w:spacing w:line="360" w:lineRule="auto"/>
        <w:rPr>
          <w:lang w:val="tr-TR"/>
        </w:rPr>
      </w:pPr>
      <w:r w:rsidRPr="00CF336B">
        <w:rPr>
          <w:lang w:val="tr-TR"/>
        </w:rPr>
        <w:br w:type="page"/>
      </w:r>
    </w:p>
    <w:p w14:paraId="0C0CD96D" w14:textId="2B1567FA" w:rsidR="00646960" w:rsidRPr="00CF336B" w:rsidRDefault="00646960" w:rsidP="004D4361">
      <w:pPr>
        <w:pStyle w:val="Heading1"/>
        <w:spacing w:line="360" w:lineRule="auto"/>
        <w:rPr>
          <w:lang w:val="tr-TR"/>
        </w:rPr>
      </w:pPr>
      <w:bookmarkStart w:id="1" w:name="_Toc156210430"/>
      <w:r w:rsidRPr="00CF336B">
        <w:rPr>
          <w:lang w:val="tr-TR"/>
        </w:rPr>
        <w:lastRenderedPageBreak/>
        <w:t>Şekiller Listesi</w:t>
      </w:r>
      <w:bookmarkEnd w:id="1"/>
    </w:p>
    <w:p w14:paraId="37A474F0" w14:textId="5324117C" w:rsidR="002C31AC" w:rsidRDefault="00646960">
      <w:pPr>
        <w:pStyle w:val="TableofFigures"/>
        <w:tabs>
          <w:tab w:val="right" w:leader="dot" w:pos="9350"/>
        </w:tabs>
        <w:rPr>
          <w:rFonts w:eastAsiaTheme="minorEastAsia"/>
          <w:noProof/>
          <w:sz w:val="24"/>
          <w:szCs w:val="24"/>
        </w:rPr>
      </w:pPr>
      <w:r w:rsidRPr="00CF336B">
        <w:rPr>
          <w:lang w:val="tr-TR"/>
        </w:rPr>
        <w:fldChar w:fldCharType="begin"/>
      </w:r>
      <w:r w:rsidRPr="00CF336B">
        <w:rPr>
          <w:lang w:val="tr-TR"/>
        </w:rPr>
        <w:instrText xml:space="preserve"> TOC \h \z \c "Şekil" </w:instrText>
      </w:r>
      <w:r w:rsidRPr="00CF336B">
        <w:rPr>
          <w:lang w:val="tr-TR"/>
        </w:rPr>
        <w:fldChar w:fldCharType="separate"/>
      </w:r>
      <w:hyperlink w:anchor="_Toc156210455" w:history="1">
        <w:r w:rsidR="002C31AC" w:rsidRPr="008159D3">
          <w:rPr>
            <w:rStyle w:val="Hyperlink"/>
            <w:noProof/>
            <w:lang w:val="tr-TR"/>
          </w:rPr>
          <w:t>Şekil 1. Normal Koşullarda ve Kıtlık Koşullarında Fiyat Oluşumu</w:t>
        </w:r>
        <w:r w:rsidR="002C31AC">
          <w:rPr>
            <w:noProof/>
            <w:webHidden/>
          </w:rPr>
          <w:tab/>
        </w:r>
        <w:r w:rsidR="002C31AC">
          <w:rPr>
            <w:noProof/>
            <w:webHidden/>
          </w:rPr>
          <w:fldChar w:fldCharType="begin"/>
        </w:r>
        <w:r w:rsidR="002C31AC">
          <w:rPr>
            <w:noProof/>
            <w:webHidden/>
          </w:rPr>
          <w:instrText xml:space="preserve"> PAGEREF _Toc156210455 \h </w:instrText>
        </w:r>
        <w:r w:rsidR="002C31AC">
          <w:rPr>
            <w:noProof/>
            <w:webHidden/>
          </w:rPr>
        </w:r>
        <w:r w:rsidR="002C31AC">
          <w:rPr>
            <w:noProof/>
            <w:webHidden/>
          </w:rPr>
          <w:fldChar w:fldCharType="separate"/>
        </w:r>
        <w:r w:rsidR="002C31AC">
          <w:rPr>
            <w:noProof/>
            <w:webHidden/>
          </w:rPr>
          <w:t>14</w:t>
        </w:r>
        <w:r w:rsidR="002C31AC">
          <w:rPr>
            <w:noProof/>
            <w:webHidden/>
          </w:rPr>
          <w:fldChar w:fldCharType="end"/>
        </w:r>
      </w:hyperlink>
    </w:p>
    <w:p w14:paraId="3B26DB7A" w14:textId="5A3BFD6C" w:rsidR="002C31AC" w:rsidRDefault="002C31AC">
      <w:pPr>
        <w:pStyle w:val="TableofFigures"/>
        <w:tabs>
          <w:tab w:val="right" w:leader="dot" w:pos="9350"/>
        </w:tabs>
        <w:rPr>
          <w:rFonts w:eastAsiaTheme="minorEastAsia"/>
          <w:noProof/>
          <w:sz w:val="24"/>
          <w:szCs w:val="24"/>
        </w:rPr>
      </w:pPr>
      <w:hyperlink w:anchor="_Toc156210456" w:history="1">
        <w:r w:rsidRPr="008159D3">
          <w:rPr>
            <w:rStyle w:val="Hyperlink"/>
            <w:noProof/>
            <w:lang w:val="tr-TR"/>
          </w:rPr>
          <w:t>Şekil 2. Kapasite Mekanizması Uygulama Yolları</w:t>
        </w:r>
        <w:r>
          <w:rPr>
            <w:noProof/>
            <w:webHidden/>
          </w:rPr>
          <w:tab/>
        </w:r>
        <w:r>
          <w:rPr>
            <w:noProof/>
            <w:webHidden/>
          </w:rPr>
          <w:fldChar w:fldCharType="begin"/>
        </w:r>
        <w:r>
          <w:rPr>
            <w:noProof/>
            <w:webHidden/>
          </w:rPr>
          <w:instrText xml:space="preserve"> PAGEREF _Toc156210456 \h </w:instrText>
        </w:r>
        <w:r>
          <w:rPr>
            <w:noProof/>
            <w:webHidden/>
          </w:rPr>
        </w:r>
        <w:r>
          <w:rPr>
            <w:noProof/>
            <w:webHidden/>
          </w:rPr>
          <w:fldChar w:fldCharType="separate"/>
        </w:r>
        <w:r>
          <w:rPr>
            <w:noProof/>
            <w:webHidden/>
          </w:rPr>
          <w:t>18</w:t>
        </w:r>
        <w:r>
          <w:rPr>
            <w:noProof/>
            <w:webHidden/>
          </w:rPr>
          <w:fldChar w:fldCharType="end"/>
        </w:r>
      </w:hyperlink>
    </w:p>
    <w:p w14:paraId="5CBEAB50" w14:textId="396B0551" w:rsidR="002C31AC" w:rsidRDefault="002C31AC">
      <w:pPr>
        <w:pStyle w:val="TableofFigures"/>
        <w:tabs>
          <w:tab w:val="right" w:leader="dot" w:pos="9350"/>
        </w:tabs>
        <w:rPr>
          <w:rFonts w:eastAsiaTheme="minorEastAsia"/>
          <w:noProof/>
          <w:sz w:val="24"/>
          <w:szCs w:val="24"/>
        </w:rPr>
      </w:pPr>
      <w:hyperlink w:anchor="_Toc156210457" w:history="1">
        <w:r w:rsidRPr="008159D3">
          <w:rPr>
            <w:rStyle w:val="Hyperlink"/>
            <w:noProof/>
            <w:lang w:val="tr-TR"/>
          </w:rPr>
          <w:t>Şekil 3. Kapasite Mekanizması Aylık Bütçe ve Yapılan Ödemeler</w:t>
        </w:r>
        <w:r>
          <w:rPr>
            <w:noProof/>
            <w:webHidden/>
          </w:rPr>
          <w:tab/>
        </w:r>
        <w:r>
          <w:rPr>
            <w:noProof/>
            <w:webHidden/>
          </w:rPr>
          <w:fldChar w:fldCharType="begin"/>
        </w:r>
        <w:r>
          <w:rPr>
            <w:noProof/>
            <w:webHidden/>
          </w:rPr>
          <w:instrText xml:space="preserve"> PAGEREF _Toc156210457 \h </w:instrText>
        </w:r>
        <w:r>
          <w:rPr>
            <w:noProof/>
            <w:webHidden/>
          </w:rPr>
        </w:r>
        <w:r>
          <w:rPr>
            <w:noProof/>
            <w:webHidden/>
          </w:rPr>
          <w:fldChar w:fldCharType="separate"/>
        </w:r>
        <w:r>
          <w:rPr>
            <w:noProof/>
            <w:webHidden/>
          </w:rPr>
          <w:t>30</w:t>
        </w:r>
        <w:r>
          <w:rPr>
            <w:noProof/>
            <w:webHidden/>
          </w:rPr>
          <w:fldChar w:fldCharType="end"/>
        </w:r>
      </w:hyperlink>
    </w:p>
    <w:p w14:paraId="19BF0DA8" w14:textId="2B4FE9CC" w:rsidR="002C31AC" w:rsidRDefault="002C31AC">
      <w:pPr>
        <w:pStyle w:val="TableofFigures"/>
        <w:tabs>
          <w:tab w:val="right" w:leader="dot" w:pos="9350"/>
        </w:tabs>
        <w:rPr>
          <w:rFonts w:eastAsiaTheme="minorEastAsia"/>
          <w:noProof/>
          <w:sz w:val="24"/>
          <w:szCs w:val="24"/>
        </w:rPr>
      </w:pPr>
      <w:hyperlink w:anchor="_Toc156210458" w:history="1">
        <w:r w:rsidRPr="008159D3">
          <w:rPr>
            <w:rStyle w:val="Hyperlink"/>
            <w:noProof/>
            <w:lang w:val="tr-TR"/>
          </w:rPr>
          <w:t>Şekil 4. Kapasite Mekanizması Ödemesinin Kaynak Bazında Dağılımı</w:t>
        </w:r>
        <w:r>
          <w:rPr>
            <w:noProof/>
            <w:webHidden/>
          </w:rPr>
          <w:tab/>
        </w:r>
        <w:r>
          <w:rPr>
            <w:noProof/>
            <w:webHidden/>
          </w:rPr>
          <w:fldChar w:fldCharType="begin"/>
        </w:r>
        <w:r>
          <w:rPr>
            <w:noProof/>
            <w:webHidden/>
          </w:rPr>
          <w:instrText xml:space="preserve"> PAGEREF _Toc156210458 \h </w:instrText>
        </w:r>
        <w:r>
          <w:rPr>
            <w:noProof/>
            <w:webHidden/>
          </w:rPr>
        </w:r>
        <w:r>
          <w:rPr>
            <w:noProof/>
            <w:webHidden/>
          </w:rPr>
          <w:fldChar w:fldCharType="separate"/>
        </w:r>
        <w:r>
          <w:rPr>
            <w:noProof/>
            <w:webHidden/>
          </w:rPr>
          <w:t>31</w:t>
        </w:r>
        <w:r>
          <w:rPr>
            <w:noProof/>
            <w:webHidden/>
          </w:rPr>
          <w:fldChar w:fldCharType="end"/>
        </w:r>
      </w:hyperlink>
    </w:p>
    <w:p w14:paraId="517BA798" w14:textId="56E69B28" w:rsidR="002C31AC" w:rsidRDefault="002C31AC">
      <w:pPr>
        <w:pStyle w:val="TableofFigures"/>
        <w:tabs>
          <w:tab w:val="right" w:leader="dot" w:pos="9350"/>
        </w:tabs>
        <w:rPr>
          <w:rFonts w:eastAsiaTheme="minorEastAsia"/>
          <w:noProof/>
          <w:sz w:val="24"/>
          <w:szCs w:val="24"/>
        </w:rPr>
      </w:pPr>
      <w:hyperlink w:anchor="_Toc156210459" w:history="1">
        <w:r w:rsidRPr="008159D3">
          <w:rPr>
            <w:rStyle w:val="Hyperlink"/>
            <w:noProof/>
            <w:lang w:val="tr-TR"/>
          </w:rPr>
          <w:t>Şekil 5. Kapasite Mekanizması Ödemesinin Kaynak Bazında Yüzdesel Dağılımı</w:t>
        </w:r>
        <w:r>
          <w:rPr>
            <w:noProof/>
            <w:webHidden/>
          </w:rPr>
          <w:tab/>
        </w:r>
        <w:r>
          <w:rPr>
            <w:noProof/>
            <w:webHidden/>
          </w:rPr>
          <w:fldChar w:fldCharType="begin"/>
        </w:r>
        <w:r>
          <w:rPr>
            <w:noProof/>
            <w:webHidden/>
          </w:rPr>
          <w:instrText xml:space="preserve"> PAGEREF _Toc156210459 \h </w:instrText>
        </w:r>
        <w:r>
          <w:rPr>
            <w:noProof/>
            <w:webHidden/>
          </w:rPr>
        </w:r>
        <w:r>
          <w:rPr>
            <w:noProof/>
            <w:webHidden/>
          </w:rPr>
          <w:fldChar w:fldCharType="separate"/>
        </w:r>
        <w:r>
          <w:rPr>
            <w:noProof/>
            <w:webHidden/>
          </w:rPr>
          <w:t>32</w:t>
        </w:r>
        <w:r>
          <w:rPr>
            <w:noProof/>
            <w:webHidden/>
          </w:rPr>
          <w:fldChar w:fldCharType="end"/>
        </w:r>
      </w:hyperlink>
    </w:p>
    <w:p w14:paraId="0FD94997" w14:textId="5C723F90" w:rsidR="002C31AC" w:rsidRDefault="002C31AC">
      <w:pPr>
        <w:pStyle w:val="TableofFigures"/>
        <w:tabs>
          <w:tab w:val="right" w:leader="dot" w:pos="9350"/>
        </w:tabs>
        <w:rPr>
          <w:rFonts w:eastAsiaTheme="minorEastAsia"/>
          <w:noProof/>
          <w:sz w:val="24"/>
          <w:szCs w:val="24"/>
        </w:rPr>
      </w:pPr>
      <w:hyperlink r:id="rId11" w:anchor="_Toc156210460" w:history="1">
        <w:r w:rsidRPr="008159D3">
          <w:rPr>
            <w:rStyle w:val="Hyperlink"/>
            <w:noProof/>
          </w:rPr>
          <w:t>Şekil 6. Avrupa Birliği’nde Uygulanan Kapasite Mekanizması Türleri</w:t>
        </w:r>
        <w:r>
          <w:rPr>
            <w:noProof/>
            <w:webHidden/>
          </w:rPr>
          <w:tab/>
        </w:r>
        <w:r>
          <w:rPr>
            <w:noProof/>
            <w:webHidden/>
          </w:rPr>
          <w:fldChar w:fldCharType="begin"/>
        </w:r>
        <w:r>
          <w:rPr>
            <w:noProof/>
            <w:webHidden/>
          </w:rPr>
          <w:instrText xml:space="preserve"> PAGEREF _Toc156210460 \h </w:instrText>
        </w:r>
        <w:r>
          <w:rPr>
            <w:noProof/>
            <w:webHidden/>
          </w:rPr>
        </w:r>
        <w:r>
          <w:rPr>
            <w:noProof/>
            <w:webHidden/>
          </w:rPr>
          <w:fldChar w:fldCharType="separate"/>
        </w:r>
        <w:r>
          <w:rPr>
            <w:noProof/>
            <w:webHidden/>
          </w:rPr>
          <w:t>34</w:t>
        </w:r>
        <w:r>
          <w:rPr>
            <w:noProof/>
            <w:webHidden/>
          </w:rPr>
          <w:fldChar w:fldCharType="end"/>
        </w:r>
      </w:hyperlink>
    </w:p>
    <w:p w14:paraId="1DE8D164" w14:textId="6D8C0620" w:rsidR="002C31AC" w:rsidRDefault="002C31AC">
      <w:pPr>
        <w:pStyle w:val="TableofFigures"/>
        <w:tabs>
          <w:tab w:val="right" w:leader="dot" w:pos="9350"/>
        </w:tabs>
        <w:rPr>
          <w:rFonts w:eastAsiaTheme="minorEastAsia"/>
          <w:noProof/>
          <w:sz w:val="24"/>
          <w:szCs w:val="24"/>
        </w:rPr>
      </w:pPr>
      <w:hyperlink w:anchor="_Toc156210461" w:history="1">
        <w:r w:rsidRPr="008159D3">
          <w:rPr>
            <w:rStyle w:val="Hyperlink"/>
            <w:noProof/>
            <w:lang w:val="tr-TR"/>
          </w:rPr>
          <w:t>Şekil 7. EU-27 İçerisinde Gerçekleşen ve Öngörülen Kapasite Mekanizması Maliyetleri</w:t>
        </w:r>
        <w:r>
          <w:rPr>
            <w:noProof/>
            <w:webHidden/>
          </w:rPr>
          <w:tab/>
        </w:r>
        <w:r>
          <w:rPr>
            <w:noProof/>
            <w:webHidden/>
          </w:rPr>
          <w:fldChar w:fldCharType="begin"/>
        </w:r>
        <w:r>
          <w:rPr>
            <w:noProof/>
            <w:webHidden/>
          </w:rPr>
          <w:instrText xml:space="preserve"> PAGEREF _Toc156210461 \h </w:instrText>
        </w:r>
        <w:r>
          <w:rPr>
            <w:noProof/>
            <w:webHidden/>
          </w:rPr>
        </w:r>
        <w:r>
          <w:rPr>
            <w:noProof/>
            <w:webHidden/>
          </w:rPr>
          <w:fldChar w:fldCharType="separate"/>
        </w:r>
        <w:r>
          <w:rPr>
            <w:noProof/>
            <w:webHidden/>
          </w:rPr>
          <w:t>35</w:t>
        </w:r>
        <w:r>
          <w:rPr>
            <w:noProof/>
            <w:webHidden/>
          </w:rPr>
          <w:fldChar w:fldCharType="end"/>
        </w:r>
      </w:hyperlink>
    </w:p>
    <w:p w14:paraId="07B5B143" w14:textId="3CA75C68" w:rsidR="002C31AC" w:rsidRDefault="002C31AC">
      <w:pPr>
        <w:pStyle w:val="TableofFigures"/>
        <w:tabs>
          <w:tab w:val="right" w:leader="dot" w:pos="9350"/>
        </w:tabs>
        <w:rPr>
          <w:rFonts w:eastAsiaTheme="minorEastAsia"/>
          <w:noProof/>
          <w:sz w:val="24"/>
          <w:szCs w:val="24"/>
        </w:rPr>
      </w:pPr>
      <w:hyperlink w:anchor="_Toc156210462" w:history="1">
        <w:r w:rsidRPr="008159D3">
          <w:rPr>
            <w:rStyle w:val="Hyperlink"/>
            <w:noProof/>
            <w:lang w:val="tr-TR"/>
          </w:rPr>
          <w:t>Şekil 8. 2020-2024 Yılları Arasında Fransa, İrlanda, İtalya ve Polonya’da Kapasite Mekanizması Kapsamında Yapılan ve Yapılması Öngörülen Ödemeler</w:t>
        </w:r>
        <w:r>
          <w:rPr>
            <w:noProof/>
            <w:webHidden/>
          </w:rPr>
          <w:tab/>
        </w:r>
        <w:r>
          <w:rPr>
            <w:noProof/>
            <w:webHidden/>
          </w:rPr>
          <w:fldChar w:fldCharType="begin"/>
        </w:r>
        <w:r>
          <w:rPr>
            <w:noProof/>
            <w:webHidden/>
          </w:rPr>
          <w:instrText xml:space="preserve"> PAGEREF _Toc156210462 \h </w:instrText>
        </w:r>
        <w:r>
          <w:rPr>
            <w:noProof/>
            <w:webHidden/>
          </w:rPr>
        </w:r>
        <w:r>
          <w:rPr>
            <w:noProof/>
            <w:webHidden/>
          </w:rPr>
          <w:fldChar w:fldCharType="separate"/>
        </w:r>
        <w:r>
          <w:rPr>
            <w:noProof/>
            <w:webHidden/>
          </w:rPr>
          <w:t>36</w:t>
        </w:r>
        <w:r>
          <w:rPr>
            <w:noProof/>
            <w:webHidden/>
          </w:rPr>
          <w:fldChar w:fldCharType="end"/>
        </w:r>
      </w:hyperlink>
    </w:p>
    <w:p w14:paraId="605E1933" w14:textId="6F1FCAFA" w:rsidR="002C31AC" w:rsidRDefault="002C31AC">
      <w:pPr>
        <w:pStyle w:val="TableofFigures"/>
        <w:tabs>
          <w:tab w:val="right" w:leader="dot" w:pos="9350"/>
        </w:tabs>
        <w:rPr>
          <w:rFonts w:eastAsiaTheme="minorEastAsia"/>
          <w:noProof/>
          <w:sz w:val="24"/>
          <w:szCs w:val="24"/>
        </w:rPr>
      </w:pPr>
      <w:hyperlink w:anchor="_Toc156210463" w:history="1">
        <w:r w:rsidRPr="008159D3">
          <w:rPr>
            <w:rStyle w:val="Hyperlink"/>
            <w:noProof/>
            <w:lang w:val="tr-TR"/>
          </w:rPr>
          <w:t>Şekil 9. 2020-2024 Yılları Arasında Almanya, Finlandiya, İspanya, İtalya ve Portekiz’de Kapasite Mekanizması Kapsamında Yapılan ve Yapılması Öngörülen Ödemeler</w:t>
        </w:r>
        <w:r>
          <w:rPr>
            <w:noProof/>
            <w:webHidden/>
          </w:rPr>
          <w:tab/>
        </w:r>
        <w:r>
          <w:rPr>
            <w:noProof/>
            <w:webHidden/>
          </w:rPr>
          <w:fldChar w:fldCharType="begin"/>
        </w:r>
        <w:r>
          <w:rPr>
            <w:noProof/>
            <w:webHidden/>
          </w:rPr>
          <w:instrText xml:space="preserve"> PAGEREF _Toc156210463 \h </w:instrText>
        </w:r>
        <w:r>
          <w:rPr>
            <w:noProof/>
            <w:webHidden/>
          </w:rPr>
        </w:r>
        <w:r>
          <w:rPr>
            <w:noProof/>
            <w:webHidden/>
          </w:rPr>
          <w:fldChar w:fldCharType="separate"/>
        </w:r>
        <w:r>
          <w:rPr>
            <w:noProof/>
            <w:webHidden/>
          </w:rPr>
          <w:t>36</w:t>
        </w:r>
        <w:r>
          <w:rPr>
            <w:noProof/>
            <w:webHidden/>
          </w:rPr>
          <w:fldChar w:fldCharType="end"/>
        </w:r>
      </w:hyperlink>
    </w:p>
    <w:p w14:paraId="14F9ACC5" w14:textId="1AA32493" w:rsidR="002C31AC" w:rsidRDefault="002C31AC">
      <w:pPr>
        <w:pStyle w:val="TableofFigures"/>
        <w:tabs>
          <w:tab w:val="right" w:leader="dot" w:pos="9350"/>
        </w:tabs>
        <w:rPr>
          <w:rFonts w:eastAsiaTheme="minorEastAsia"/>
          <w:noProof/>
          <w:sz w:val="24"/>
          <w:szCs w:val="24"/>
        </w:rPr>
      </w:pPr>
      <w:hyperlink w:anchor="_Toc156210464" w:history="1">
        <w:r w:rsidRPr="008159D3">
          <w:rPr>
            <w:rStyle w:val="Hyperlink"/>
            <w:noProof/>
            <w:lang w:val="tr-TR"/>
          </w:rPr>
          <w:t>Şekil 10. Kapasite Mekanizması Kapsamında MW Başına Yapılan Kapasite Ödemesi</w:t>
        </w:r>
        <w:r>
          <w:rPr>
            <w:noProof/>
            <w:webHidden/>
          </w:rPr>
          <w:tab/>
        </w:r>
        <w:r>
          <w:rPr>
            <w:noProof/>
            <w:webHidden/>
          </w:rPr>
          <w:fldChar w:fldCharType="begin"/>
        </w:r>
        <w:r>
          <w:rPr>
            <w:noProof/>
            <w:webHidden/>
          </w:rPr>
          <w:instrText xml:space="preserve"> PAGEREF _Toc156210464 \h </w:instrText>
        </w:r>
        <w:r>
          <w:rPr>
            <w:noProof/>
            <w:webHidden/>
          </w:rPr>
        </w:r>
        <w:r>
          <w:rPr>
            <w:noProof/>
            <w:webHidden/>
          </w:rPr>
          <w:fldChar w:fldCharType="separate"/>
        </w:r>
        <w:r>
          <w:rPr>
            <w:noProof/>
            <w:webHidden/>
          </w:rPr>
          <w:t>37</w:t>
        </w:r>
        <w:r>
          <w:rPr>
            <w:noProof/>
            <w:webHidden/>
          </w:rPr>
          <w:fldChar w:fldCharType="end"/>
        </w:r>
      </w:hyperlink>
    </w:p>
    <w:p w14:paraId="4965C2FB" w14:textId="23EC0825" w:rsidR="002C31AC" w:rsidRDefault="002C31AC">
      <w:pPr>
        <w:pStyle w:val="TableofFigures"/>
        <w:tabs>
          <w:tab w:val="right" w:leader="dot" w:pos="9350"/>
        </w:tabs>
        <w:rPr>
          <w:rFonts w:eastAsiaTheme="minorEastAsia"/>
          <w:noProof/>
          <w:sz w:val="24"/>
          <w:szCs w:val="24"/>
        </w:rPr>
      </w:pPr>
      <w:hyperlink w:anchor="_Toc156210465" w:history="1">
        <w:r w:rsidRPr="008159D3">
          <w:rPr>
            <w:rStyle w:val="Hyperlink"/>
            <w:noProof/>
            <w:lang w:val="tr-TR"/>
          </w:rPr>
          <w:t>Şekil 11. Talep Başına Düşen Birim Kapasite Maliyeti ve 2022 Yılında Kapasite Ödemelerinin Gün Öncesi Piyasasında Oluşan Fiyata Oranı</w:t>
        </w:r>
        <w:r>
          <w:rPr>
            <w:noProof/>
            <w:webHidden/>
          </w:rPr>
          <w:tab/>
        </w:r>
        <w:r>
          <w:rPr>
            <w:noProof/>
            <w:webHidden/>
          </w:rPr>
          <w:fldChar w:fldCharType="begin"/>
        </w:r>
        <w:r>
          <w:rPr>
            <w:noProof/>
            <w:webHidden/>
          </w:rPr>
          <w:instrText xml:space="preserve"> PAGEREF _Toc156210465 \h </w:instrText>
        </w:r>
        <w:r>
          <w:rPr>
            <w:noProof/>
            <w:webHidden/>
          </w:rPr>
        </w:r>
        <w:r>
          <w:rPr>
            <w:noProof/>
            <w:webHidden/>
          </w:rPr>
          <w:fldChar w:fldCharType="separate"/>
        </w:r>
        <w:r>
          <w:rPr>
            <w:noProof/>
            <w:webHidden/>
          </w:rPr>
          <w:t>38</w:t>
        </w:r>
        <w:r>
          <w:rPr>
            <w:noProof/>
            <w:webHidden/>
          </w:rPr>
          <w:fldChar w:fldCharType="end"/>
        </w:r>
      </w:hyperlink>
    </w:p>
    <w:p w14:paraId="5FF5E09D" w14:textId="510AD352" w:rsidR="002C31AC" w:rsidRDefault="002C31AC">
      <w:pPr>
        <w:pStyle w:val="TableofFigures"/>
        <w:tabs>
          <w:tab w:val="right" w:leader="dot" w:pos="9350"/>
        </w:tabs>
        <w:rPr>
          <w:rFonts w:eastAsiaTheme="minorEastAsia"/>
          <w:noProof/>
          <w:sz w:val="24"/>
          <w:szCs w:val="24"/>
        </w:rPr>
      </w:pPr>
      <w:hyperlink w:anchor="_Toc156210466" w:history="1">
        <w:r w:rsidRPr="008159D3">
          <w:rPr>
            <w:rStyle w:val="Hyperlink"/>
            <w:noProof/>
            <w:lang w:val="tr-TR"/>
          </w:rPr>
          <w:t>Şekil 12. Teknoloji Türüne Göre AB Kapasite Mekanizmalarında Teşvik Verilen Toplam Kapasite</w:t>
        </w:r>
        <w:r>
          <w:rPr>
            <w:noProof/>
            <w:webHidden/>
          </w:rPr>
          <w:tab/>
        </w:r>
        <w:r>
          <w:rPr>
            <w:noProof/>
            <w:webHidden/>
          </w:rPr>
          <w:fldChar w:fldCharType="begin"/>
        </w:r>
        <w:r>
          <w:rPr>
            <w:noProof/>
            <w:webHidden/>
          </w:rPr>
          <w:instrText xml:space="preserve"> PAGEREF _Toc156210466 \h </w:instrText>
        </w:r>
        <w:r>
          <w:rPr>
            <w:noProof/>
            <w:webHidden/>
          </w:rPr>
        </w:r>
        <w:r>
          <w:rPr>
            <w:noProof/>
            <w:webHidden/>
          </w:rPr>
          <w:fldChar w:fldCharType="separate"/>
        </w:r>
        <w:r>
          <w:rPr>
            <w:noProof/>
            <w:webHidden/>
          </w:rPr>
          <w:t>39</w:t>
        </w:r>
        <w:r>
          <w:rPr>
            <w:noProof/>
            <w:webHidden/>
          </w:rPr>
          <w:fldChar w:fldCharType="end"/>
        </w:r>
      </w:hyperlink>
    </w:p>
    <w:p w14:paraId="76B6C12C" w14:textId="122629DA" w:rsidR="002C31AC" w:rsidRDefault="002C31AC">
      <w:pPr>
        <w:pStyle w:val="TableofFigures"/>
        <w:tabs>
          <w:tab w:val="right" w:leader="dot" w:pos="9350"/>
        </w:tabs>
        <w:rPr>
          <w:rFonts w:eastAsiaTheme="minorEastAsia"/>
          <w:noProof/>
          <w:sz w:val="24"/>
          <w:szCs w:val="24"/>
        </w:rPr>
      </w:pPr>
      <w:hyperlink w:anchor="_Toc156210467" w:history="1">
        <w:r w:rsidRPr="008159D3">
          <w:rPr>
            <w:rStyle w:val="Hyperlink"/>
            <w:noProof/>
            <w:lang w:val="tr-TR"/>
          </w:rPr>
          <w:t>Şekil 13. AB-27'de Teknoloji Türüne Göre Uzun Vadeli Sözleşmeye Bağlanmış Kapasite ve İlgili Maliyetler</w:t>
        </w:r>
        <w:r>
          <w:rPr>
            <w:noProof/>
            <w:webHidden/>
          </w:rPr>
          <w:tab/>
        </w:r>
        <w:r>
          <w:rPr>
            <w:noProof/>
            <w:webHidden/>
          </w:rPr>
          <w:fldChar w:fldCharType="begin"/>
        </w:r>
        <w:r>
          <w:rPr>
            <w:noProof/>
            <w:webHidden/>
          </w:rPr>
          <w:instrText xml:space="preserve"> PAGEREF _Toc156210467 \h </w:instrText>
        </w:r>
        <w:r>
          <w:rPr>
            <w:noProof/>
            <w:webHidden/>
          </w:rPr>
        </w:r>
        <w:r>
          <w:rPr>
            <w:noProof/>
            <w:webHidden/>
          </w:rPr>
          <w:fldChar w:fldCharType="separate"/>
        </w:r>
        <w:r>
          <w:rPr>
            <w:noProof/>
            <w:webHidden/>
          </w:rPr>
          <w:t>40</w:t>
        </w:r>
        <w:r>
          <w:rPr>
            <w:noProof/>
            <w:webHidden/>
          </w:rPr>
          <w:fldChar w:fldCharType="end"/>
        </w:r>
      </w:hyperlink>
    </w:p>
    <w:p w14:paraId="5C1DA287" w14:textId="7851D3AE" w:rsidR="002C31AC" w:rsidRDefault="002C31AC">
      <w:pPr>
        <w:pStyle w:val="TableofFigures"/>
        <w:tabs>
          <w:tab w:val="right" w:leader="dot" w:pos="9350"/>
        </w:tabs>
        <w:rPr>
          <w:rFonts w:eastAsiaTheme="minorEastAsia"/>
          <w:noProof/>
          <w:sz w:val="24"/>
          <w:szCs w:val="24"/>
        </w:rPr>
      </w:pPr>
      <w:hyperlink w:anchor="_Toc156210468" w:history="1">
        <w:r w:rsidRPr="008159D3">
          <w:rPr>
            <w:rStyle w:val="Hyperlink"/>
            <w:noProof/>
            <w:lang w:val="tr-TR"/>
          </w:rPr>
          <w:t>Şekil 14. Almanya Yıllık Kapasite Rezervi</w:t>
        </w:r>
        <w:r>
          <w:rPr>
            <w:noProof/>
            <w:webHidden/>
          </w:rPr>
          <w:tab/>
        </w:r>
        <w:r>
          <w:rPr>
            <w:noProof/>
            <w:webHidden/>
          </w:rPr>
          <w:fldChar w:fldCharType="begin"/>
        </w:r>
        <w:r>
          <w:rPr>
            <w:noProof/>
            <w:webHidden/>
          </w:rPr>
          <w:instrText xml:space="preserve"> PAGEREF _Toc156210468 \h </w:instrText>
        </w:r>
        <w:r>
          <w:rPr>
            <w:noProof/>
            <w:webHidden/>
          </w:rPr>
        </w:r>
        <w:r>
          <w:rPr>
            <w:noProof/>
            <w:webHidden/>
          </w:rPr>
          <w:fldChar w:fldCharType="separate"/>
        </w:r>
        <w:r>
          <w:rPr>
            <w:noProof/>
            <w:webHidden/>
          </w:rPr>
          <w:t>43</w:t>
        </w:r>
        <w:r>
          <w:rPr>
            <w:noProof/>
            <w:webHidden/>
          </w:rPr>
          <w:fldChar w:fldCharType="end"/>
        </w:r>
      </w:hyperlink>
    </w:p>
    <w:p w14:paraId="77F10475" w14:textId="42EA82D1" w:rsidR="002C31AC" w:rsidRDefault="002C31AC">
      <w:pPr>
        <w:pStyle w:val="TableofFigures"/>
        <w:tabs>
          <w:tab w:val="right" w:leader="dot" w:pos="9350"/>
        </w:tabs>
        <w:rPr>
          <w:rFonts w:eastAsiaTheme="minorEastAsia"/>
          <w:noProof/>
          <w:sz w:val="24"/>
          <w:szCs w:val="24"/>
        </w:rPr>
      </w:pPr>
      <w:hyperlink w:anchor="_Toc156210469" w:history="1">
        <w:r w:rsidRPr="008159D3">
          <w:rPr>
            <w:rStyle w:val="Hyperlink"/>
            <w:noProof/>
            <w:lang w:val="tr-TR"/>
          </w:rPr>
          <w:t>Şekil 15. Almanya Kömür Kaynaklı Elektrik Üretimi ve Toplam Üretimdeki Payı</w:t>
        </w:r>
        <w:r>
          <w:rPr>
            <w:noProof/>
            <w:webHidden/>
          </w:rPr>
          <w:tab/>
        </w:r>
        <w:r>
          <w:rPr>
            <w:noProof/>
            <w:webHidden/>
          </w:rPr>
          <w:fldChar w:fldCharType="begin"/>
        </w:r>
        <w:r>
          <w:rPr>
            <w:noProof/>
            <w:webHidden/>
          </w:rPr>
          <w:instrText xml:space="preserve"> PAGEREF _Toc156210469 \h </w:instrText>
        </w:r>
        <w:r>
          <w:rPr>
            <w:noProof/>
            <w:webHidden/>
          </w:rPr>
        </w:r>
        <w:r>
          <w:rPr>
            <w:noProof/>
            <w:webHidden/>
          </w:rPr>
          <w:fldChar w:fldCharType="separate"/>
        </w:r>
        <w:r>
          <w:rPr>
            <w:noProof/>
            <w:webHidden/>
          </w:rPr>
          <w:t>44</w:t>
        </w:r>
        <w:r>
          <w:rPr>
            <w:noProof/>
            <w:webHidden/>
          </w:rPr>
          <w:fldChar w:fldCharType="end"/>
        </w:r>
      </w:hyperlink>
    </w:p>
    <w:p w14:paraId="74450086" w14:textId="68A2639D" w:rsidR="002C31AC" w:rsidRDefault="002C31AC">
      <w:pPr>
        <w:pStyle w:val="TableofFigures"/>
        <w:tabs>
          <w:tab w:val="right" w:leader="dot" w:pos="9350"/>
        </w:tabs>
        <w:rPr>
          <w:rFonts w:eastAsiaTheme="minorEastAsia"/>
          <w:noProof/>
          <w:sz w:val="24"/>
          <w:szCs w:val="24"/>
        </w:rPr>
      </w:pPr>
      <w:hyperlink r:id="rId12" w:anchor="_Toc156210470" w:history="1">
        <w:r w:rsidRPr="008159D3">
          <w:rPr>
            <w:rStyle w:val="Hyperlink"/>
            <w:noProof/>
          </w:rPr>
          <w:t>Şekil 16. Almanya Kömür Kaynaklı Elektrik Üretimi, Elektrik Sektörü ve Toplam Karbon Emisyonu</w:t>
        </w:r>
        <w:r>
          <w:rPr>
            <w:noProof/>
            <w:webHidden/>
          </w:rPr>
          <w:tab/>
        </w:r>
        <w:r>
          <w:rPr>
            <w:noProof/>
            <w:webHidden/>
          </w:rPr>
          <w:fldChar w:fldCharType="begin"/>
        </w:r>
        <w:r>
          <w:rPr>
            <w:noProof/>
            <w:webHidden/>
          </w:rPr>
          <w:instrText xml:space="preserve"> PAGEREF _Toc156210470 \h </w:instrText>
        </w:r>
        <w:r>
          <w:rPr>
            <w:noProof/>
            <w:webHidden/>
          </w:rPr>
        </w:r>
        <w:r>
          <w:rPr>
            <w:noProof/>
            <w:webHidden/>
          </w:rPr>
          <w:fldChar w:fldCharType="separate"/>
        </w:r>
        <w:r>
          <w:rPr>
            <w:noProof/>
            <w:webHidden/>
          </w:rPr>
          <w:t>45</w:t>
        </w:r>
        <w:r>
          <w:rPr>
            <w:noProof/>
            <w:webHidden/>
          </w:rPr>
          <w:fldChar w:fldCharType="end"/>
        </w:r>
      </w:hyperlink>
    </w:p>
    <w:p w14:paraId="163216FC" w14:textId="7DC480A1" w:rsidR="002C31AC" w:rsidRDefault="002C31AC">
      <w:pPr>
        <w:pStyle w:val="TableofFigures"/>
        <w:tabs>
          <w:tab w:val="right" w:leader="dot" w:pos="9350"/>
        </w:tabs>
        <w:rPr>
          <w:rFonts w:eastAsiaTheme="minorEastAsia"/>
          <w:noProof/>
          <w:sz w:val="24"/>
          <w:szCs w:val="24"/>
        </w:rPr>
      </w:pPr>
      <w:hyperlink w:anchor="_Toc156210471" w:history="1">
        <w:r w:rsidRPr="008159D3">
          <w:rPr>
            <w:rStyle w:val="Hyperlink"/>
            <w:noProof/>
          </w:rPr>
          <w:t>Şekil 17. 2014-2022 Yılı Kapasite Mekanizması İhalelerinde Teknoloji Bazlı De-Rating Faktörleri</w:t>
        </w:r>
        <w:r>
          <w:rPr>
            <w:noProof/>
            <w:webHidden/>
          </w:rPr>
          <w:tab/>
        </w:r>
        <w:r>
          <w:rPr>
            <w:noProof/>
            <w:webHidden/>
          </w:rPr>
          <w:fldChar w:fldCharType="begin"/>
        </w:r>
        <w:r>
          <w:rPr>
            <w:noProof/>
            <w:webHidden/>
          </w:rPr>
          <w:instrText xml:space="preserve"> PAGEREF _Toc156210471 \h </w:instrText>
        </w:r>
        <w:r>
          <w:rPr>
            <w:noProof/>
            <w:webHidden/>
          </w:rPr>
        </w:r>
        <w:r>
          <w:rPr>
            <w:noProof/>
            <w:webHidden/>
          </w:rPr>
          <w:fldChar w:fldCharType="separate"/>
        </w:r>
        <w:r>
          <w:rPr>
            <w:noProof/>
            <w:webHidden/>
          </w:rPr>
          <w:t>48</w:t>
        </w:r>
        <w:r>
          <w:rPr>
            <w:noProof/>
            <w:webHidden/>
          </w:rPr>
          <w:fldChar w:fldCharType="end"/>
        </w:r>
      </w:hyperlink>
    </w:p>
    <w:p w14:paraId="1AA8703B" w14:textId="27CAA041" w:rsidR="002C31AC" w:rsidRDefault="002C31AC">
      <w:pPr>
        <w:pStyle w:val="TableofFigures"/>
        <w:tabs>
          <w:tab w:val="right" w:leader="dot" w:pos="9350"/>
        </w:tabs>
        <w:rPr>
          <w:rFonts w:eastAsiaTheme="minorEastAsia"/>
          <w:noProof/>
          <w:sz w:val="24"/>
          <w:szCs w:val="24"/>
        </w:rPr>
      </w:pPr>
      <w:hyperlink w:anchor="_Toc156210472" w:history="1">
        <w:r w:rsidRPr="008159D3">
          <w:rPr>
            <w:rStyle w:val="Hyperlink"/>
            <w:noProof/>
          </w:rPr>
          <w:t>Şekil 18. 2014-2022 Yılı Kapasite Mekanizması İhalelerinde Batarya ve Depolama De-Rating Faktörleri</w:t>
        </w:r>
        <w:r>
          <w:rPr>
            <w:noProof/>
            <w:webHidden/>
          </w:rPr>
          <w:tab/>
        </w:r>
        <w:r>
          <w:rPr>
            <w:noProof/>
            <w:webHidden/>
          </w:rPr>
          <w:fldChar w:fldCharType="begin"/>
        </w:r>
        <w:r>
          <w:rPr>
            <w:noProof/>
            <w:webHidden/>
          </w:rPr>
          <w:instrText xml:space="preserve"> PAGEREF _Toc156210472 \h </w:instrText>
        </w:r>
        <w:r>
          <w:rPr>
            <w:noProof/>
            <w:webHidden/>
          </w:rPr>
        </w:r>
        <w:r>
          <w:rPr>
            <w:noProof/>
            <w:webHidden/>
          </w:rPr>
          <w:fldChar w:fldCharType="separate"/>
        </w:r>
        <w:r>
          <w:rPr>
            <w:noProof/>
            <w:webHidden/>
          </w:rPr>
          <w:t>49</w:t>
        </w:r>
        <w:r>
          <w:rPr>
            <w:noProof/>
            <w:webHidden/>
          </w:rPr>
          <w:fldChar w:fldCharType="end"/>
        </w:r>
      </w:hyperlink>
    </w:p>
    <w:p w14:paraId="4AE64121" w14:textId="4A497224" w:rsidR="002C31AC" w:rsidRDefault="002C31AC">
      <w:pPr>
        <w:pStyle w:val="TableofFigures"/>
        <w:tabs>
          <w:tab w:val="right" w:leader="dot" w:pos="9350"/>
        </w:tabs>
        <w:rPr>
          <w:rFonts w:eastAsiaTheme="minorEastAsia"/>
          <w:noProof/>
          <w:sz w:val="24"/>
          <w:szCs w:val="24"/>
        </w:rPr>
      </w:pPr>
      <w:hyperlink r:id="rId13" w:anchor="_Toc156210473" w:history="1">
        <w:r w:rsidRPr="008159D3">
          <w:rPr>
            <w:rStyle w:val="Hyperlink"/>
            <w:noProof/>
          </w:rPr>
          <w:t>Şekil 19. 2019-2022 Yılı Kapasite Mekanizması İhalelerinde Yenilenebilir Enerji Kaynakları De-Rating Faktörleri</w:t>
        </w:r>
        <w:r>
          <w:rPr>
            <w:noProof/>
            <w:webHidden/>
          </w:rPr>
          <w:tab/>
        </w:r>
        <w:r>
          <w:rPr>
            <w:noProof/>
            <w:webHidden/>
          </w:rPr>
          <w:fldChar w:fldCharType="begin"/>
        </w:r>
        <w:r>
          <w:rPr>
            <w:noProof/>
            <w:webHidden/>
          </w:rPr>
          <w:instrText xml:space="preserve"> PAGEREF _Toc156210473 \h </w:instrText>
        </w:r>
        <w:r>
          <w:rPr>
            <w:noProof/>
            <w:webHidden/>
          </w:rPr>
        </w:r>
        <w:r>
          <w:rPr>
            <w:noProof/>
            <w:webHidden/>
          </w:rPr>
          <w:fldChar w:fldCharType="separate"/>
        </w:r>
        <w:r>
          <w:rPr>
            <w:noProof/>
            <w:webHidden/>
          </w:rPr>
          <w:t>50</w:t>
        </w:r>
        <w:r>
          <w:rPr>
            <w:noProof/>
            <w:webHidden/>
          </w:rPr>
          <w:fldChar w:fldCharType="end"/>
        </w:r>
      </w:hyperlink>
    </w:p>
    <w:p w14:paraId="7E5D6394" w14:textId="177D519C" w:rsidR="002C31AC" w:rsidRDefault="002C31AC">
      <w:pPr>
        <w:pStyle w:val="TableofFigures"/>
        <w:tabs>
          <w:tab w:val="right" w:leader="dot" w:pos="9350"/>
        </w:tabs>
        <w:rPr>
          <w:rFonts w:eastAsiaTheme="minorEastAsia"/>
          <w:noProof/>
          <w:sz w:val="24"/>
          <w:szCs w:val="24"/>
        </w:rPr>
      </w:pPr>
      <w:hyperlink w:anchor="_Toc156210474" w:history="1">
        <w:r w:rsidRPr="008159D3">
          <w:rPr>
            <w:rStyle w:val="Hyperlink"/>
            <w:noProof/>
            <w:lang w:val="tr-TR"/>
          </w:rPr>
          <w:t>Şekil 20. İngiltere İhaleler ve Teslimat Yıllarında İhale Edilen Toplam Kapasite</w:t>
        </w:r>
        <w:r>
          <w:rPr>
            <w:noProof/>
            <w:webHidden/>
          </w:rPr>
          <w:tab/>
        </w:r>
        <w:r>
          <w:rPr>
            <w:noProof/>
            <w:webHidden/>
          </w:rPr>
          <w:fldChar w:fldCharType="begin"/>
        </w:r>
        <w:r>
          <w:rPr>
            <w:noProof/>
            <w:webHidden/>
          </w:rPr>
          <w:instrText xml:space="preserve"> PAGEREF _Toc156210474 \h </w:instrText>
        </w:r>
        <w:r>
          <w:rPr>
            <w:noProof/>
            <w:webHidden/>
          </w:rPr>
        </w:r>
        <w:r>
          <w:rPr>
            <w:noProof/>
            <w:webHidden/>
          </w:rPr>
          <w:fldChar w:fldCharType="separate"/>
        </w:r>
        <w:r>
          <w:rPr>
            <w:noProof/>
            <w:webHidden/>
          </w:rPr>
          <w:t>51</w:t>
        </w:r>
        <w:r>
          <w:rPr>
            <w:noProof/>
            <w:webHidden/>
          </w:rPr>
          <w:fldChar w:fldCharType="end"/>
        </w:r>
      </w:hyperlink>
    </w:p>
    <w:p w14:paraId="5FC227BD" w14:textId="72BF1EC3" w:rsidR="002C31AC" w:rsidRDefault="002C31AC">
      <w:pPr>
        <w:pStyle w:val="TableofFigures"/>
        <w:tabs>
          <w:tab w:val="right" w:leader="dot" w:pos="9350"/>
        </w:tabs>
        <w:rPr>
          <w:rFonts w:eastAsiaTheme="minorEastAsia"/>
          <w:noProof/>
          <w:sz w:val="24"/>
          <w:szCs w:val="24"/>
        </w:rPr>
      </w:pPr>
      <w:hyperlink w:anchor="_Toc156210475" w:history="1">
        <w:r w:rsidRPr="008159D3">
          <w:rPr>
            <w:rStyle w:val="Hyperlink"/>
            <w:noProof/>
            <w:lang w:val="tr-TR"/>
          </w:rPr>
          <w:t>Şekil 21. İngiltere İhalelerde Dağıtılan Toplam Kapasite ve Kömür Santrali Kapasitesi</w:t>
        </w:r>
        <w:r>
          <w:rPr>
            <w:noProof/>
            <w:webHidden/>
          </w:rPr>
          <w:tab/>
        </w:r>
        <w:r>
          <w:rPr>
            <w:noProof/>
            <w:webHidden/>
          </w:rPr>
          <w:fldChar w:fldCharType="begin"/>
        </w:r>
        <w:r>
          <w:rPr>
            <w:noProof/>
            <w:webHidden/>
          </w:rPr>
          <w:instrText xml:space="preserve"> PAGEREF _Toc156210475 \h </w:instrText>
        </w:r>
        <w:r>
          <w:rPr>
            <w:noProof/>
            <w:webHidden/>
          </w:rPr>
        </w:r>
        <w:r>
          <w:rPr>
            <w:noProof/>
            <w:webHidden/>
          </w:rPr>
          <w:fldChar w:fldCharType="separate"/>
        </w:r>
        <w:r>
          <w:rPr>
            <w:noProof/>
            <w:webHidden/>
          </w:rPr>
          <w:t>52</w:t>
        </w:r>
        <w:r>
          <w:rPr>
            <w:noProof/>
            <w:webHidden/>
          </w:rPr>
          <w:fldChar w:fldCharType="end"/>
        </w:r>
      </w:hyperlink>
    </w:p>
    <w:p w14:paraId="367B6AFB" w14:textId="5C5CCF8D" w:rsidR="002C31AC" w:rsidRDefault="002C31AC">
      <w:pPr>
        <w:pStyle w:val="TableofFigures"/>
        <w:tabs>
          <w:tab w:val="right" w:leader="dot" w:pos="9350"/>
        </w:tabs>
        <w:rPr>
          <w:rFonts w:eastAsiaTheme="minorEastAsia"/>
          <w:noProof/>
          <w:sz w:val="24"/>
          <w:szCs w:val="24"/>
        </w:rPr>
      </w:pPr>
      <w:hyperlink w:anchor="_Toc156210476" w:history="1">
        <w:r w:rsidRPr="008159D3">
          <w:rPr>
            <w:rStyle w:val="Hyperlink"/>
            <w:noProof/>
            <w:lang w:val="tr-TR"/>
          </w:rPr>
          <w:t>Şekil 22. İngiltere İhalelerin Tahmini Toplam Maliyeti</w:t>
        </w:r>
        <w:r>
          <w:rPr>
            <w:noProof/>
            <w:webHidden/>
          </w:rPr>
          <w:tab/>
        </w:r>
        <w:r>
          <w:rPr>
            <w:noProof/>
            <w:webHidden/>
          </w:rPr>
          <w:fldChar w:fldCharType="begin"/>
        </w:r>
        <w:r>
          <w:rPr>
            <w:noProof/>
            <w:webHidden/>
          </w:rPr>
          <w:instrText xml:space="preserve"> PAGEREF _Toc156210476 \h </w:instrText>
        </w:r>
        <w:r>
          <w:rPr>
            <w:noProof/>
            <w:webHidden/>
          </w:rPr>
        </w:r>
        <w:r>
          <w:rPr>
            <w:noProof/>
            <w:webHidden/>
          </w:rPr>
          <w:fldChar w:fldCharType="separate"/>
        </w:r>
        <w:r>
          <w:rPr>
            <w:noProof/>
            <w:webHidden/>
          </w:rPr>
          <w:t>53</w:t>
        </w:r>
        <w:r>
          <w:rPr>
            <w:noProof/>
            <w:webHidden/>
          </w:rPr>
          <w:fldChar w:fldCharType="end"/>
        </w:r>
      </w:hyperlink>
    </w:p>
    <w:p w14:paraId="37C3F98C" w14:textId="6E1A075A" w:rsidR="002C31AC" w:rsidRDefault="002C31AC">
      <w:pPr>
        <w:pStyle w:val="TableofFigures"/>
        <w:tabs>
          <w:tab w:val="right" w:leader="dot" w:pos="9350"/>
        </w:tabs>
        <w:rPr>
          <w:rFonts w:eastAsiaTheme="minorEastAsia"/>
          <w:noProof/>
          <w:sz w:val="24"/>
          <w:szCs w:val="24"/>
        </w:rPr>
      </w:pPr>
      <w:hyperlink w:anchor="_Toc156210477" w:history="1">
        <w:r w:rsidRPr="008159D3">
          <w:rPr>
            <w:rStyle w:val="Hyperlink"/>
            <w:noProof/>
            <w:lang w:val="tr-TR"/>
          </w:rPr>
          <w:t>Şekil 23. İngiltere Kömür Kaynaklı Elektrik Üretimi ve Toplam Üretimdeki Payı</w:t>
        </w:r>
        <w:r>
          <w:rPr>
            <w:noProof/>
            <w:webHidden/>
          </w:rPr>
          <w:tab/>
        </w:r>
        <w:r>
          <w:rPr>
            <w:noProof/>
            <w:webHidden/>
          </w:rPr>
          <w:fldChar w:fldCharType="begin"/>
        </w:r>
        <w:r>
          <w:rPr>
            <w:noProof/>
            <w:webHidden/>
          </w:rPr>
          <w:instrText xml:space="preserve"> PAGEREF _Toc156210477 \h </w:instrText>
        </w:r>
        <w:r>
          <w:rPr>
            <w:noProof/>
            <w:webHidden/>
          </w:rPr>
        </w:r>
        <w:r>
          <w:rPr>
            <w:noProof/>
            <w:webHidden/>
          </w:rPr>
          <w:fldChar w:fldCharType="separate"/>
        </w:r>
        <w:r>
          <w:rPr>
            <w:noProof/>
            <w:webHidden/>
          </w:rPr>
          <w:t>54</w:t>
        </w:r>
        <w:r>
          <w:rPr>
            <w:noProof/>
            <w:webHidden/>
          </w:rPr>
          <w:fldChar w:fldCharType="end"/>
        </w:r>
      </w:hyperlink>
    </w:p>
    <w:p w14:paraId="74494BF2" w14:textId="73348138" w:rsidR="002C31AC" w:rsidRDefault="002C31AC">
      <w:pPr>
        <w:pStyle w:val="TableofFigures"/>
        <w:tabs>
          <w:tab w:val="right" w:leader="dot" w:pos="9350"/>
        </w:tabs>
        <w:rPr>
          <w:rFonts w:eastAsiaTheme="minorEastAsia"/>
          <w:noProof/>
          <w:sz w:val="24"/>
          <w:szCs w:val="24"/>
        </w:rPr>
      </w:pPr>
      <w:hyperlink w:anchor="_Toc156210478" w:history="1">
        <w:r w:rsidRPr="008159D3">
          <w:rPr>
            <w:rStyle w:val="Hyperlink"/>
            <w:noProof/>
            <w:lang w:val="tr-TR"/>
          </w:rPr>
          <w:t>Şekil 24. İspanya Kurulu Güç Dağılımı</w:t>
        </w:r>
        <w:r>
          <w:rPr>
            <w:noProof/>
            <w:webHidden/>
          </w:rPr>
          <w:tab/>
        </w:r>
        <w:r>
          <w:rPr>
            <w:noProof/>
            <w:webHidden/>
          </w:rPr>
          <w:fldChar w:fldCharType="begin"/>
        </w:r>
        <w:r>
          <w:rPr>
            <w:noProof/>
            <w:webHidden/>
          </w:rPr>
          <w:instrText xml:space="preserve"> PAGEREF _Toc156210478 \h </w:instrText>
        </w:r>
        <w:r>
          <w:rPr>
            <w:noProof/>
            <w:webHidden/>
          </w:rPr>
        </w:r>
        <w:r>
          <w:rPr>
            <w:noProof/>
            <w:webHidden/>
          </w:rPr>
          <w:fldChar w:fldCharType="separate"/>
        </w:r>
        <w:r>
          <w:rPr>
            <w:noProof/>
            <w:webHidden/>
          </w:rPr>
          <w:t>56</w:t>
        </w:r>
        <w:r>
          <w:rPr>
            <w:noProof/>
            <w:webHidden/>
          </w:rPr>
          <w:fldChar w:fldCharType="end"/>
        </w:r>
      </w:hyperlink>
    </w:p>
    <w:p w14:paraId="3AF365D2" w14:textId="6AAF91DE" w:rsidR="002C31AC" w:rsidRDefault="002C31AC">
      <w:pPr>
        <w:pStyle w:val="TableofFigures"/>
        <w:tabs>
          <w:tab w:val="right" w:leader="dot" w:pos="9350"/>
        </w:tabs>
        <w:rPr>
          <w:rFonts w:eastAsiaTheme="minorEastAsia"/>
          <w:noProof/>
          <w:sz w:val="24"/>
          <w:szCs w:val="24"/>
        </w:rPr>
      </w:pPr>
      <w:hyperlink w:anchor="_Toc156210479" w:history="1">
        <w:r w:rsidRPr="008159D3">
          <w:rPr>
            <w:rStyle w:val="Hyperlink"/>
            <w:noProof/>
            <w:lang w:val="tr-TR"/>
          </w:rPr>
          <w:t>Şekil 25. İspanya Kömür Kaynaklı Elektrik Üretimi ve Toplam Üretimdeki Payı</w:t>
        </w:r>
        <w:r>
          <w:rPr>
            <w:noProof/>
            <w:webHidden/>
          </w:rPr>
          <w:tab/>
        </w:r>
        <w:r>
          <w:rPr>
            <w:noProof/>
            <w:webHidden/>
          </w:rPr>
          <w:fldChar w:fldCharType="begin"/>
        </w:r>
        <w:r>
          <w:rPr>
            <w:noProof/>
            <w:webHidden/>
          </w:rPr>
          <w:instrText xml:space="preserve"> PAGEREF _Toc156210479 \h </w:instrText>
        </w:r>
        <w:r>
          <w:rPr>
            <w:noProof/>
            <w:webHidden/>
          </w:rPr>
        </w:r>
        <w:r>
          <w:rPr>
            <w:noProof/>
            <w:webHidden/>
          </w:rPr>
          <w:fldChar w:fldCharType="separate"/>
        </w:r>
        <w:r>
          <w:rPr>
            <w:noProof/>
            <w:webHidden/>
          </w:rPr>
          <w:t>57</w:t>
        </w:r>
        <w:r>
          <w:rPr>
            <w:noProof/>
            <w:webHidden/>
          </w:rPr>
          <w:fldChar w:fldCharType="end"/>
        </w:r>
      </w:hyperlink>
    </w:p>
    <w:p w14:paraId="2695FA23" w14:textId="6461085E" w:rsidR="002C31AC" w:rsidRDefault="002C31AC">
      <w:pPr>
        <w:pStyle w:val="TableofFigures"/>
        <w:tabs>
          <w:tab w:val="right" w:leader="dot" w:pos="9350"/>
        </w:tabs>
        <w:rPr>
          <w:rFonts w:eastAsiaTheme="minorEastAsia"/>
          <w:noProof/>
          <w:sz w:val="24"/>
          <w:szCs w:val="24"/>
        </w:rPr>
      </w:pPr>
      <w:hyperlink w:anchor="_Toc156210480" w:history="1">
        <w:r w:rsidRPr="008159D3">
          <w:rPr>
            <w:rStyle w:val="Hyperlink"/>
            <w:noProof/>
            <w:lang w:val="tr-TR"/>
          </w:rPr>
          <w:t>Şekil 26. İspanya Kömür Kaynaklı Elektrik Üretimi, Elektrik Sektörü ve Toplam Karbon Emisyonu</w:t>
        </w:r>
        <w:r>
          <w:rPr>
            <w:noProof/>
            <w:webHidden/>
          </w:rPr>
          <w:tab/>
        </w:r>
        <w:r>
          <w:rPr>
            <w:noProof/>
            <w:webHidden/>
          </w:rPr>
          <w:fldChar w:fldCharType="begin"/>
        </w:r>
        <w:r>
          <w:rPr>
            <w:noProof/>
            <w:webHidden/>
          </w:rPr>
          <w:instrText xml:space="preserve"> PAGEREF _Toc156210480 \h </w:instrText>
        </w:r>
        <w:r>
          <w:rPr>
            <w:noProof/>
            <w:webHidden/>
          </w:rPr>
        </w:r>
        <w:r>
          <w:rPr>
            <w:noProof/>
            <w:webHidden/>
          </w:rPr>
          <w:fldChar w:fldCharType="separate"/>
        </w:r>
        <w:r>
          <w:rPr>
            <w:noProof/>
            <w:webHidden/>
          </w:rPr>
          <w:t>58</w:t>
        </w:r>
        <w:r>
          <w:rPr>
            <w:noProof/>
            <w:webHidden/>
          </w:rPr>
          <w:fldChar w:fldCharType="end"/>
        </w:r>
      </w:hyperlink>
    </w:p>
    <w:p w14:paraId="62A9EA2D" w14:textId="26E42944" w:rsidR="002C31AC" w:rsidRDefault="002C31AC">
      <w:pPr>
        <w:pStyle w:val="TableofFigures"/>
        <w:tabs>
          <w:tab w:val="right" w:leader="dot" w:pos="9350"/>
        </w:tabs>
        <w:rPr>
          <w:rFonts w:eastAsiaTheme="minorEastAsia"/>
          <w:noProof/>
          <w:sz w:val="24"/>
          <w:szCs w:val="24"/>
        </w:rPr>
      </w:pPr>
      <w:hyperlink w:anchor="_Toc156210481" w:history="1">
        <w:r w:rsidRPr="008159D3">
          <w:rPr>
            <w:rStyle w:val="Hyperlink"/>
            <w:noProof/>
            <w:lang w:val="tr-TR"/>
          </w:rPr>
          <w:t>Şekil 27. Polonya Santrallere Göre Tahsis Edilen Kapasite</w:t>
        </w:r>
        <w:r>
          <w:rPr>
            <w:noProof/>
            <w:webHidden/>
          </w:rPr>
          <w:tab/>
        </w:r>
        <w:r>
          <w:rPr>
            <w:noProof/>
            <w:webHidden/>
          </w:rPr>
          <w:fldChar w:fldCharType="begin"/>
        </w:r>
        <w:r>
          <w:rPr>
            <w:noProof/>
            <w:webHidden/>
          </w:rPr>
          <w:instrText xml:space="preserve"> PAGEREF _Toc156210481 \h </w:instrText>
        </w:r>
        <w:r>
          <w:rPr>
            <w:noProof/>
            <w:webHidden/>
          </w:rPr>
        </w:r>
        <w:r>
          <w:rPr>
            <w:noProof/>
            <w:webHidden/>
          </w:rPr>
          <w:fldChar w:fldCharType="separate"/>
        </w:r>
        <w:r>
          <w:rPr>
            <w:noProof/>
            <w:webHidden/>
          </w:rPr>
          <w:t>60</w:t>
        </w:r>
        <w:r>
          <w:rPr>
            <w:noProof/>
            <w:webHidden/>
          </w:rPr>
          <w:fldChar w:fldCharType="end"/>
        </w:r>
      </w:hyperlink>
    </w:p>
    <w:p w14:paraId="2B89BBE8" w14:textId="40F8CF26" w:rsidR="002C31AC" w:rsidRDefault="002C31AC">
      <w:pPr>
        <w:pStyle w:val="TableofFigures"/>
        <w:tabs>
          <w:tab w:val="right" w:leader="dot" w:pos="9350"/>
        </w:tabs>
        <w:rPr>
          <w:rFonts w:eastAsiaTheme="minorEastAsia"/>
          <w:noProof/>
          <w:sz w:val="24"/>
          <w:szCs w:val="24"/>
        </w:rPr>
      </w:pPr>
      <w:hyperlink w:anchor="_Toc156210482" w:history="1">
        <w:r w:rsidRPr="008159D3">
          <w:rPr>
            <w:rStyle w:val="Hyperlink"/>
            <w:noProof/>
            <w:lang w:val="tr-TR"/>
          </w:rPr>
          <w:t>Şekil 28. Polonya Kapasite Mekanizmasının Yıllık Maliyeti</w:t>
        </w:r>
        <w:r>
          <w:rPr>
            <w:noProof/>
            <w:webHidden/>
          </w:rPr>
          <w:tab/>
        </w:r>
        <w:r>
          <w:rPr>
            <w:noProof/>
            <w:webHidden/>
          </w:rPr>
          <w:fldChar w:fldCharType="begin"/>
        </w:r>
        <w:r>
          <w:rPr>
            <w:noProof/>
            <w:webHidden/>
          </w:rPr>
          <w:instrText xml:space="preserve"> PAGEREF _Toc156210482 \h </w:instrText>
        </w:r>
        <w:r>
          <w:rPr>
            <w:noProof/>
            <w:webHidden/>
          </w:rPr>
        </w:r>
        <w:r>
          <w:rPr>
            <w:noProof/>
            <w:webHidden/>
          </w:rPr>
          <w:fldChar w:fldCharType="separate"/>
        </w:r>
        <w:r>
          <w:rPr>
            <w:noProof/>
            <w:webHidden/>
          </w:rPr>
          <w:t>61</w:t>
        </w:r>
        <w:r>
          <w:rPr>
            <w:noProof/>
            <w:webHidden/>
          </w:rPr>
          <w:fldChar w:fldCharType="end"/>
        </w:r>
      </w:hyperlink>
    </w:p>
    <w:p w14:paraId="5DFA7AE9" w14:textId="5F4757DE" w:rsidR="002C31AC" w:rsidRDefault="002C31AC">
      <w:pPr>
        <w:pStyle w:val="TableofFigures"/>
        <w:tabs>
          <w:tab w:val="right" w:leader="dot" w:pos="9350"/>
        </w:tabs>
        <w:rPr>
          <w:rFonts w:eastAsiaTheme="minorEastAsia"/>
          <w:noProof/>
          <w:sz w:val="24"/>
          <w:szCs w:val="24"/>
        </w:rPr>
      </w:pPr>
      <w:hyperlink w:anchor="_Toc156210483" w:history="1">
        <w:r w:rsidRPr="008159D3">
          <w:rPr>
            <w:rStyle w:val="Hyperlink"/>
            <w:noProof/>
            <w:lang w:val="tr-TR"/>
          </w:rPr>
          <w:t>Şekil 29. Polonya Teslimat Yıllarına Göre Ana İhaleler ve İhale Edilen Toplam Kapasite</w:t>
        </w:r>
        <w:r>
          <w:rPr>
            <w:noProof/>
            <w:webHidden/>
          </w:rPr>
          <w:tab/>
        </w:r>
        <w:r>
          <w:rPr>
            <w:noProof/>
            <w:webHidden/>
          </w:rPr>
          <w:fldChar w:fldCharType="begin"/>
        </w:r>
        <w:r>
          <w:rPr>
            <w:noProof/>
            <w:webHidden/>
          </w:rPr>
          <w:instrText xml:space="preserve"> PAGEREF _Toc156210483 \h </w:instrText>
        </w:r>
        <w:r>
          <w:rPr>
            <w:noProof/>
            <w:webHidden/>
          </w:rPr>
        </w:r>
        <w:r>
          <w:rPr>
            <w:noProof/>
            <w:webHidden/>
          </w:rPr>
          <w:fldChar w:fldCharType="separate"/>
        </w:r>
        <w:r>
          <w:rPr>
            <w:noProof/>
            <w:webHidden/>
          </w:rPr>
          <w:t>62</w:t>
        </w:r>
        <w:r>
          <w:rPr>
            <w:noProof/>
            <w:webHidden/>
          </w:rPr>
          <w:fldChar w:fldCharType="end"/>
        </w:r>
      </w:hyperlink>
    </w:p>
    <w:p w14:paraId="6D4A2F5B" w14:textId="783F0827" w:rsidR="002C31AC" w:rsidRDefault="002C31AC">
      <w:pPr>
        <w:pStyle w:val="TableofFigures"/>
        <w:tabs>
          <w:tab w:val="right" w:leader="dot" w:pos="9350"/>
        </w:tabs>
        <w:rPr>
          <w:rFonts w:eastAsiaTheme="minorEastAsia"/>
          <w:noProof/>
          <w:sz w:val="24"/>
          <w:szCs w:val="24"/>
        </w:rPr>
      </w:pPr>
      <w:hyperlink w:anchor="_Toc156210484" w:history="1">
        <w:r w:rsidRPr="008159D3">
          <w:rPr>
            <w:rStyle w:val="Hyperlink"/>
            <w:noProof/>
            <w:lang w:val="tr-TR"/>
          </w:rPr>
          <w:t>Şekil 30. Polonya Kurulu Güç Dağılımı</w:t>
        </w:r>
        <w:r>
          <w:rPr>
            <w:noProof/>
            <w:webHidden/>
          </w:rPr>
          <w:tab/>
        </w:r>
        <w:r>
          <w:rPr>
            <w:noProof/>
            <w:webHidden/>
          </w:rPr>
          <w:fldChar w:fldCharType="begin"/>
        </w:r>
        <w:r>
          <w:rPr>
            <w:noProof/>
            <w:webHidden/>
          </w:rPr>
          <w:instrText xml:space="preserve"> PAGEREF _Toc156210484 \h </w:instrText>
        </w:r>
        <w:r>
          <w:rPr>
            <w:noProof/>
            <w:webHidden/>
          </w:rPr>
        </w:r>
        <w:r>
          <w:rPr>
            <w:noProof/>
            <w:webHidden/>
          </w:rPr>
          <w:fldChar w:fldCharType="separate"/>
        </w:r>
        <w:r>
          <w:rPr>
            <w:noProof/>
            <w:webHidden/>
          </w:rPr>
          <w:t>64</w:t>
        </w:r>
        <w:r>
          <w:rPr>
            <w:noProof/>
            <w:webHidden/>
          </w:rPr>
          <w:fldChar w:fldCharType="end"/>
        </w:r>
      </w:hyperlink>
    </w:p>
    <w:p w14:paraId="5207B9C8" w14:textId="084C1100" w:rsidR="002C31AC" w:rsidRDefault="002C31AC">
      <w:pPr>
        <w:pStyle w:val="TableofFigures"/>
        <w:tabs>
          <w:tab w:val="right" w:leader="dot" w:pos="9350"/>
        </w:tabs>
        <w:rPr>
          <w:rFonts w:eastAsiaTheme="minorEastAsia"/>
          <w:noProof/>
          <w:sz w:val="24"/>
          <w:szCs w:val="24"/>
        </w:rPr>
      </w:pPr>
      <w:hyperlink w:anchor="_Toc156210485" w:history="1">
        <w:r w:rsidRPr="008159D3">
          <w:rPr>
            <w:rStyle w:val="Hyperlink"/>
            <w:noProof/>
            <w:lang w:val="tr-TR"/>
          </w:rPr>
          <w:t>Şekil 31. Polonya Kömür Kaynaklı Elektrik Üretimi ve Toplam Üretimdeki Payı</w:t>
        </w:r>
        <w:r>
          <w:rPr>
            <w:noProof/>
            <w:webHidden/>
          </w:rPr>
          <w:tab/>
        </w:r>
        <w:r>
          <w:rPr>
            <w:noProof/>
            <w:webHidden/>
          </w:rPr>
          <w:fldChar w:fldCharType="begin"/>
        </w:r>
        <w:r>
          <w:rPr>
            <w:noProof/>
            <w:webHidden/>
          </w:rPr>
          <w:instrText xml:space="preserve"> PAGEREF _Toc156210485 \h </w:instrText>
        </w:r>
        <w:r>
          <w:rPr>
            <w:noProof/>
            <w:webHidden/>
          </w:rPr>
        </w:r>
        <w:r>
          <w:rPr>
            <w:noProof/>
            <w:webHidden/>
          </w:rPr>
          <w:fldChar w:fldCharType="separate"/>
        </w:r>
        <w:r>
          <w:rPr>
            <w:noProof/>
            <w:webHidden/>
          </w:rPr>
          <w:t>64</w:t>
        </w:r>
        <w:r>
          <w:rPr>
            <w:noProof/>
            <w:webHidden/>
          </w:rPr>
          <w:fldChar w:fldCharType="end"/>
        </w:r>
      </w:hyperlink>
    </w:p>
    <w:p w14:paraId="0D6F1416" w14:textId="184A8AE9" w:rsidR="002C31AC" w:rsidRDefault="002C31AC">
      <w:pPr>
        <w:pStyle w:val="TableofFigures"/>
        <w:tabs>
          <w:tab w:val="right" w:leader="dot" w:pos="9350"/>
        </w:tabs>
        <w:rPr>
          <w:rFonts w:eastAsiaTheme="minorEastAsia"/>
          <w:noProof/>
          <w:sz w:val="24"/>
          <w:szCs w:val="24"/>
        </w:rPr>
      </w:pPr>
      <w:hyperlink w:anchor="_Toc156210486" w:history="1">
        <w:r w:rsidRPr="008159D3">
          <w:rPr>
            <w:rStyle w:val="Hyperlink"/>
            <w:noProof/>
            <w:lang w:val="tr-TR"/>
          </w:rPr>
          <w:t>Şekil 32. Polonya Kömür Kaynaklı Elektrik Üretimi, Elektrik Sektörü ve Toplam Karbon Emisyonu</w:t>
        </w:r>
        <w:r>
          <w:rPr>
            <w:noProof/>
            <w:webHidden/>
          </w:rPr>
          <w:tab/>
        </w:r>
        <w:r>
          <w:rPr>
            <w:noProof/>
            <w:webHidden/>
          </w:rPr>
          <w:fldChar w:fldCharType="begin"/>
        </w:r>
        <w:r>
          <w:rPr>
            <w:noProof/>
            <w:webHidden/>
          </w:rPr>
          <w:instrText xml:space="preserve"> PAGEREF _Toc156210486 \h </w:instrText>
        </w:r>
        <w:r>
          <w:rPr>
            <w:noProof/>
            <w:webHidden/>
          </w:rPr>
        </w:r>
        <w:r>
          <w:rPr>
            <w:noProof/>
            <w:webHidden/>
          </w:rPr>
          <w:fldChar w:fldCharType="separate"/>
        </w:r>
        <w:r>
          <w:rPr>
            <w:noProof/>
            <w:webHidden/>
          </w:rPr>
          <w:t>65</w:t>
        </w:r>
        <w:r>
          <w:rPr>
            <w:noProof/>
            <w:webHidden/>
          </w:rPr>
          <w:fldChar w:fldCharType="end"/>
        </w:r>
      </w:hyperlink>
    </w:p>
    <w:p w14:paraId="79624F14" w14:textId="78581880" w:rsidR="002C31AC" w:rsidRDefault="002C31AC">
      <w:pPr>
        <w:pStyle w:val="TableofFigures"/>
        <w:tabs>
          <w:tab w:val="right" w:leader="dot" w:pos="9350"/>
        </w:tabs>
        <w:rPr>
          <w:rFonts w:eastAsiaTheme="minorEastAsia"/>
          <w:noProof/>
          <w:sz w:val="24"/>
          <w:szCs w:val="24"/>
        </w:rPr>
      </w:pPr>
      <w:hyperlink w:anchor="_Toc156210487" w:history="1">
        <w:r w:rsidRPr="008159D3">
          <w:rPr>
            <w:rStyle w:val="Hyperlink"/>
            <w:noProof/>
            <w:lang w:val="tr-TR"/>
          </w:rPr>
          <w:t>Şekil 33. Doğal Gaz İthalat Maliyeti ve Tarifeleri</w:t>
        </w:r>
        <w:r>
          <w:rPr>
            <w:noProof/>
            <w:webHidden/>
          </w:rPr>
          <w:tab/>
        </w:r>
        <w:r>
          <w:rPr>
            <w:noProof/>
            <w:webHidden/>
          </w:rPr>
          <w:fldChar w:fldCharType="begin"/>
        </w:r>
        <w:r>
          <w:rPr>
            <w:noProof/>
            <w:webHidden/>
          </w:rPr>
          <w:instrText xml:space="preserve"> PAGEREF _Toc156210487 \h </w:instrText>
        </w:r>
        <w:r>
          <w:rPr>
            <w:noProof/>
            <w:webHidden/>
          </w:rPr>
        </w:r>
        <w:r>
          <w:rPr>
            <w:noProof/>
            <w:webHidden/>
          </w:rPr>
          <w:fldChar w:fldCharType="separate"/>
        </w:r>
        <w:r>
          <w:rPr>
            <w:noProof/>
            <w:webHidden/>
          </w:rPr>
          <w:t>73</w:t>
        </w:r>
        <w:r>
          <w:rPr>
            <w:noProof/>
            <w:webHidden/>
          </w:rPr>
          <w:fldChar w:fldCharType="end"/>
        </w:r>
      </w:hyperlink>
    </w:p>
    <w:p w14:paraId="4B80B038" w14:textId="60CA67BD" w:rsidR="002C31AC" w:rsidRDefault="002C31AC">
      <w:pPr>
        <w:pStyle w:val="TableofFigures"/>
        <w:tabs>
          <w:tab w:val="right" w:leader="dot" w:pos="9350"/>
        </w:tabs>
        <w:rPr>
          <w:rFonts w:eastAsiaTheme="minorEastAsia"/>
          <w:noProof/>
          <w:sz w:val="24"/>
          <w:szCs w:val="24"/>
        </w:rPr>
      </w:pPr>
      <w:hyperlink w:anchor="_Toc156210488" w:history="1">
        <w:r w:rsidRPr="008159D3">
          <w:rPr>
            <w:rStyle w:val="Hyperlink"/>
            <w:noProof/>
            <w:lang w:val="tr-TR"/>
          </w:rPr>
          <w:t>Şekil 34. Aktif Enerji Bedeli ve Ortalama Piyasa Takas Fiyatı (PTF) Karşılaştırması</w:t>
        </w:r>
        <w:r>
          <w:rPr>
            <w:noProof/>
            <w:webHidden/>
          </w:rPr>
          <w:tab/>
        </w:r>
        <w:r>
          <w:rPr>
            <w:noProof/>
            <w:webHidden/>
          </w:rPr>
          <w:fldChar w:fldCharType="begin"/>
        </w:r>
        <w:r>
          <w:rPr>
            <w:noProof/>
            <w:webHidden/>
          </w:rPr>
          <w:instrText xml:space="preserve"> PAGEREF _Toc156210488 \h </w:instrText>
        </w:r>
        <w:r>
          <w:rPr>
            <w:noProof/>
            <w:webHidden/>
          </w:rPr>
        </w:r>
        <w:r>
          <w:rPr>
            <w:noProof/>
            <w:webHidden/>
          </w:rPr>
          <w:fldChar w:fldCharType="separate"/>
        </w:r>
        <w:r>
          <w:rPr>
            <w:noProof/>
            <w:webHidden/>
          </w:rPr>
          <w:t>74</w:t>
        </w:r>
        <w:r>
          <w:rPr>
            <w:noProof/>
            <w:webHidden/>
          </w:rPr>
          <w:fldChar w:fldCharType="end"/>
        </w:r>
      </w:hyperlink>
    </w:p>
    <w:p w14:paraId="22F53B39" w14:textId="6AFB8E57" w:rsidR="002C31AC" w:rsidRDefault="002C31AC">
      <w:pPr>
        <w:pStyle w:val="TableofFigures"/>
        <w:tabs>
          <w:tab w:val="right" w:leader="dot" w:pos="9350"/>
        </w:tabs>
        <w:rPr>
          <w:rFonts w:eastAsiaTheme="minorEastAsia"/>
          <w:noProof/>
          <w:sz w:val="24"/>
          <w:szCs w:val="24"/>
        </w:rPr>
      </w:pPr>
      <w:hyperlink w:anchor="_Toc156210489" w:history="1">
        <w:r w:rsidRPr="008159D3">
          <w:rPr>
            <w:rStyle w:val="Hyperlink"/>
            <w:noProof/>
            <w:lang w:val="tr-TR"/>
          </w:rPr>
          <w:t>Şekil 35. Kaynak Bazında Belirlenen Azami Uzlaştırma Fiyatı ve PTF Arasındaki İlişki</w:t>
        </w:r>
        <w:r>
          <w:rPr>
            <w:noProof/>
            <w:webHidden/>
          </w:rPr>
          <w:tab/>
        </w:r>
        <w:r>
          <w:rPr>
            <w:noProof/>
            <w:webHidden/>
          </w:rPr>
          <w:fldChar w:fldCharType="begin"/>
        </w:r>
        <w:r>
          <w:rPr>
            <w:noProof/>
            <w:webHidden/>
          </w:rPr>
          <w:instrText xml:space="preserve"> PAGEREF _Toc156210489 \h </w:instrText>
        </w:r>
        <w:r>
          <w:rPr>
            <w:noProof/>
            <w:webHidden/>
          </w:rPr>
        </w:r>
        <w:r>
          <w:rPr>
            <w:noProof/>
            <w:webHidden/>
          </w:rPr>
          <w:fldChar w:fldCharType="separate"/>
        </w:r>
        <w:r>
          <w:rPr>
            <w:noProof/>
            <w:webHidden/>
          </w:rPr>
          <w:t>75</w:t>
        </w:r>
        <w:r>
          <w:rPr>
            <w:noProof/>
            <w:webHidden/>
          </w:rPr>
          <w:fldChar w:fldCharType="end"/>
        </w:r>
      </w:hyperlink>
    </w:p>
    <w:p w14:paraId="34EDBC3F" w14:textId="517141EE" w:rsidR="002C31AC" w:rsidRDefault="002C31AC">
      <w:pPr>
        <w:pStyle w:val="TableofFigures"/>
        <w:tabs>
          <w:tab w:val="right" w:leader="dot" w:pos="9350"/>
        </w:tabs>
        <w:rPr>
          <w:rFonts w:eastAsiaTheme="minorEastAsia"/>
          <w:noProof/>
          <w:sz w:val="24"/>
          <w:szCs w:val="24"/>
        </w:rPr>
      </w:pPr>
      <w:hyperlink w:anchor="_Toc156210490" w:history="1">
        <w:r w:rsidRPr="008159D3">
          <w:rPr>
            <w:rStyle w:val="Hyperlink"/>
            <w:noProof/>
            <w:lang w:val="tr-TR"/>
          </w:rPr>
          <w:t>Şekil 36. Gün Öncesi Piyasası Azami Limit ve Limite Takılan Saat Sayısı</w:t>
        </w:r>
        <w:r>
          <w:rPr>
            <w:noProof/>
            <w:webHidden/>
          </w:rPr>
          <w:tab/>
        </w:r>
        <w:r>
          <w:rPr>
            <w:noProof/>
            <w:webHidden/>
          </w:rPr>
          <w:fldChar w:fldCharType="begin"/>
        </w:r>
        <w:r>
          <w:rPr>
            <w:noProof/>
            <w:webHidden/>
          </w:rPr>
          <w:instrText xml:space="preserve"> PAGEREF _Toc156210490 \h </w:instrText>
        </w:r>
        <w:r>
          <w:rPr>
            <w:noProof/>
            <w:webHidden/>
          </w:rPr>
        </w:r>
        <w:r>
          <w:rPr>
            <w:noProof/>
            <w:webHidden/>
          </w:rPr>
          <w:fldChar w:fldCharType="separate"/>
        </w:r>
        <w:r>
          <w:rPr>
            <w:noProof/>
            <w:webHidden/>
          </w:rPr>
          <w:t>76</w:t>
        </w:r>
        <w:r>
          <w:rPr>
            <w:noProof/>
            <w:webHidden/>
          </w:rPr>
          <w:fldChar w:fldCharType="end"/>
        </w:r>
      </w:hyperlink>
    </w:p>
    <w:p w14:paraId="1F5B7BC1" w14:textId="093E6616" w:rsidR="002C31AC" w:rsidRDefault="002C31AC">
      <w:pPr>
        <w:pStyle w:val="TableofFigures"/>
        <w:tabs>
          <w:tab w:val="right" w:leader="dot" w:pos="9350"/>
        </w:tabs>
        <w:rPr>
          <w:rFonts w:eastAsiaTheme="minorEastAsia"/>
          <w:noProof/>
          <w:sz w:val="24"/>
          <w:szCs w:val="24"/>
        </w:rPr>
      </w:pPr>
      <w:hyperlink w:anchor="_Toc156210491" w:history="1">
        <w:r w:rsidRPr="008159D3">
          <w:rPr>
            <w:rStyle w:val="Hyperlink"/>
            <w:noProof/>
            <w:lang w:val="tr-TR"/>
          </w:rPr>
          <w:t>Şekil 37. Yerli Kömür Alım Garantisi Fiyatı ve PTF</w:t>
        </w:r>
        <w:r>
          <w:rPr>
            <w:noProof/>
            <w:webHidden/>
          </w:rPr>
          <w:tab/>
        </w:r>
        <w:r>
          <w:rPr>
            <w:noProof/>
            <w:webHidden/>
          </w:rPr>
          <w:fldChar w:fldCharType="begin"/>
        </w:r>
        <w:r>
          <w:rPr>
            <w:noProof/>
            <w:webHidden/>
          </w:rPr>
          <w:instrText xml:space="preserve"> PAGEREF _Toc156210491 \h </w:instrText>
        </w:r>
        <w:r>
          <w:rPr>
            <w:noProof/>
            <w:webHidden/>
          </w:rPr>
        </w:r>
        <w:r>
          <w:rPr>
            <w:noProof/>
            <w:webHidden/>
          </w:rPr>
          <w:fldChar w:fldCharType="separate"/>
        </w:r>
        <w:r>
          <w:rPr>
            <w:noProof/>
            <w:webHidden/>
          </w:rPr>
          <w:t>78</w:t>
        </w:r>
        <w:r>
          <w:rPr>
            <w:noProof/>
            <w:webHidden/>
          </w:rPr>
          <w:fldChar w:fldCharType="end"/>
        </w:r>
      </w:hyperlink>
    </w:p>
    <w:p w14:paraId="13A75DCD" w14:textId="5CE62A12" w:rsidR="002C31AC" w:rsidRDefault="002C31AC">
      <w:pPr>
        <w:pStyle w:val="TableofFigures"/>
        <w:tabs>
          <w:tab w:val="right" w:leader="dot" w:pos="9350"/>
        </w:tabs>
        <w:rPr>
          <w:rFonts w:eastAsiaTheme="minorEastAsia"/>
          <w:noProof/>
          <w:sz w:val="24"/>
          <w:szCs w:val="24"/>
        </w:rPr>
      </w:pPr>
      <w:hyperlink w:anchor="_Toc156210492" w:history="1">
        <w:r w:rsidRPr="008159D3">
          <w:rPr>
            <w:rStyle w:val="Hyperlink"/>
            <w:noProof/>
            <w:lang w:val="tr-TR"/>
          </w:rPr>
          <w:t>Şekil 38. 15 Nisan 2040 Saatlik Üretim ve Talep</w:t>
        </w:r>
        <w:r>
          <w:rPr>
            <w:noProof/>
            <w:webHidden/>
          </w:rPr>
          <w:tab/>
        </w:r>
        <w:r>
          <w:rPr>
            <w:noProof/>
            <w:webHidden/>
          </w:rPr>
          <w:fldChar w:fldCharType="begin"/>
        </w:r>
        <w:r>
          <w:rPr>
            <w:noProof/>
            <w:webHidden/>
          </w:rPr>
          <w:instrText xml:space="preserve"> PAGEREF _Toc156210492 \h </w:instrText>
        </w:r>
        <w:r>
          <w:rPr>
            <w:noProof/>
            <w:webHidden/>
          </w:rPr>
        </w:r>
        <w:r>
          <w:rPr>
            <w:noProof/>
            <w:webHidden/>
          </w:rPr>
          <w:fldChar w:fldCharType="separate"/>
        </w:r>
        <w:r>
          <w:rPr>
            <w:noProof/>
            <w:webHidden/>
          </w:rPr>
          <w:t>80</w:t>
        </w:r>
        <w:r>
          <w:rPr>
            <w:noProof/>
            <w:webHidden/>
          </w:rPr>
          <w:fldChar w:fldCharType="end"/>
        </w:r>
      </w:hyperlink>
    </w:p>
    <w:p w14:paraId="16C64E47" w14:textId="2D61C0D5" w:rsidR="002C31AC" w:rsidRDefault="002C31AC">
      <w:pPr>
        <w:pStyle w:val="TableofFigures"/>
        <w:tabs>
          <w:tab w:val="right" w:leader="dot" w:pos="9350"/>
        </w:tabs>
        <w:rPr>
          <w:rFonts w:eastAsiaTheme="minorEastAsia"/>
          <w:noProof/>
          <w:sz w:val="24"/>
          <w:szCs w:val="24"/>
        </w:rPr>
      </w:pPr>
      <w:hyperlink w:anchor="_Toc156210493" w:history="1">
        <w:r w:rsidRPr="008159D3">
          <w:rPr>
            <w:rStyle w:val="Hyperlink"/>
            <w:noProof/>
            <w:lang w:val="tr-TR"/>
          </w:rPr>
          <w:t>Şekil 39. 15 Temmuz 2040 Saatlik Üretim ve Talep</w:t>
        </w:r>
        <w:r>
          <w:rPr>
            <w:noProof/>
            <w:webHidden/>
          </w:rPr>
          <w:tab/>
        </w:r>
        <w:r>
          <w:rPr>
            <w:noProof/>
            <w:webHidden/>
          </w:rPr>
          <w:fldChar w:fldCharType="begin"/>
        </w:r>
        <w:r>
          <w:rPr>
            <w:noProof/>
            <w:webHidden/>
          </w:rPr>
          <w:instrText xml:space="preserve"> PAGEREF _Toc156210493 \h </w:instrText>
        </w:r>
        <w:r>
          <w:rPr>
            <w:noProof/>
            <w:webHidden/>
          </w:rPr>
        </w:r>
        <w:r>
          <w:rPr>
            <w:noProof/>
            <w:webHidden/>
          </w:rPr>
          <w:fldChar w:fldCharType="separate"/>
        </w:r>
        <w:r>
          <w:rPr>
            <w:noProof/>
            <w:webHidden/>
          </w:rPr>
          <w:t>81</w:t>
        </w:r>
        <w:r>
          <w:rPr>
            <w:noProof/>
            <w:webHidden/>
          </w:rPr>
          <w:fldChar w:fldCharType="end"/>
        </w:r>
      </w:hyperlink>
    </w:p>
    <w:p w14:paraId="50B5B43D" w14:textId="63C520C6" w:rsidR="002C31AC" w:rsidRDefault="002C31AC">
      <w:pPr>
        <w:pStyle w:val="TableofFigures"/>
        <w:tabs>
          <w:tab w:val="right" w:leader="dot" w:pos="9350"/>
        </w:tabs>
        <w:rPr>
          <w:rFonts w:eastAsiaTheme="minorEastAsia"/>
          <w:noProof/>
          <w:sz w:val="24"/>
          <w:szCs w:val="24"/>
        </w:rPr>
      </w:pPr>
      <w:hyperlink w:anchor="_Toc156210494" w:history="1">
        <w:r w:rsidRPr="008159D3">
          <w:rPr>
            <w:rStyle w:val="Hyperlink"/>
            <w:noProof/>
            <w:lang w:val="tr-TR"/>
          </w:rPr>
          <w:t>Şekil 40. 15 Ekim 2040 Saatlik Üretim ve Talep</w:t>
        </w:r>
        <w:r>
          <w:rPr>
            <w:noProof/>
            <w:webHidden/>
          </w:rPr>
          <w:tab/>
        </w:r>
        <w:r>
          <w:rPr>
            <w:noProof/>
            <w:webHidden/>
          </w:rPr>
          <w:fldChar w:fldCharType="begin"/>
        </w:r>
        <w:r>
          <w:rPr>
            <w:noProof/>
            <w:webHidden/>
          </w:rPr>
          <w:instrText xml:space="preserve"> PAGEREF _Toc156210494 \h </w:instrText>
        </w:r>
        <w:r>
          <w:rPr>
            <w:noProof/>
            <w:webHidden/>
          </w:rPr>
        </w:r>
        <w:r>
          <w:rPr>
            <w:noProof/>
            <w:webHidden/>
          </w:rPr>
          <w:fldChar w:fldCharType="separate"/>
        </w:r>
        <w:r>
          <w:rPr>
            <w:noProof/>
            <w:webHidden/>
          </w:rPr>
          <w:t>81</w:t>
        </w:r>
        <w:r>
          <w:rPr>
            <w:noProof/>
            <w:webHidden/>
          </w:rPr>
          <w:fldChar w:fldCharType="end"/>
        </w:r>
      </w:hyperlink>
    </w:p>
    <w:p w14:paraId="65D055B5" w14:textId="7D4D4733" w:rsidR="002C31AC" w:rsidRDefault="002C31AC">
      <w:pPr>
        <w:pStyle w:val="TableofFigures"/>
        <w:tabs>
          <w:tab w:val="right" w:leader="dot" w:pos="9350"/>
        </w:tabs>
        <w:rPr>
          <w:rFonts w:eastAsiaTheme="minorEastAsia"/>
          <w:noProof/>
          <w:sz w:val="24"/>
          <w:szCs w:val="24"/>
        </w:rPr>
      </w:pPr>
      <w:hyperlink w:anchor="_Toc156210495" w:history="1">
        <w:r w:rsidRPr="008159D3">
          <w:rPr>
            <w:rStyle w:val="Hyperlink"/>
            <w:noProof/>
            <w:lang w:val="tr-TR"/>
          </w:rPr>
          <w:t>Şekil 41. 15 Aralık 2040 Saatlik Üretim ve Talep</w:t>
        </w:r>
        <w:r>
          <w:rPr>
            <w:noProof/>
            <w:webHidden/>
          </w:rPr>
          <w:tab/>
        </w:r>
        <w:r>
          <w:rPr>
            <w:noProof/>
            <w:webHidden/>
          </w:rPr>
          <w:fldChar w:fldCharType="begin"/>
        </w:r>
        <w:r>
          <w:rPr>
            <w:noProof/>
            <w:webHidden/>
          </w:rPr>
          <w:instrText xml:space="preserve"> PAGEREF _Toc156210495 \h </w:instrText>
        </w:r>
        <w:r>
          <w:rPr>
            <w:noProof/>
            <w:webHidden/>
          </w:rPr>
        </w:r>
        <w:r>
          <w:rPr>
            <w:noProof/>
            <w:webHidden/>
          </w:rPr>
          <w:fldChar w:fldCharType="separate"/>
        </w:r>
        <w:r>
          <w:rPr>
            <w:noProof/>
            <w:webHidden/>
          </w:rPr>
          <w:t>82</w:t>
        </w:r>
        <w:r>
          <w:rPr>
            <w:noProof/>
            <w:webHidden/>
          </w:rPr>
          <w:fldChar w:fldCharType="end"/>
        </w:r>
      </w:hyperlink>
    </w:p>
    <w:p w14:paraId="2E50FD46" w14:textId="047500E3" w:rsidR="00646960" w:rsidRPr="00CF336B" w:rsidRDefault="00646960" w:rsidP="004D4361">
      <w:pPr>
        <w:spacing w:line="360" w:lineRule="auto"/>
        <w:ind w:left="720" w:hanging="360"/>
        <w:rPr>
          <w:lang w:val="tr-TR"/>
        </w:rPr>
      </w:pPr>
      <w:r w:rsidRPr="00CF336B">
        <w:rPr>
          <w:lang w:val="tr-TR"/>
        </w:rPr>
        <w:fldChar w:fldCharType="end"/>
      </w:r>
      <w:r w:rsidRPr="00CF336B">
        <w:rPr>
          <w:lang w:val="tr-TR"/>
        </w:rPr>
        <w:br w:type="page"/>
      </w:r>
    </w:p>
    <w:p w14:paraId="4F039D42" w14:textId="05BF090D" w:rsidR="00646960" w:rsidRPr="00CF336B" w:rsidRDefault="00646960" w:rsidP="004D4361">
      <w:pPr>
        <w:pStyle w:val="Heading1"/>
        <w:spacing w:line="360" w:lineRule="auto"/>
        <w:rPr>
          <w:lang w:val="tr-TR"/>
        </w:rPr>
      </w:pPr>
      <w:bookmarkStart w:id="2" w:name="_Toc156210431"/>
      <w:r w:rsidRPr="00CF336B">
        <w:rPr>
          <w:lang w:val="tr-TR"/>
        </w:rPr>
        <w:t>Tablolar Listesi</w:t>
      </w:r>
      <w:bookmarkEnd w:id="2"/>
    </w:p>
    <w:p w14:paraId="22D38DBD" w14:textId="4F9303F0" w:rsidR="002C31AC" w:rsidRDefault="00646960">
      <w:pPr>
        <w:pStyle w:val="TableofFigures"/>
        <w:tabs>
          <w:tab w:val="right" w:leader="dot" w:pos="9350"/>
        </w:tabs>
        <w:rPr>
          <w:rFonts w:eastAsiaTheme="minorEastAsia"/>
          <w:noProof/>
          <w:sz w:val="24"/>
          <w:szCs w:val="24"/>
        </w:rPr>
      </w:pPr>
      <w:r w:rsidRPr="00CF336B">
        <w:rPr>
          <w:lang w:val="tr-TR"/>
        </w:rPr>
        <w:fldChar w:fldCharType="begin"/>
      </w:r>
      <w:r w:rsidRPr="00CF336B">
        <w:rPr>
          <w:lang w:val="tr-TR"/>
        </w:rPr>
        <w:instrText xml:space="preserve"> TOC \h \z \c "Tablo" </w:instrText>
      </w:r>
      <w:r w:rsidRPr="00CF336B">
        <w:rPr>
          <w:lang w:val="tr-TR"/>
        </w:rPr>
        <w:fldChar w:fldCharType="separate"/>
      </w:r>
      <w:hyperlink w:anchor="_Toc156210496" w:history="1">
        <w:r w:rsidR="002C31AC" w:rsidRPr="003D0A12">
          <w:rPr>
            <w:rStyle w:val="Hyperlink"/>
            <w:noProof/>
            <w:lang w:val="tr-TR"/>
          </w:rPr>
          <w:t>Tablo 1. Kapasite Mekanizmasından Yararlanacak Santrallerin Açıklanma Tarihleri</w:t>
        </w:r>
        <w:r w:rsidR="002C31AC">
          <w:rPr>
            <w:noProof/>
            <w:webHidden/>
          </w:rPr>
          <w:tab/>
        </w:r>
        <w:r w:rsidR="002C31AC">
          <w:rPr>
            <w:noProof/>
            <w:webHidden/>
          </w:rPr>
          <w:fldChar w:fldCharType="begin"/>
        </w:r>
        <w:r w:rsidR="002C31AC">
          <w:rPr>
            <w:noProof/>
            <w:webHidden/>
          </w:rPr>
          <w:instrText xml:space="preserve"> PAGEREF _Toc156210496 \h </w:instrText>
        </w:r>
        <w:r w:rsidR="002C31AC">
          <w:rPr>
            <w:noProof/>
            <w:webHidden/>
          </w:rPr>
        </w:r>
        <w:r w:rsidR="002C31AC">
          <w:rPr>
            <w:noProof/>
            <w:webHidden/>
          </w:rPr>
          <w:fldChar w:fldCharType="separate"/>
        </w:r>
        <w:r w:rsidR="002C31AC">
          <w:rPr>
            <w:noProof/>
            <w:webHidden/>
          </w:rPr>
          <w:t>22</w:t>
        </w:r>
        <w:r w:rsidR="002C31AC">
          <w:rPr>
            <w:noProof/>
            <w:webHidden/>
          </w:rPr>
          <w:fldChar w:fldCharType="end"/>
        </w:r>
      </w:hyperlink>
    </w:p>
    <w:p w14:paraId="28F143B5" w14:textId="4DC28155" w:rsidR="002C31AC" w:rsidRDefault="002C31AC">
      <w:pPr>
        <w:pStyle w:val="TableofFigures"/>
        <w:tabs>
          <w:tab w:val="right" w:leader="dot" w:pos="9350"/>
        </w:tabs>
        <w:rPr>
          <w:rFonts w:eastAsiaTheme="minorEastAsia"/>
          <w:noProof/>
          <w:sz w:val="24"/>
          <w:szCs w:val="24"/>
        </w:rPr>
      </w:pPr>
      <w:hyperlink w:anchor="_Toc156210497" w:history="1">
        <w:r w:rsidRPr="003D0A12">
          <w:rPr>
            <w:rStyle w:val="Hyperlink"/>
            <w:noProof/>
            <w:lang w:val="tr-TR"/>
          </w:rPr>
          <w:t>Tablo 2. Kapasite Mekanizması Bütçesi</w:t>
        </w:r>
        <w:r>
          <w:rPr>
            <w:noProof/>
            <w:webHidden/>
          </w:rPr>
          <w:tab/>
        </w:r>
        <w:r>
          <w:rPr>
            <w:noProof/>
            <w:webHidden/>
          </w:rPr>
          <w:fldChar w:fldCharType="begin"/>
        </w:r>
        <w:r>
          <w:rPr>
            <w:noProof/>
            <w:webHidden/>
          </w:rPr>
          <w:instrText xml:space="preserve"> PAGEREF _Toc156210497 \h </w:instrText>
        </w:r>
        <w:r>
          <w:rPr>
            <w:noProof/>
            <w:webHidden/>
          </w:rPr>
        </w:r>
        <w:r>
          <w:rPr>
            <w:noProof/>
            <w:webHidden/>
          </w:rPr>
          <w:fldChar w:fldCharType="separate"/>
        </w:r>
        <w:r>
          <w:rPr>
            <w:noProof/>
            <w:webHidden/>
          </w:rPr>
          <w:t>23</w:t>
        </w:r>
        <w:r>
          <w:rPr>
            <w:noProof/>
            <w:webHidden/>
          </w:rPr>
          <w:fldChar w:fldCharType="end"/>
        </w:r>
      </w:hyperlink>
    </w:p>
    <w:p w14:paraId="4ABF4B7F" w14:textId="2790290A" w:rsidR="002C31AC" w:rsidRDefault="002C31AC">
      <w:pPr>
        <w:pStyle w:val="TableofFigures"/>
        <w:tabs>
          <w:tab w:val="right" w:leader="dot" w:pos="9350"/>
        </w:tabs>
        <w:rPr>
          <w:rFonts w:eastAsiaTheme="minorEastAsia"/>
          <w:noProof/>
          <w:sz w:val="24"/>
          <w:szCs w:val="24"/>
        </w:rPr>
      </w:pPr>
      <w:hyperlink w:anchor="_Toc156210498" w:history="1">
        <w:r w:rsidRPr="003D0A12">
          <w:rPr>
            <w:rStyle w:val="Hyperlink"/>
            <w:noProof/>
            <w:lang w:val="tr-TR"/>
          </w:rPr>
          <w:t>Tablo 3. Kurulu Güç Başına Yıllık Kapasite Ödemesi</w:t>
        </w:r>
        <w:r>
          <w:rPr>
            <w:noProof/>
            <w:webHidden/>
          </w:rPr>
          <w:tab/>
        </w:r>
        <w:r>
          <w:rPr>
            <w:noProof/>
            <w:webHidden/>
          </w:rPr>
          <w:fldChar w:fldCharType="begin"/>
        </w:r>
        <w:r>
          <w:rPr>
            <w:noProof/>
            <w:webHidden/>
          </w:rPr>
          <w:instrText xml:space="preserve"> PAGEREF _Toc156210498 \h </w:instrText>
        </w:r>
        <w:r>
          <w:rPr>
            <w:noProof/>
            <w:webHidden/>
          </w:rPr>
        </w:r>
        <w:r>
          <w:rPr>
            <w:noProof/>
            <w:webHidden/>
          </w:rPr>
          <w:fldChar w:fldCharType="separate"/>
        </w:r>
        <w:r>
          <w:rPr>
            <w:noProof/>
            <w:webHidden/>
          </w:rPr>
          <w:t>33</w:t>
        </w:r>
        <w:r>
          <w:rPr>
            <w:noProof/>
            <w:webHidden/>
          </w:rPr>
          <w:fldChar w:fldCharType="end"/>
        </w:r>
      </w:hyperlink>
    </w:p>
    <w:p w14:paraId="27C031B0" w14:textId="2586CD41" w:rsidR="002C31AC" w:rsidRDefault="002C31AC">
      <w:pPr>
        <w:pStyle w:val="TableofFigures"/>
        <w:tabs>
          <w:tab w:val="right" w:leader="dot" w:pos="9350"/>
        </w:tabs>
        <w:rPr>
          <w:rFonts w:eastAsiaTheme="minorEastAsia"/>
          <w:noProof/>
          <w:sz w:val="24"/>
          <w:szCs w:val="24"/>
        </w:rPr>
      </w:pPr>
      <w:hyperlink w:anchor="_Toc156210499" w:history="1">
        <w:r w:rsidRPr="003D0A12">
          <w:rPr>
            <w:rStyle w:val="Hyperlink"/>
            <w:noProof/>
            <w:lang w:val="tr-TR"/>
          </w:rPr>
          <w:t>Tablo 4. Almanya Kapasite Mekanizması Kapsamında Hazırda Bekletilen Santraller</w:t>
        </w:r>
        <w:r>
          <w:rPr>
            <w:noProof/>
            <w:webHidden/>
          </w:rPr>
          <w:tab/>
        </w:r>
        <w:r>
          <w:rPr>
            <w:noProof/>
            <w:webHidden/>
          </w:rPr>
          <w:fldChar w:fldCharType="begin"/>
        </w:r>
        <w:r>
          <w:rPr>
            <w:noProof/>
            <w:webHidden/>
          </w:rPr>
          <w:instrText xml:space="preserve"> PAGEREF _Toc156210499 \h </w:instrText>
        </w:r>
        <w:r>
          <w:rPr>
            <w:noProof/>
            <w:webHidden/>
          </w:rPr>
        </w:r>
        <w:r>
          <w:rPr>
            <w:noProof/>
            <w:webHidden/>
          </w:rPr>
          <w:fldChar w:fldCharType="separate"/>
        </w:r>
        <w:r>
          <w:rPr>
            <w:noProof/>
            <w:webHidden/>
          </w:rPr>
          <w:t>41</w:t>
        </w:r>
        <w:r>
          <w:rPr>
            <w:noProof/>
            <w:webHidden/>
          </w:rPr>
          <w:fldChar w:fldCharType="end"/>
        </w:r>
      </w:hyperlink>
    </w:p>
    <w:p w14:paraId="133EEBA8" w14:textId="50A476D7" w:rsidR="002C31AC" w:rsidRDefault="002C31AC">
      <w:pPr>
        <w:pStyle w:val="TableofFigures"/>
        <w:tabs>
          <w:tab w:val="right" w:leader="dot" w:pos="9350"/>
        </w:tabs>
        <w:rPr>
          <w:rFonts w:eastAsiaTheme="minorEastAsia"/>
          <w:noProof/>
          <w:sz w:val="24"/>
          <w:szCs w:val="24"/>
        </w:rPr>
      </w:pPr>
      <w:hyperlink w:anchor="_Toc156210500" w:history="1">
        <w:r w:rsidRPr="003D0A12">
          <w:rPr>
            <w:rStyle w:val="Hyperlink"/>
            <w:noProof/>
            <w:lang w:val="tr-TR"/>
          </w:rPr>
          <w:t>Tablo 5. Kapasite Piyasasındaki Otoriteler ve Görevleri</w:t>
        </w:r>
        <w:r>
          <w:rPr>
            <w:noProof/>
            <w:webHidden/>
          </w:rPr>
          <w:tab/>
        </w:r>
        <w:r>
          <w:rPr>
            <w:noProof/>
            <w:webHidden/>
          </w:rPr>
          <w:fldChar w:fldCharType="begin"/>
        </w:r>
        <w:r>
          <w:rPr>
            <w:noProof/>
            <w:webHidden/>
          </w:rPr>
          <w:instrText xml:space="preserve"> PAGEREF _Toc156210500 \h </w:instrText>
        </w:r>
        <w:r>
          <w:rPr>
            <w:noProof/>
            <w:webHidden/>
          </w:rPr>
        </w:r>
        <w:r>
          <w:rPr>
            <w:noProof/>
            <w:webHidden/>
          </w:rPr>
          <w:fldChar w:fldCharType="separate"/>
        </w:r>
        <w:r>
          <w:rPr>
            <w:noProof/>
            <w:webHidden/>
          </w:rPr>
          <w:t>46</w:t>
        </w:r>
        <w:r>
          <w:rPr>
            <w:noProof/>
            <w:webHidden/>
          </w:rPr>
          <w:fldChar w:fldCharType="end"/>
        </w:r>
      </w:hyperlink>
    </w:p>
    <w:p w14:paraId="6FE340C7" w14:textId="268A2D5D" w:rsidR="002C31AC" w:rsidRDefault="002C31AC">
      <w:pPr>
        <w:pStyle w:val="TableofFigures"/>
        <w:tabs>
          <w:tab w:val="right" w:leader="dot" w:pos="9350"/>
        </w:tabs>
        <w:rPr>
          <w:rFonts w:eastAsiaTheme="minorEastAsia"/>
          <w:noProof/>
          <w:sz w:val="24"/>
          <w:szCs w:val="24"/>
        </w:rPr>
      </w:pPr>
      <w:hyperlink w:anchor="_Toc156210501" w:history="1">
        <w:r w:rsidRPr="003D0A12">
          <w:rPr>
            <w:rStyle w:val="Hyperlink"/>
            <w:noProof/>
            <w:lang w:val="tr-TR"/>
          </w:rPr>
          <w:t>Tablo 6. Birim Kapasite Başına Verilen Destek Tutarı</w:t>
        </w:r>
        <w:r>
          <w:rPr>
            <w:noProof/>
            <w:webHidden/>
          </w:rPr>
          <w:tab/>
        </w:r>
        <w:r>
          <w:rPr>
            <w:noProof/>
            <w:webHidden/>
          </w:rPr>
          <w:fldChar w:fldCharType="begin"/>
        </w:r>
        <w:r>
          <w:rPr>
            <w:noProof/>
            <w:webHidden/>
          </w:rPr>
          <w:instrText xml:space="preserve"> PAGEREF _Toc156210501 \h </w:instrText>
        </w:r>
        <w:r>
          <w:rPr>
            <w:noProof/>
            <w:webHidden/>
          </w:rPr>
        </w:r>
        <w:r>
          <w:rPr>
            <w:noProof/>
            <w:webHidden/>
          </w:rPr>
          <w:fldChar w:fldCharType="separate"/>
        </w:r>
        <w:r>
          <w:rPr>
            <w:noProof/>
            <w:webHidden/>
          </w:rPr>
          <w:t>62</w:t>
        </w:r>
        <w:r>
          <w:rPr>
            <w:noProof/>
            <w:webHidden/>
          </w:rPr>
          <w:fldChar w:fldCharType="end"/>
        </w:r>
      </w:hyperlink>
    </w:p>
    <w:p w14:paraId="7C390DB2" w14:textId="5FBD5EDE" w:rsidR="002C31AC" w:rsidRDefault="002C31AC">
      <w:pPr>
        <w:pStyle w:val="TableofFigures"/>
        <w:tabs>
          <w:tab w:val="right" w:leader="dot" w:pos="9350"/>
        </w:tabs>
        <w:rPr>
          <w:rFonts w:eastAsiaTheme="minorEastAsia"/>
          <w:noProof/>
          <w:sz w:val="24"/>
          <w:szCs w:val="24"/>
        </w:rPr>
      </w:pPr>
      <w:hyperlink w:anchor="_Toc156210502" w:history="1">
        <w:r w:rsidRPr="003D0A12">
          <w:rPr>
            <w:rStyle w:val="Hyperlink"/>
            <w:noProof/>
            <w:lang w:val="tr-TR"/>
          </w:rPr>
          <w:t>Tablo 7. Ülkelerde Teslimat Eksikliği Durumunda Uygulanan Yaptırımların Özellikleri</w:t>
        </w:r>
        <w:r>
          <w:rPr>
            <w:noProof/>
            <w:webHidden/>
          </w:rPr>
          <w:tab/>
        </w:r>
        <w:r>
          <w:rPr>
            <w:noProof/>
            <w:webHidden/>
          </w:rPr>
          <w:fldChar w:fldCharType="begin"/>
        </w:r>
        <w:r>
          <w:rPr>
            <w:noProof/>
            <w:webHidden/>
          </w:rPr>
          <w:instrText xml:space="preserve"> PAGEREF _Toc156210502 \h </w:instrText>
        </w:r>
        <w:r>
          <w:rPr>
            <w:noProof/>
            <w:webHidden/>
          </w:rPr>
        </w:r>
        <w:r>
          <w:rPr>
            <w:noProof/>
            <w:webHidden/>
          </w:rPr>
          <w:fldChar w:fldCharType="separate"/>
        </w:r>
        <w:r>
          <w:rPr>
            <w:noProof/>
            <w:webHidden/>
          </w:rPr>
          <w:t>67</w:t>
        </w:r>
        <w:r>
          <w:rPr>
            <w:noProof/>
            <w:webHidden/>
          </w:rPr>
          <w:fldChar w:fldCharType="end"/>
        </w:r>
      </w:hyperlink>
    </w:p>
    <w:p w14:paraId="33CF6C29" w14:textId="31EC9AEC" w:rsidR="002C31AC" w:rsidRDefault="002C31AC">
      <w:pPr>
        <w:pStyle w:val="TableofFigures"/>
        <w:tabs>
          <w:tab w:val="right" w:leader="dot" w:pos="9350"/>
        </w:tabs>
        <w:rPr>
          <w:rFonts w:eastAsiaTheme="minorEastAsia"/>
          <w:noProof/>
          <w:sz w:val="24"/>
          <w:szCs w:val="24"/>
        </w:rPr>
      </w:pPr>
      <w:hyperlink w:anchor="_Toc156210503" w:history="1">
        <w:r w:rsidRPr="003D0A12">
          <w:rPr>
            <w:rStyle w:val="Hyperlink"/>
            <w:noProof/>
            <w:lang w:val="tr-TR"/>
          </w:rPr>
          <w:t>Tablo 8. Stratejik Rezerv Uygulamasına Sahip Üye Ülkelerde Uygulanan Performans Eksikliği Yaptırımının Özellikleri</w:t>
        </w:r>
        <w:r>
          <w:rPr>
            <w:noProof/>
            <w:webHidden/>
          </w:rPr>
          <w:tab/>
        </w:r>
        <w:r>
          <w:rPr>
            <w:noProof/>
            <w:webHidden/>
          </w:rPr>
          <w:fldChar w:fldCharType="begin"/>
        </w:r>
        <w:r>
          <w:rPr>
            <w:noProof/>
            <w:webHidden/>
          </w:rPr>
          <w:instrText xml:space="preserve"> PAGEREF _Toc156210503 \h </w:instrText>
        </w:r>
        <w:r>
          <w:rPr>
            <w:noProof/>
            <w:webHidden/>
          </w:rPr>
        </w:r>
        <w:r>
          <w:rPr>
            <w:noProof/>
            <w:webHidden/>
          </w:rPr>
          <w:fldChar w:fldCharType="separate"/>
        </w:r>
        <w:r>
          <w:rPr>
            <w:noProof/>
            <w:webHidden/>
          </w:rPr>
          <w:t>69</w:t>
        </w:r>
        <w:r>
          <w:rPr>
            <w:noProof/>
            <w:webHidden/>
          </w:rPr>
          <w:fldChar w:fldCharType="end"/>
        </w:r>
      </w:hyperlink>
    </w:p>
    <w:p w14:paraId="37753C88" w14:textId="0C6E771C" w:rsidR="002C31AC" w:rsidRDefault="002C31AC">
      <w:pPr>
        <w:pStyle w:val="TableofFigures"/>
        <w:tabs>
          <w:tab w:val="right" w:leader="dot" w:pos="9350"/>
        </w:tabs>
        <w:rPr>
          <w:rFonts w:eastAsiaTheme="minorEastAsia"/>
          <w:noProof/>
          <w:sz w:val="24"/>
          <w:szCs w:val="24"/>
        </w:rPr>
      </w:pPr>
      <w:hyperlink w:anchor="_Toc156210504" w:history="1">
        <w:r w:rsidRPr="003D0A12">
          <w:rPr>
            <w:rStyle w:val="Hyperlink"/>
            <w:noProof/>
            <w:lang w:val="tr-TR"/>
          </w:rPr>
          <w:t>Tablo 9. Piyasa Çaplı Kapasite Mekanizması Yaptırımları</w:t>
        </w:r>
        <w:r>
          <w:rPr>
            <w:noProof/>
            <w:webHidden/>
          </w:rPr>
          <w:tab/>
        </w:r>
        <w:r>
          <w:rPr>
            <w:noProof/>
            <w:webHidden/>
          </w:rPr>
          <w:fldChar w:fldCharType="begin"/>
        </w:r>
        <w:r>
          <w:rPr>
            <w:noProof/>
            <w:webHidden/>
          </w:rPr>
          <w:instrText xml:space="preserve"> PAGEREF _Toc156210504 \h </w:instrText>
        </w:r>
        <w:r>
          <w:rPr>
            <w:noProof/>
            <w:webHidden/>
          </w:rPr>
        </w:r>
        <w:r>
          <w:rPr>
            <w:noProof/>
            <w:webHidden/>
          </w:rPr>
          <w:fldChar w:fldCharType="separate"/>
        </w:r>
        <w:r>
          <w:rPr>
            <w:noProof/>
            <w:webHidden/>
          </w:rPr>
          <w:t>70</w:t>
        </w:r>
        <w:r>
          <w:rPr>
            <w:noProof/>
            <w:webHidden/>
          </w:rPr>
          <w:fldChar w:fldCharType="end"/>
        </w:r>
      </w:hyperlink>
    </w:p>
    <w:p w14:paraId="5FEFF239" w14:textId="27A00CDE" w:rsidR="00646960" w:rsidRPr="00CF336B" w:rsidRDefault="00646960" w:rsidP="004D4361">
      <w:pPr>
        <w:spacing w:line="360" w:lineRule="auto"/>
        <w:ind w:left="720" w:hanging="360"/>
        <w:rPr>
          <w:lang w:val="tr-TR"/>
        </w:rPr>
      </w:pPr>
      <w:r w:rsidRPr="00CF336B">
        <w:rPr>
          <w:lang w:val="tr-TR"/>
        </w:rPr>
        <w:fldChar w:fldCharType="end"/>
      </w:r>
      <w:r w:rsidRPr="00CF336B">
        <w:rPr>
          <w:lang w:val="tr-TR"/>
        </w:rPr>
        <w:br w:type="page"/>
      </w:r>
    </w:p>
    <w:p w14:paraId="7F490DF2" w14:textId="192A3AF8" w:rsidR="00646960" w:rsidRDefault="00646960" w:rsidP="004D4361">
      <w:pPr>
        <w:pStyle w:val="Heading1"/>
        <w:spacing w:line="360" w:lineRule="auto"/>
        <w:rPr>
          <w:lang w:val="tr-TR"/>
        </w:rPr>
      </w:pPr>
      <w:bookmarkStart w:id="3" w:name="_Toc156210432"/>
      <w:r w:rsidRPr="00CF336B">
        <w:rPr>
          <w:lang w:val="tr-TR"/>
        </w:rPr>
        <w:t>Kısaltmalar</w:t>
      </w:r>
      <w:bookmarkEnd w:id="3"/>
    </w:p>
    <w:p w14:paraId="08D84777" w14:textId="77777777" w:rsidR="004B16FE" w:rsidRPr="004B16FE" w:rsidRDefault="004B16FE" w:rsidP="004D4361">
      <w:pPr>
        <w:spacing w:line="360" w:lineRule="auto"/>
        <w:rPr>
          <w:lang w:val="tr-TR"/>
        </w:rPr>
      </w:pPr>
    </w:p>
    <w:p w14:paraId="7A690F68" w14:textId="77777777" w:rsidR="008A3A27" w:rsidRPr="008A3A27" w:rsidRDefault="008A3A27" w:rsidP="004D4361">
      <w:pPr>
        <w:spacing w:line="360" w:lineRule="auto"/>
        <w:rPr>
          <w:lang w:val="tr-TR"/>
        </w:rPr>
      </w:pPr>
      <w:r w:rsidRPr="008A3A27">
        <w:rPr>
          <w:b/>
          <w:bCs/>
          <w:lang w:val="tr-TR"/>
        </w:rPr>
        <w:t>AB:</w:t>
      </w:r>
      <w:r w:rsidRPr="008A3A27">
        <w:rPr>
          <w:lang w:val="tr-TR"/>
        </w:rPr>
        <w:t xml:space="preserve"> Avrupa Birliği</w:t>
      </w:r>
    </w:p>
    <w:p w14:paraId="2B81022B" w14:textId="5ADAA0B3" w:rsidR="008A3A27" w:rsidRPr="008A3A27" w:rsidRDefault="008A3A27" w:rsidP="004D4361">
      <w:pPr>
        <w:spacing w:line="360" w:lineRule="auto"/>
        <w:rPr>
          <w:lang w:val="tr-TR"/>
        </w:rPr>
      </w:pPr>
      <w:r w:rsidRPr="008A3A27">
        <w:rPr>
          <w:b/>
          <w:bCs/>
          <w:lang w:val="tr-TR"/>
        </w:rPr>
        <w:t>ACER:</w:t>
      </w:r>
      <w:r w:rsidRPr="008A3A27">
        <w:rPr>
          <w:lang w:val="tr-TR"/>
        </w:rPr>
        <w:t xml:space="preserve"> </w:t>
      </w:r>
      <w:r w:rsidR="009D7415" w:rsidRPr="009D7415">
        <w:rPr>
          <w:lang w:val="tr-TR"/>
        </w:rPr>
        <w:t xml:space="preserve">Enerji Düzenleyicileri </w:t>
      </w:r>
      <w:proofErr w:type="gramStart"/>
      <w:r w:rsidR="009D7415" w:rsidRPr="009D7415">
        <w:rPr>
          <w:lang w:val="tr-TR"/>
        </w:rPr>
        <w:t>İşbirliği</w:t>
      </w:r>
      <w:proofErr w:type="gramEnd"/>
      <w:r w:rsidR="009D7415" w:rsidRPr="009D7415">
        <w:rPr>
          <w:lang w:val="tr-TR"/>
        </w:rPr>
        <w:t xml:space="preserve"> Ajansı </w:t>
      </w:r>
      <w:r w:rsidR="009D7415">
        <w:rPr>
          <w:lang w:val="tr-TR"/>
        </w:rPr>
        <w:t>(</w:t>
      </w:r>
      <w:proofErr w:type="spellStart"/>
      <w:r w:rsidRPr="008A3A27">
        <w:rPr>
          <w:lang w:val="tr-TR"/>
        </w:rPr>
        <w:t>The</w:t>
      </w:r>
      <w:proofErr w:type="spellEnd"/>
      <w:r w:rsidRPr="008A3A27">
        <w:rPr>
          <w:lang w:val="tr-TR"/>
        </w:rPr>
        <w:t xml:space="preserve"> </w:t>
      </w:r>
      <w:proofErr w:type="spellStart"/>
      <w:r w:rsidRPr="008A3A27">
        <w:rPr>
          <w:lang w:val="tr-TR"/>
        </w:rPr>
        <w:t>Agency</w:t>
      </w:r>
      <w:proofErr w:type="spellEnd"/>
      <w:r w:rsidRPr="008A3A27">
        <w:rPr>
          <w:lang w:val="tr-TR"/>
        </w:rPr>
        <w:t xml:space="preserve"> </w:t>
      </w:r>
      <w:proofErr w:type="spellStart"/>
      <w:r w:rsidRPr="008A3A27">
        <w:rPr>
          <w:lang w:val="tr-TR"/>
        </w:rPr>
        <w:t>for</w:t>
      </w:r>
      <w:proofErr w:type="spellEnd"/>
      <w:r w:rsidRPr="008A3A27">
        <w:rPr>
          <w:lang w:val="tr-TR"/>
        </w:rPr>
        <w:t xml:space="preserve"> </w:t>
      </w:r>
      <w:proofErr w:type="spellStart"/>
      <w:r w:rsidRPr="008A3A27">
        <w:rPr>
          <w:lang w:val="tr-TR"/>
        </w:rPr>
        <w:t>the</w:t>
      </w:r>
      <w:proofErr w:type="spellEnd"/>
      <w:r w:rsidRPr="008A3A27">
        <w:rPr>
          <w:lang w:val="tr-TR"/>
        </w:rPr>
        <w:t xml:space="preserve"> </w:t>
      </w:r>
      <w:proofErr w:type="spellStart"/>
      <w:r w:rsidRPr="008A3A27">
        <w:rPr>
          <w:lang w:val="tr-TR"/>
        </w:rPr>
        <w:t>Cooperation</w:t>
      </w:r>
      <w:proofErr w:type="spellEnd"/>
      <w:r w:rsidRPr="008A3A27">
        <w:rPr>
          <w:lang w:val="tr-TR"/>
        </w:rPr>
        <w:t xml:space="preserve"> of Energy </w:t>
      </w:r>
      <w:proofErr w:type="spellStart"/>
      <w:r w:rsidRPr="008A3A27">
        <w:rPr>
          <w:lang w:val="tr-TR"/>
        </w:rPr>
        <w:t>Regulators</w:t>
      </w:r>
      <w:proofErr w:type="spellEnd"/>
      <w:r w:rsidR="009D7415">
        <w:rPr>
          <w:lang w:val="tr-TR"/>
        </w:rPr>
        <w:t>)</w:t>
      </w:r>
    </w:p>
    <w:p w14:paraId="0F3CE8FE" w14:textId="77777777" w:rsidR="008A3A27" w:rsidRPr="008A3A27" w:rsidRDefault="008A3A27" w:rsidP="004D4361">
      <w:pPr>
        <w:spacing w:line="360" w:lineRule="auto"/>
        <w:rPr>
          <w:lang w:val="tr-TR"/>
        </w:rPr>
      </w:pPr>
      <w:r w:rsidRPr="008A3A27">
        <w:rPr>
          <w:b/>
          <w:bCs/>
          <w:lang w:val="tr-TR"/>
        </w:rPr>
        <w:t>AUF:</w:t>
      </w:r>
      <w:r w:rsidRPr="008A3A27">
        <w:rPr>
          <w:lang w:val="tr-TR"/>
        </w:rPr>
        <w:t xml:space="preserve"> Azami Uzlaştırma Fiyatı </w:t>
      </w:r>
    </w:p>
    <w:p w14:paraId="2EC302AF" w14:textId="0ED9EF94" w:rsidR="008A3A27" w:rsidRPr="008A3A27" w:rsidRDefault="008A3A27" w:rsidP="004D4361">
      <w:pPr>
        <w:spacing w:line="360" w:lineRule="auto"/>
        <w:rPr>
          <w:lang w:val="tr-TR"/>
        </w:rPr>
      </w:pPr>
      <w:r w:rsidRPr="008A3A27">
        <w:rPr>
          <w:b/>
          <w:bCs/>
          <w:lang w:val="tr-TR"/>
        </w:rPr>
        <w:t>BOTAŞ:</w:t>
      </w:r>
      <w:r w:rsidRPr="008A3A27">
        <w:rPr>
          <w:lang w:val="tr-TR"/>
        </w:rPr>
        <w:t xml:space="preserve"> Boru Hatları </w:t>
      </w:r>
      <w:r w:rsidR="002C31AC">
        <w:rPr>
          <w:lang w:val="tr-TR"/>
        </w:rPr>
        <w:t>i</w:t>
      </w:r>
      <w:r w:rsidRPr="008A3A27">
        <w:rPr>
          <w:lang w:val="tr-TR"/>
        </w:rPr>
        <w:t>le Petrol Taşıma Anonim Şirketi</w:t>
      </w:r>
    </w:p>
    <w:p w14:paraId="0A4AC613" w14:textId="06AAFE09" w:rsidR="008A3A27" w:rsidRPr="008A3A27" w:rsidRDefault="008A3A27" w:rsidP="004D4361">
      <w:pPr>
        <w:spacing w:line="360" w:lineRule="auto"/>
        <w:rPr>
          <w:lang w:val="tr-TR"/>
        </w:rPr>
      </w:pPr>
      <w:r w:rsidRPr="008A3A27">
        <w:rPr>
          <w:b/>
          <w:bCs/>
          <w:lang w:val="tr-TR"/>
        </w:rPr>
        <w:t>CMU:</w:t>
      </w:r>
      <w:r w:rsidRPr="008A3A27">
        <w:rPr>
          <w:lang w:val="tr-TR"/>
        </w:rPr>
        <w:t xml:space="preserve"> </w:t>
      </w:r>
      <w:r w:rsidR="009D7415" w:rsidRPr="009D7415">
        <w:rPr>
          <w:lang w:val="tr-TR"/>
        </w:rPr>
        <w:t xml:space="preserve">Kapasite </w:t>
      </w:r>
      <w:r w:rsidR="004D4361">
        <w:rPr>
          <w:lang w:val="tr-TR"/>
        </w:rPr>
        <w:t>Sağlayıcı</w:t>
      </w:r>
      <w:r w:rsidR="009D7415" w:rsidRPr="009D7415">
        <w:rPr>
          <w:lang w:val="tr-TR"/>
        </w:rPr>
        <w:t xml:space="preserve"> Birim</w:t>
      </w:r>
      <w:r w:rsidR="009D7415">
        <w:rPr>
          <w:lang w:val="tr-TR"/>
        </w:rPr>
        <w:t xml:space="preserve"> (</w:t>
      </w:r>
      <w:proofErr w:type="spellStart"/>
      <w:r w:rsidRPr="008A3A27">
        <w:rPr>
          <w:lang w:val="tr-TR"/>
        </w:rPr>
        <w:t>Capacity</w:t>
      </w:r>
      <w:proofErr w:type="spellEnd"/>
      <w:r w:rsidRPr="008A3A27">
        <w:rPr>
          <w:lang w:val="tr-TR"/>
        </w:rPr>
        <w:t xml:space="preserve"> Market </w:t>
      </w:r>
      <w:proofErr w:type="spellStart"/>
      <w:r w:rsidRPr="008A3A27">
        <w:rPr>
          <w:lang w:val="tr-TR"/>
        </w:rPr>
        <w:t>Unit</w:t>
      </w:r>
      <w:proofErr w:type="spellEnd"/>
      <w:r w:rsidR="009D7415">
        <w:rPr>
          <w:lang w:val="tr-TR"/>
        </w:rPr>
        <w:t>)</w:t>
      </w:r>
    </w:p>
    <w:p w14:paraId="719D79DA" w14:textId="43108268" w:rsidR="008A3A27" w:rsidRDefault="008A3A27" w:rsidP="004D4361">
      <w:pPr>
        <w:spacing w:line="360" w:lineRule="auto"/>
        <w:rPr>
          <w:lang w:val="tr-TR"/>
        </w:rPr>
      </w:pPr>
      <w:r w:rsidRPr="008A3A27">
        <w:rPr>
          <w:b/>
          <w:bCs/>
          <w:lang w:val="tr-TR"/>
        </w:rPr>
        <w:t>DECC:</w:t>
      </w:r>
      <w:r w:rsidRPr="008A3A27">
        <w:rPr>
          <w:lang w:val="tr-TR"/>
        </w:rPr>
        <w:t xml:space="preserve"> </w:t>
      </w:r>
      <w:r w:rsidR="009D7415" w:rsidRPr="009D7415">
        <w:rPr>
          <w:lang w:val="tr-TR"/>
        </w:rPr>
        <w:t>Enerji ve İklim Değişikliği D</w:t>
      </w:r>
      <w:r w:rsidR="00427668">
        <w:rPr>
          <w:lang w:val="tr-TR"/>
        </w:rPr>
        <w:t>airesi</w:t>
      </w:r>
      <w:r w:rsidR="009D7415">
        <w:rPr>
          <w:lang w:val="tr-TR"/>
        </w:rPr>
        <w:t xml:space="preserve"> (</w:t>
      </w:r>
      <w:proofErr w:type="spellStart"/>
      <w:r w:rsidRPr="008A3A27">
        <w:rPr>
          <w:lang w:val="tr-TR"/>
        </w:rPr>
        <w:t>Department</w:t>
      </w:r>
      <w:proofErr w:type="spellEnd"/>
      <w:r w:rsidRPr="008A3A27">
        <w:rPr>
          <w:lang w:val="tr-TR"/>
        </w:rPr>
        <w:t xml:space="preserve"> of Energy &amp; </w:t>
      </w:r>
      <w:proofErr w:type="spellStart"/>
      <w:r w:rsidRPr="008A3A27">
        <w:rPr>
          <w:lang w:val="tr-TR"/>
        </w:rPr>
        <w:t>Climate</w:t>
      </w:r>
      <w:proofErr w:type="spellEnd"/>
      <w:r w:rsidRPr="008A3A27">
        <w:rPr>
          <w:lang w:val="tr-TR"/>
        </w:rPr>
        <w:t xml:space="preserve"> </w:t>
      </w:r>
      <w:proofErr w:type="spellStart"/>
      <w:r w:rsidRPr="008A3A27">
        <w:rPr>
          <w:lang w:val="tr-TR"/>
        </w:rPr>
        <w:t>Change</w:t>
      </w:r>
      <w:proofErr w:type="spellEnd"/>
      <w:r w:rsidR="009D7415">
        <w:rPr>
          <w:lang w:val="tr-TR"/>
        </w:rPr>
        <w:t>)</w:t>
      </w:r>
    </w:p>
    <w:p w14:paraId="26E318A4" w14:textId="3A27A510" w:rsidR="0052290F" w:rsidRPr="008A3A27" w:rsidRDefault="0052290F" w:rsidP="004D4361">
      <w:pPr>
        <w:spacing w:line="360" w:lineRule="auto"/>
        <w:rPr>
          <w:lang w:val="tr-TR"/>
        </w:rPr>
      </w:pPr>
      <w:bookmarkStart w:id="4" w:name="_Hlk155875737"/>
      <w:r w:rsidRPr="009C4C8B">
        <w:rPr>
          <w:b/>
          <w:bCs/>
          <w:lang w:val="tr-TR"/>
        </w:rPr>
        <w:t>DGKÇS:</w:t>
      </w:r>
      <w:r>
        <w:rPr>
          <w:lang w:val="tr-TR"/>
        </w:rPr>
        <w:t xml:space="preserve"> Doğal Gaz Kombine Çevrim Santrali</w:t>
      </w:r>
    </w:p>
    <w:bookmarkEnd w:id="4"/>
    <w:p w14:paraId="41588DD1" w14:textId="77777777" w:rsidR="008A3A27" w:rsidRPr="008A3A27" w:rsidRDefault="008A3A27" w:rsidP="004D4361">
      <w:pPr>
        <w:spacing w:line="360" w:lineRule="auto"/>
        <w:rPr>
          <w:lang w:val="tr-TR"/>
        </w:rPr>
      </w:pPr>
      <w:r w:rsidRPr="008A3A27">
        <w:rPr>
          <w:b/>
          <w:bCs/>
          <w:lang w:val="tr-TR"/>
        </w:rPr>
        <w:t>DMB:</w:t>
      </w:r>
      <w:r w:rsidRPr="008A3A27">
        <w:rPr>
          <w:lang w:val="tr-TR"/>
        </w:rPr>
        <w:t xml:space="preserve"> Değişken Maliyet Bileşeni</w:t>
      </w:r>
    </w:p>
    <w:p w14:paraId="7D455ADF" w14:textId="089A9664" w:rsidR="008A3A27" w:rsidRPr="008A3A27" w:rsidRDefault="008A3A27" w:rsidP="004D4361">
      <w:pPr>
        <w:spacing w:line="360" w:lineRule="auto"/>
        <w:rPr>
          <w:lang w:val="tr-TR"/>
        </w:rPr>
      </w:pPr>
      <w:r w:rsidRPr="008A3A27">
        <w:rPr>
          <w:b/>
          <w:bCs/>
          <w:lang w:val="tr-TR"/>
        </w:rPr>
        <w:t xml:space="preserve">EA: </w:t>
      </w:r>
      <w:r w:rsidR="009D7415" w:rsidRPr="009D7415">
        <w:rPr>
          <w:lang w:val="tr-TR"/>
        </w:rPr>
        <w:t>Erken İhale (</w:t>
      </w:r>
      <w:proofErr w:type="spellStart"/>
      <w:r w:rsidRPr="009D7415">
        <w:rPr>
          <w:lang w:val="tr-TR"/>
        </w:rPr>
        <w:t>Early</w:t>
      </w:r>
      <w:proofErr w:type="spellEnd"/>
      <w:r w:rsidRPr="008A3A27">
        <w:rPr>
          <w:lang w:val="tr-TR"/>
        </w:rPr>
        <w:t xml:space="preserve"> </w:t>
      </w:r>
      <w:proofErr w:type="spellStart"/>
      <w:r w:rsidRPr="008A3A27">
        <w:rPr>
          <w:lang w:val="tr-TR"/>
        </w:rPr>
        <w:t>Auction</w:t>
      </w:r>
      <w:proofErr w:type="spellEnd"/>
      <w:r w:rsidR="009D7415">
        <w:rPr>
          <w:lang w:val="tr-TR"/>
        </w:rPr>
        <w:t>)</w:t>
      </w:r>
    </w:p>
    <w:p w14:paraId="68BC15F2" w14:textId="77777777" w:rsidR="008A3A27" w:rsidRDefault="008A3A27" w:rsidP="004D4361">
      <w:pPr>
        <w:spacing w:line="360" w:lineRule="auto"/>
        <w:rPr>
          <w:lang w:val="tr-TR"/>
        </w:rPr>
      </w:pPr>
      <w:r w:rsidRPr="008A3A27">
        <w:rPr>
          <w:b/>
          <w:bCs/>
          <w:lang w:val="tr-TR"/>
        </w:rPr>
        <w:t>EAK:</w:t>
      </w:r>
      <w:r w:rsidRPr="008A3A27">
        <w:rPr>
          <w:lang w:val="tr-TR"/>
        </w:rPr>
        <w:t xml:space="preserve"> Emre Amade Kapasite</w:t>
      </w:r>
    </w:p>
    <w:p w14:paraId="0C01905F" w14:textId="162C6118" w:rsidR="0052290F" w:rsidRPr="008A3A27" w:rsidRDefault="0052290F" w:rsidP="004D4361">
      <w:pPr>
        <w:spacing w:line="360" w:lineRule="auto"/>
        <w:rPr>
          <w:lang w:val="tr-TR"/>
        </w:rPr>
      </w:pPr>
      <w:r w:rsidRPr="009C4C8B">
        <w:rPr>
          <w:b/>
          <w:bCs/>
          <w:lang w:val="tr-TR"/>
        </w:rPr>
        <w:t>EFC:</w:t>
      </w:r>
      <w:r>
        <w:rPr>
          <w:lang w:val="tr-TR"/>
        </w:rPr>
        <w:t xml:space="preserve"> Güvenilir Kapasite Miktarı (</w:t>
      </w:r>
      <w:proofErr w:type="spellStart"/>
      <w:r w:rsidRPr="0052290F">
        <w:rPr>
          <w:lang w:val="tr-TR"/>
        </w:rPr>
        <w:t>Equivalent</w:t>
      </w:r>
      <w:proofErr w:type="spellEnd"/>
      <w:r w:rsidRPr="0052290F">
        <w:rPr>
          <w:lang w:val="tr-TR"/>
        </w:rPr>
        <w:t xml:space="preserve"> </w:t>
      </w:r>
      <w:proofErr w:type="spellStart"/>
      <w:r w:rsidRPr="0052290F">
        <w:rPr>
          <w:lang w:val="tr-TR"/>
        </w:rPr>
        <w:t>Firm</w:t>
      </w:r>
      <w:proofErr w:type="spellEnd"/>
      <w:r w:rsidRPr="0052290F">
        <w:rPr>
          <w:lang w:val="tr-TR"/>
        </w:rPr>
        <w:t xml:space="preserve"> </w:t>
      </w:r>
      <w:proofErr w:type="spellStart"/>
      <w:r w:rsidRPr="0052290F">
        <w:rPr>
          <w:lang w:val="tr-TR"/>
        </w:rPr>
        <w:t>Capacity</w:t>
      </w:r>
      <w:proofErr w:type="spellEnd"/>
      <w:r>
        <w:rPr>
          <w:lang w:val="tr-TR"/>
        </w:rPr>
        <w:t>)</w:t>
      </w:r>
    </w:p>
    <w:p w14:paraId="12A2C55A" w14:textId="77777777" w:rsidR="008A3A27" w:rsidRPr="008A3A27" w:rsidRDefault="008A3A27" w:rsidP="004D4361">
      <w:pPr>
        <w:spacing w:line="360" w:lineRule="auto"/>
        <w:rPr>
          <w:lang w:val="tr-TR"/>
        </w:rPr>
      </w:pPr>
      <w:r w:rsidRPr="008A3A27">
        <w:rPr>
          <w:b/>
          <w:bCs/>
          <w:lang w:val="tr-TR"/>
        </w:rPr>
        <w:t>EPDK:</w:t>
      </w:r>
      <w:r w:rsidRPr="008A3A27">
        <w:rPr>
          <w:lang w:val="tr-TR"/>
        </w:rPr>
        <w:t xml:space="preserve"> Enerji Piyasası Düzenleme Kurumu </w:t>
      </w:r>
    </w:p>
    <w:p w14:paraId="0979B868" w14:textId="77777777" w:rsidR="008A3A27" w:rsidRPr="008A3A27" w:rsidRDefault="008A3A27" w:rsidP="004D4361">
      <w:pPr>
        <w:spacing w:line="360" w:lineRule="auto"/>
        <w:rPr>
          <w:lang w:val="tr-TR"/>
        </w:rPr>
      </w:pPr>
      <w:r w:rsidRPr="008A3A27">
        <w:rPr>
          <w:b/>
          <w:bCs/>
          <w:lang w:val="tr-TR"/>
        </w:rPr>
        <w:t>EPİAŞ:</w:t>
      </w:r>
      <w:r w:rsidRPr="008A3A27">
        <w:rPr>
          <w:lang w:val="tr-TR"/>
        </w:rPr>
        <w:t xml:space="preserve"> Enerji Piyasaları İşletme A.Ş.</w:t>
      </w:r>
    </w:p>
    <w:p w14:paraId="1DA435CA" w14:textId="0A04B326" w:rsidR="008A3A27" w:rsidRPr="008A3A27" w:rsidRDefault="008A3A27" w:rsidP="004D4361">
      <w:pPr>
        <w:spacing w:line="360" w:lineRule="auto"/>
        <w:rPr>
          <w:lang w:val="tr-TR"/>
        </w:rPr>
      </w:pPr>
      <w:r w:rsidRPr="008A3A27">
        <w:rPr>
          <w:b/>
          <w:bCs/>
          <w:lang w:val="tr-TR"/>
        </w:rPr>
        <w:t>ESA:</w:t>
      </w:r>
      <w:r w:rsidRPr="008A3A27">
        <w:rPr>
          <w:lang w:val="tr-TR"/>
        </w:rPr>
        <w:t xml:space="preserve"> </w:t>
      </w:r>
      <w:r w:rsidR="009D7415" w:rsidRPr="009D7415">
        <w:rPr>
          <w:lang w:val="tr-TR"/>
        </w:rPr>
        <w:t>Enerji Sektörü Yasası</w:t>
      </w:r>
      <w:r w:rsidR="009D7415">
        <w:rPr>
          <w:lang w:val="tr-TR"/>
        </w:rPr>
        <w:t xml:space="preserve"> (</w:t>
      </w:r>
      <w:r w:rsidRPr="008A3A27">
        <w:rPr>
          <w:lang w:val="tr-TR"/>
        </w:rPr>
        <w:t xml:space="preserve">Energy </w:t>
      </w:r>
      <w:proofErr w:type="spellStart"/>
      <w:r w:rsidRPr="008A3A27">
        <w:rPr>
          <w:lang w:val="tr-TR"/>
        </w:rPr>
        <w:t>Sector</w:t>
      </w:r>
      <w:proofErr w:type="spellEnd"/>
      <w:r w:rsidRPr="008A3A27">
        <w:rPr>
          <w:lang w:val="tr-TR"/>
        </w:rPr>
        <w:t xml:space="preserve"> </w:t>
      </w:r>
      <w:proofErr w:type="spellStart"/>
      <w:r w:rsidRPr="008A3A27">
        <w:rPr>
          <w:lang w:val="tr-TR"/>
        </w:rPr>
        <w:t>Act</w:t>
      </w:r>
      <w:proofErr w:type="spellEnd"/>
      <w:r w:rsidR="009D7415">
        <w:rPr>
          <w:lang w:val="tr-TR"/>
        </w:rPr>
        <w:t>)</w:t>
      </w:r>
    </w:p>
    <w:p w14:paraId="3FB04F37" w14:textId="4CAAB93E" w:rsidR="008A3A27" w:rsidRDefault="008A3A27" w:rsidP="004D4361">
      <w:pPr>
        <w:spacing w:line="360" w:lineRule="auto"/>
        <w:rPr>
          <w:lang w:val="tr-TR"/>
        </w:rPr>
      </w:pPr>
      <w:r w:rsidRPr="008A3A27">
        <w:rPr>
          <w:b/>
          <w:bCs/>
          <w:lang w:val="tr-TR"/>
        </w:rPr>
        <w:t>EU:</w:t>
      </w:r>
      <w:r w:rsidRPr="008A3A27">
        <w:rPr>
          <w:lang w:val="tr-TR"/>
        </w:rPr>
        <w:t xml:space="preserve"> </w:t>
      </w:r>
      <w:r w:rsidR="009D7415" w:rsidRPr="009D7415">
        <w:rPr>
          <w:lang w:val="tr-TR"/>
        </w:rPr>
        <w:t>Avrupa Birliği</w:t>
      </w:r>
      <w:r w:rsidR="009D7415">
        <w:rPr>
          <w:lang w:val="tr-TR"/>
        </w:rPr>
        <w:t xml:space="preserve"> (</w:t>
      </w:r>
      <w:proofErr w:type="spellStart"/>
      <w:r w:rsidRPr="008A3A27">
        <w:rPr>
          <w:lang w:val="tr-TR"/>
        </w:rPr>
        <w:t>European</w:t>
      </w:r>
      <w:proofErr w:type="spellEnd"/>
      <w:r w:rsidRPr="008A3A27">
        <w:rPr>
          <w:lang w:val="tr-TR"/>
        </w:rPr>
        <w:t xml:space="preserve"> </w:t>
      </w:r>
      <w:proofErr w:type="spellStart"/>
      <w:r w:rsidRPr="008A3A27">
        <w:rPr>
          <w:lang w:val="tr-TR"/>
        </w:rPr>
        <w:t>Union</w:t>
      </w:r>
      <w:proofErr w:type="spellEnd"/>
      <w:r w:rsidR="009D7415">
        <w:rPr>
          <w:lang w:val="tr-TR"/>
        </w:rPr>
        <w:t>)</w:t>
      </w:r>
    </w:p>
    <w:p w14:paraId="311ED015" w14:textId="63F29932" w:rsidR="005E3462" w:rsidRPr="008A3A27" w:rsidRDefault="005E3462" w:rsidP="004D4361">
      <w:pPr>
        <w:spacing w:line="360" w:lineRule="auto"/>
        <w:rPr>
          <w:lang w:val="tr-TR"/>
        </w:rPr>
      </w:pPr>
      <w:r w:rsidRPr="005E3462">
        <w:rPr>
          <w:b/>
          <w:bCs/>
          <w:lang w:val="tr-TR"/>
        </w:rPr>
        <w:t>EÜAŞ:</w:t>
      </w:r>
      <w:r>
        <w:rPr>
          <w:lang w:val="tr-TR"/>
        </w:rPr>
        <w:t xml:space="preserve"> Elektrik Üretim Anonim Şirketi</w:t>
      </w:r>
    </w:p>
    <w:p w14:paraId="69DBB9BC" w14:textId="77777777" w:rsidR="008A3A27" w:rsidRPr="008A3A27" w:rsidRDefault="008A3A27" w:rsidP="004D4361">
      <w:pPr>
        <w:spacing w:line="360" w:lineRule="auto"/>
        <w:rPr>
          <w:lang w:val="tr-TR"/>
        </w:rPr>
      </w:pPr>
      <w:r w:rsidRPr="008A3A27">
        <w:rPr>
          <w:b/>
          <w:bCs/>
          <w:lang w:val="tr-TR"/>
        </w:rPr>
        <w:t>GÖP:</w:t>
      </w:r>
      <w:r w:rsidRPr="008A3A27">
        <w:rPr>
          <w:lang w:val="tr-TR"/>
        </w:rPr>
        <w:t xml:space="preserve"> Gün Öncesi Piyasası </w:t>
      </w:r>
    </w:p>
    <w:p w14:paraId="2D714973" w14:textId="336FF4B7" w:rsidR="008A3A27" w:rsidRPr="008A3A27" w:rsidRDefault="008A3A27" w:rsidP="004D4361">
      <w:pPr>
        <w:spacing w:line="360" w:lineRule="auto"/>
        <w:rPr>
          <w:lang w:val="tr-TR"/>
        </w:rPr>
      </w:pPr>
      <w:r w:rsidRPr="008A3A27">
        <w:rPr>
          <w:b/>
          <w:bCs/>
          <w:lang w:val="tr-TR"/>
        </w:rPr>
        <w:t>IEA:</w:t>
      </w:r>
      <w:r w:rsidRPr="008A3A27">
        <w:rPr>
          <w:lang w:val="tr-TR"/>
        </w:rPr>
        <w:t xml:space="preserve"> </w:t>
      </w:r>
      <w:r w:rsidR="009D7415" w:rsidRPr="009D7415">
        <w:rPr>
          <w:lang w:val="tr-TR"/>
        </w:rPr>
        <w:t>Ulusal Enerji Ajansı</w:t>
      </w:r>
      <w:r w:rsidR="009D7415">
        <w:rPr>
          <w:lang w:val="tr-TR"/>
        </w:rPr>
        <w:t xml:space="preserve"> (</w:t>
      </w:r>
      <w:r w:rsidRPr="008A3A27">
        <w:rPr>
          <w:lang w:val="tr-TR"/>
        </w:rPr>
        <w:t xml:space="preserve">International Energy </w:t>
      </w:r>
      <w:proofErr w:type="spellStart"/>
      <w:r w:rsidRPr="008A3A27">
        <w:rPr>
          <w:lang w:val="tr-TR"/>
        </w:rPr>
        <w:t>Agency</w:t>
      </w:r>
      <w:proofErr w:type="spellEnd"/>
      <w:r w:rsidR="009D7415">
        <w:rPr>
          <w:lang w:val="tr-TR"/>
        </w:rPr>
        <w:t>)</w:t>
      </w:r>
    </w:p>
    <w:p w14:paraId="6E1B86AF" w14:textId="77777777" w:rsidR="008A3A27" w:rsidRPr="008A3A27" w:rsidRDefault="008A3A27" w:rsidP="004D4361">
      <w:pPr>
        <w:spacing w:line="360" w:lineRule="auto"/>
        <w:rPr>
          <w:lang w:val="tr-TR"/>
        </w:rPr>
      </w:pPr>
      <w:r w:rsidRPr="008A3A27">
        <w:rPr>
          <w:b/>
          <w:bCs/>
          <w:lang w:val="tr-TR"/>
        </w:rPr>
        <w:t xml:space="preserve">KVBG: </w:t>
      </w:r>
      <w:r w:rsidRPr="008A3A27">
        <w:rPr>
          <w:lang w:val="tr-TR"/>
        </w:rPr>
        <w:t>Kömür Kaynaklı Elektrik Üretimini Azaltma ve Sona Erdirme Yasası</w:t>
      </w:r>
    </w:p>
    <w:p w14:paraId="310AD379" w14:textId="24A5CD80" w:rsidR="008A3A27" w:rsidRPr="008A3A27" w:rsidRDefault="008A3A27" w:rsidP="004D4361">
      <w:pPr>
        <w:spacing w:line="360" w:lineRule="auto"/>
        <w:rPr>
          <w:lang w:val="tr-TR"/>
        </w:rPr>
      </w:pPr>
      <w:r w:rsidRPr="005A7284">
        <w:rPr>
          <w:b/>
          <w:bCs/>
          <w:lang w:val="tr-TR"/>
        </w:rPr>
        <w:t>LOLE:</w:t>
      </w:r>
      <w:r w:rsidRPr="005A7284">
        <w:rPr>
          <w:lang w:val="tr-TR"/>
        </w:rPr>
        <w:t xml:space="preserve"> </w:t>
      </w:r>
      <w:r w:rsidR="009D7415" w:rsidRPr="005A7284">
        <w:rPr>
          <w:lang w:val="tr-TR"/>
        </w:rPr>
        <w:t>Öngörülen Eksik Kapasite</w:t>
      </w:r>
      <w:r w:rsidR="009D7415" w:rsidRPr="009D7415">
        <w:rPr>
          <w:lang w:val="tr-TR"/>
        </w:rPr>
        <w:t xml:space="preserve"> </w:t>
      </w:r>
      <w:r w:rsidR="009D7415">
        <w:rPr>
          <w:lang w:val="tr-TR"/>
        </w:rPr>
        <w:t>(</w:t>
      </w:r>
      <w:proofErr w:type="spellStart"/>
      <w:r w:rsidR="009D7415" w:rsidRPr="009D7415">
        <w:rPr>
          <w:lang w:val="tr-TR"/>
        </w:rPr>
        <w:t>Loss</w:t>
      </w:r>
      <w:proofErr w:type="spellEnd"/>
      <w:r w:rsidR="009D7415" w:rsidRPr="009D7415">
        <w:rPr>
          <w:lang w:val="tr-TR"/>
        </w:rPr>
        <w:t xml:space="preserve"> of </w:t>
      </w:r>
      <w:proofErr w:type="spellStart"/>
      <w:r w:rsidR="009D7415" w:rsidRPr="009D7415">
        <w:rPr>
          <w:lang w:val="tr-TR"/>
        </w:rPr>
        <w:t>Load</w:t>
      </w:r>
      <w:proofErr w:type="spellEnd"/>
      <w:r w:rsidR="009D7415" w:rsidRPr="009D7415">
        <w:rPr>
          <w:lang w:val="tr-TR"/>
        </w:rPr>
        <w:t xml:space="preserve"> </w:t>
      </w:r>
      <w:proofErr w:type="spellStart"/>
      <w:r w:rsidR="009D7415" w:rsidRPr="009D7415">
        <w:rPr>
          <w:lang w:val="tr-TR"/>
        </w:rPr>
        <w:t>Expectation</w:t>
      </w:r>
      <w:proofErr w:type="spellEnd"/>
      <w:r w:rsidR="009D7415">
        <w:rPr>
          <w:lang w:val="tr-TR"/>
        </w:rPr>
        <w:t>)</w:t>
      </w:r>
    </w:p>
    <w:p w14:paraId="075F9204" w14:textId="58F83012" w:rsidR="008A3A27" w:rsidRPr="008A3A27" w:rsidRDefault="008A3A27" w:rsidP="004D4361">
      <w:pPr>
        <w:spacing w:line="360" w:lineRule="auto"/>
        <w:rPr>
          <w:lang w:val="tr-TR"/>
        </w:rPr>
      </w:pPr>
      <w:r w:rsidRPr="008A3A27">
        <w:rPr>
          <w:b/>
          <w:bCs/>
          <w:lang w:val="tr-TR"/>
        </w:rPr>
        <w:t>NGET:</w:t>
      </w:r>
      <w:r w:rsidRPr="008A3A27">
        <w:rPr>
          <w:lang w:val="tr-TR"/>
        </w:rPr>
        <w:t xml:space="preserve"> Ulusal İletim Şebekesi </w:t>
      </w:r>
      <w:r w:rsidR="009D7415">
        <w:rPr>
          <w:lang w:val="tr-TR"/>
        </w:rPr>
        <w:t>(</w:t>
      </w:r>
      <w:proofErr w:type="spellStart"/>
      <w:r w:rsidR="009D7415" w:rsidRPr="009D7415">
        <w:rPr>
          <w:lang w:val="tr-TR"/>
        </w:rPr>
        <w:t>National</w:t>
      </w:r>
      <w:proofErr w:type="spellEnd"/>
      <w:r w:rsidR="009D7415" w:rsidRPr="009D7415">
        <w:rPr>
          <w:lang w:val="tr-TR"/>
        </w:rPr>
        <w:t xml:space="preserve"> </w:t>
      </w:r>
      <w:proofErr w:type="spellStart"/>
      <w:r w:rsidR="009D7415" w:rsidRPr="009D7415">
        <w:rPr>
          <w:lang w:val="tr-TR"/>
        </w:rPr>
        <w:t>Transmission</w:t>
      </w:r>
      <w:proofErr w:type="spellEnd"/>
      <w:r w:rsidR="009D7415" w:rsidRPr="009D7415">
        <w:rPr>
          <w:lang w:val="tr-TR"/>
        </w:rPr>
        <w:t xml:space="preserve"> Grid</w:t>
      </w:r>
      <w:r w:rsidR="009D7415">
        <w:rPr>
          <w:lang w:val="tr-TR"/>
        </w:rPr>
        <w:t>)</w:t>
      </w:r>
    </w:p>
    <w:p w14:paraId="78715ABF" w14:textId="6F420350" w:rsidR="008A3A27" w:rsidRPr="008A3A27" w:rsidRDefault="008A3A27" w:rsidP="004D4361">
      <w:pPr>
        <w:spacing w:line="360" w:lineRule="auto"/>
        <w:rPr>
          <w:lang w:val="tr-TR"/>
        </w:rPr>
      </w:pPr>
      <w:r w:rsidRPr="008A3A27">
        <w:rPr>
          <w:b/>
          <w:bCs/>
          <w:lang w:val="tr-TR"/>
        </w:rPr>
        <w:t xml:space="preserve">OFGEM: </w:t>
      </w:r>
      <w:r w:rsidR="009D7415" w:rsidRPr="009D7415">
        <w:rPr>
          <w:lang w:val="tr-TR"/>
        </w:rPr>
        <w:t>Gaz ve Elektrik Piyasaları Ofisi (</w:t>
      </w:r>
      <w:proofErr w:type="spellStart"/>
      <w:r w:rsidRPr="009D7415">
        <w:rPr>
          <w:lang w:val="tr-TR"/>
        </w:rPr>
        <w:t>The</w:t>
      </w:r>
      <w:proofErr w:type="spellEnd"/>
      <w:r w:rsidRPr="008A3A27">
        <w:rPr>
          <w:lang w:val="tr-TR"/>
        </w:rPr>
        <w:t xml:space="preserve"> Office </w:t>
      </w:r>
      <w:proofErr w:type="spellStart"/>
      <w:r w:rsidRPr="008A3A27">
        <w:rPr>
          <w:lang w:val="tr-TR"/>
        </w:rPr>
        <w:t>for</w:t>
      </w:r>
      <w:proofErr w:type="spellEnd"/>
      <w:r w:rsidRPr="008A3A27">
        <w:rPr>
          <w:lang w:val="tr-TR"/>
        </w:rPr>
        <w:t xml:space="preserve"> </w:t>
      </w:r>
      <w:proofErr w:type="spellStart"/>
      <w:r w:rsidRPr="008A3A27">
        <w:rPr>
          <w:lang w:val="tr-TR"/>
        </w:rPr>
        <w:t>Gas</w:t>
      </w:r>
      <w:proofErr w:type="spellEnd"/>
      <w:r w:rsidRPr="008A3A27">
        <w:rPr>
          <w:lang w:val="tr-TR"/>
        </w:rPr>
        <w:t xml:space="preserve"> </w:t>
      </w:r>
      <w:proofErr w:type="spellStart"/>
      <w:r w:rsidRPr="008A3A27">
        <w:rPr>
          <w:lang w:val="tr-TR"/>
        </w:rPr>
        <w:t>and</w:t>
      </w:r>
      <w:proofErr w:type="spellEnd"/>
      <w:r w:rsidRPr="008A3A27">
        <w:rPr>
          <w:lang w:val="tr-TR"/>
        </w:rPr>
        <w:t xml:space="preserve"> </w:t>
      </w:r>
      <w:proofErr w:type="spellStart"/>
      <w:r w:rsidRPr="008A3A27">
        <w:rPr>
          <w:lang w:val="tr-TR"/>
        </w:rPr>
        <w:t>Electricity</w:t>
      </w:r>
      <w:proofErr w:type="spellEnd"/>
      <w:r w:rsidRPr="008A3A27">
        <w:rPr>
          <w:lang w:val="tr-TR"/>
        </w:rPr>
        <w:t xml:space="preserve"> </w:t>
      </w:r>
      <w:proofErr w:type="spellStart"/>
      <w:r w:rsidRPr="008A3A27">
        <w:rPr>
          <w:lang w:val="tr-TR"/>
        </w:rPr>
        <w:t>Markets</w:t>
      </w:r>
      <w:proofErr w:type="spellEnd"/>
      <w:r w:rsidR="009D7415">
        <w:rPr>
          <w:lang w:val="tr-TR"/>
        </w:rPr>
        <w:t>)</w:t>
      </w:r>
    </w:p>
    <w:p w14:paraId="2FB3538A" w14:textId="4F6F823E" w:rsidR="008A3A27" w:rsidRPr="008A3A27" w:rsidRDefault="008A3A27" w:rsidP="004D4361">
      <w:pPr>
        <w:spacing w:line="360" w:lineRule="auto"/>
        <w:rPr>
          <w:lang w:val="tr-TR"/>
        </w:rPr>
      </w:pPr>
      <w:r w:rsidRPr="005A7284">
        <w:rPr>
          <w:b/>
          <w:bCs/>
          <w:lang w:val="tr-TR"/>
        </w:rPr>
        <w:t>PEP:</w:t>
      </w:r>
      <w:r w:rsidRPr="005A7284">
        <w:rPr>
          <w:lang w:val="tr-TR"/>
        </w:rPr>
        <w:t xml:space="preserve"> Polonya Enerji Politikaları</w:t>
      </w:r>
      <w:r w:rsidR="00206594">
        <w:rPr>
          <w:lang w:val="tr-TR"/>
        </w:rPr>
        <w:t xml:space="preserve"> (</w:t>
      </w:r>
      <w:proofErr w:type="spellStart"/>
      <w:r w:rsidR="00206594" w:rsidRPr="00206594">
        <w:rPr>
          <w:lang w:val="tr-TR"/>
        </w:rPr>
        <w:t>The</w:t>
      </w:r>
      <w:proofErr w:type="spellEnd"/>
      <w:r w:rsidR="00206594" w:rsidRPr="00206594">
        <w:rPr>
          <w:lang w:val="tr-TR"/>
        </w:rPr>
        <w:t xml:space="preserve"> </w:t>
      </w:r>
      <w:proofErr w:type="spellStart"/>
      <w:r w:rsidR="00206594" w:rsidRPr="00206594">
        <w:rPr>
          <w:lang w:val="tr-TR"/>
        </w:rPr>
        <w:t>Polish</w:t>
      </w:r>
      <w:proofErr w:type="spellEnd"/>
      <w:r w:rsidR="00206594" w:rsidRPr="00206594">
        <w:rPr>
          <w:lang w:val="tr-TR"/>
        </w:rPr>
        <w:t xml:space="preserve"> </w:t>
      </w:r>
      <w:r w:rsidR="00206594">
        <w:rPr>
          <w:lang w:val="tr-TR"/>
        </w:rPr>
        <w:t>E</w:t>
      </w:r>
      <w:r w:rsidR="00206594" w:rsidRPr="00206594">
        <w:rPr>
          <w:lang w:val="tr-TR"/>
        </w:rPr>
        <w:t xml:space="preserve">nergy </w:t>
      </w:r>
      <w:proofErr w:type="spellStart"/>
      <w:r w:rsidR="00206594">
        <w:rPr>
          <w:lang w:val="tr-TR"/>
        </w:rPr>
        <w:t>P</w:t>
      </w:r>
      <w:r w:rsidR="00206594" w:rsidRPr="00206594">
        <w:rPr>
          <w:lang w:val="tr-TR"/>
        </w:rPr>
        <w:t>olicy</w:t>
      </w:r>
      <w:proofErr w:type="spellEnd"/>
      <w:r w:rsidR="00206594">
        <w:rPr>
          <w:lang w:val="tr-TR"/>
        </w:rPr>
        <w:t>)</w:t>
      </w:r>
    </w:p>
    <w:p w14:paraId="0D989C3E" w14:textId="34023936" w:rsidR="008A3A27" w:rsidRPr="008A3A27" w:rsidRDefault="008A3A27" w:rsidP="004D4361">
      <w:pPr>
        <w:spacing w:line="360" w:lineRule="auto"/>
        <w:rPr>
          <w:lang w:val="tr-TR"/>
        </w:rPr>
      </w:pPr>
      <w:r w:rsidRPr="008A3A27">
        <w:rPr>
          <w:b/>
          <w:bCs/>
          <w:lang w:val="tr-TR"/>
        </w:rPr>
        <w:t>PSE:</w:t>
      </w:r>
      <w:r w:rsidRPr="008A3A27">
        <w:rPr>
          <w:lang w:val="tr-TR"/>
        </w:rPr>
        <w:t xml:space="preserve"> </w:t>
      </w:r>
      <w:r w:rsidR="00206594">
        <w:rPr>
          <w:lang w:val="tr-TR"/>
        </w:rPr>
        <w:t>Polonya Elektrik Şebekeleri (</w:t>
      </w:r>
      <w:proofErr w:type="spellStart"/>
      <w:r w:rsidRPr="008A3A27">
        <w:rPr>
          <w:lang w:val="tr-TR"/>
        </w:rPr>
        <w:t>Polskie</w:t>
      </w:r>
      <w:proofErr w:type="spellEnd"/>
      <w:r w:rsidRPr="008A3A27">
        <w:rPr>
          <w:lang w:val="tr-TR"/>
        </w:rPr>
        <w:t xml:space="preserve"> </w:t>
      </w:r>
      <w:proofErr w:type="spellStart"/>
      <w:r w:rsidRPr="008A3A27">
        <w:rPr>
          <w:lang w:val="tr-TR"/>
        </w:rPr>
        <w:t>Sieci</w:t>
      </w:r>
      <w:proofErr w:type="spellEnd"/>
      <w:r w:rsidRPr="008A3A27">
        <w:rPr>
          <w:lang w:val="tr-TR"/>
        </w:rPr>
        <w:t xml:space="preserve"> </w:t>
      </w:r>
      <w:proofErr w:type="spellStart"/>
      <w:r w:rsidRPr="008A3A27">
        <w:rPr>
          <w:lang w:val="tr-TR"/>
        </w:rPr>
        <w:t>Elektroenergetyczne</w:t>
      </w:r>
      <w:proofErr w:type="spellEnd"/>
      <w:r w:rsidR="00206594">
        <w:rPr>
          <w:lang w:val="tr-TR"/>
        </w:rPr>
        <w:t>)</w:t>
      </w:r>
    </w:p>
    <w:p w14:paraId="73E75AB6" w14:textId="77777777" w:rsidR="008A3A27" w:rsidRPr="008A3A27" w:rsidRDefault="008A3A27" w:rsidP="004D4361">
      <w:pPr>
        <w:spacing w:line="360" w:lineRule="auto"/>
        <w:rPr>
          <w:lang w:val="tr-TR"/>
        </w:rPr>
      </w:pPr>
      <w:r w:rsidRPr="008A3A27">
        <w:rPr>
          <w:b/>
          <w:bCs/>
          <w:lang w:val="tr-TR"/>
        </w:rPr>
        <w:t>PTF:</w:t>
      </w:r>
      <w:r w:rsidRPr="008A3A27">
        <w:rPr>
          <w:lang w:val="tr-TR"/>
        </w:rPr>
        <w:t xml:space="preserve"> Piyasa Takas Fiyatı</w:t>
      </w:r>
    </w:p>
    <w:p w14:paraId="0D8FDBC6" w14:textId="77777777" w:rsidR="008A3A27" w:rsidRPr="008A3A27" w:rsidRDefault="008A3A27" w:rsidP="004D4361">
      <w:pPr>
        <w:spacing w:line="360" w:lineRule="auto"/>
        <w:rPr>
          <w:lang w:val="tr-TR"/>
        </w:rPr>
      </w:pPr>
      <w:r w:rsidRPr="008A3A27">
        <w:rPr>
          <w:b/>
          <w:bCs/>
          <w:lang w:val="tr-TR"/>
        </w:rPr>
        <w:t>ROC:</w:t>
      </w:r>
      <w:r w:rsidRPr="008A3A27">
        <w:rPr>
          <w:lang w:val="tr-TR"/>
        </w:rPr>
        <w:t xml:space="preserve"> </w:t>
      </w:r>
      <w:proofErr w:type="spellStart"/>
      <w:r w:rsidRPr="008A3A27">
        <w:rPr>
          <w:lang w:val="tr-TR"/>
        </w:rPr>
        <w:t>Renewable</w:t>
      </w:r>
      <w:proofErr w:type="spellEnd"/>
      <w:r w:rsidRPr="008A3A27">
        <w:rPr>
          <w:lang w:val="tr-TR"/>
        </w:rPr>
        <w:t xml:space="preserve"> </w:t>
      </w:r>
      <w:proofErr w:type="spellStart"/>
      <w:r w:rsidRPr="008A3A27">
        <w:rPr>
          <w:lang w:val="tr-TR"/>
        </w:rPr>
        <w:t>Obligation</w:t>
      </w:r>
      <w:proofErr w:type="spellEnd"/>
      <w:r w:rsidRPr="008A3A27">
        <w:rPr>
          <w:lang w:val="tr-TR"/>
        </w:rPr>
        <w:t xml:space="preserve"> </w:t>
      </w:r>
      <w:proofErr w:type="spellStart"/>
      <w:r w:rsidRPr="008A3A27">
        <w:rPr>
          <w:lang w:val="tr-TR"/>
        </w:rPr>
        <w:t>Certificate</w:t>
      </w:r>
      <w:proofErr w:type="spellEnd"/>
    </w:p>
    <w:p w14:paraId="62EF04E2" w14:textId="77777777" w:rsidR="008A3A27" w:rsidRPr="008A3A27" w:rsidRDefault="008A3A27" w:rsidP="004D4361">
      <w:pPr>
        <w:spacing w:line="360" w:lineRule="auto"/>
        <w:rPr>
          <w:lang w:val="tr-TR"/>
        </w:rPr>
      </w:pPr>
      <w:r w:rsidRPr="008A3A27">
        <w:rPr>
          <w:b/>
          <w:bCs/>
          <w:lang w:val="tr-TR"/>
        </w:rPr>
        <w:t>SKDM:</w:t>
      </w:r>
      <w:r w:rsidRPr="008A3A27">
        <w:rPr>
          <w:lang w:val="tr-TR"/>
        </w:rPr>
        <w:t xml:space="preserve"> Sınırda Karbon Düzenleme Mekanizması </w:t>
      </w:r>
    </w:p>
    <w:p w14:paraId="069B36A9" w14:textId="13AEFDD1" w:rsidR="008A3A27" w:rsidRPr="008A3A27" w:rsidRDefault="008A3A27" w:rsidP="004D4361">
      <w:pPr>
        <w:spacing w:line="360" w:lineRule="auto"/>
        <w:rPr>
          <w:lang w:val="tr-TR"/>
        </w:rPr>
      </w:pPr>
      <w:r w:rsidRPr="008A3A27">
        <w:rPr>
          <w:b/>
          <w:bCs/>
          <w:lang w:val="tr-TR"/>
        </w:rPr>
        <w:t>SMB</w:t>
      </w:r>
      <w:r w:rsidR="00FC2BD3">
        <w:rPr>
          <w:b/>
          <w:bCs/>
          <w:lang w:val="tr-TR"/>
        </w:rPr>
        <w:t>:</w:t>
      </w:r>
      <w:r w:rsidRPr="008A3A27">
        <w:rPr>
          <w:lang w:val="tr-TR"/>
        </w:rPr>
        <w:t xml:space="preserve"> Sabit Maliyet Bileşeni </w:t>
      </w:r>
    </w:p>
    <w:p w14:paraId="0B8C9BBC" w14:textId="77777777" w:rsidR="008A3A27" w:rsidRPr="008A3A27" w:rsidRDefault="008A3A27" w:rsidP="004D4361">
      <w:pPr>
        <w:spacing w:line="360" w:lineRule="auto"/>
        <w:rPr>
          <w:lang w:val="tr-TR"/>
        </w:rPr>
      </w:pPr>
      <w:r w:rsidRPr="008A3A27">
        <w:rPr>
          <w:b/>
          <w:bCs/>
          <w:lang w:val="tr-TR"/>
        </w:rPr>
        <w:t>TEİAŞ:</w:t>
      </w:r>
      <w:r w:rsidRPr="008A3A27">
        <w:rPr>
          <w:lang w:val="tr-TR"/>
        </w:rPr>
        <w:t xml:space="preserve"> Türkiye Elektrik İletim A.Ş.</w:t>
      </w:r>
    </w:p>
    <w:p w14:paraId="2C3F2076" w14:textId="77777777" w:rsidR="008A3A27" w:rsidRPr="008A3A27" w:rsidRDefault="008A3A27" w:rsidP="004D4361">
      <w:pPr>
        <w:spacing w:line="360" w:lineRule="auto"/>
        <w:rPr>
          <w:lang w:val="tr-TR"/>
        </w:rPr>
      </w:pPr>
      <w:r w:rsidRPr="008A3A27">
        <w:rPr>
          <w:b/>
          <w:bCs/>
          <w:lang w:val="tr-TR"/>
        </w:rPr>
        <w:t>TMB:</w:t>
      </w:r>
      <w:r w:rsidRPr="008A3A27">
        <w:rPr>
          <w:lang w:val="tr-TR"/>
        </w:rPr>
        <w:t xml:space="preserve"> Toplam Maliyet Bileşeni</w:t>
      </w:r>
    </w:p>
    <w:p w14:paraId="0CCD2C4E" w14:textId="77777777" w:rsidR="008A3A27" w:rsidRPr="008A3A27" w:rsidRDefault="008A3A27" w:rsidP="004D4361">
      <w:pPr>
        <w:spacing w:line="360" w:lineRule="auto"/>
        <w:rPr>
          <w:b/>
          <w:bCs/>
          <w:lang w:val="tr-TR"/>
        </w:rPr>
      </w:pPr>
      <w:r w:rsidRPr="008A3A27">
        <w:rPr>
          <w:b/>
          <w:bCs/>
          <w:lang w:val="tr-TR"/>
        </w:rPr>
        <w:t xml:space="preserve">TÜFE: </w:t>
      </w:r>
      <w:r w:rsidRPr="008A3A27">
        <w:rPr>
          <w:lang w:val="tr-TR"/>
        </w:rPr>
        <w:t>Tüketici Fiyat Endeksi</w:t>
      </w:r>
    </w:p>
    <w:p w14:paraId="36297338" w14:textId="5B5776C5" w:rsidR="008A3A27" w:rsidRPr="008A3A27" w:rsidRDefault="008A3A27" w:rsidP="004D4361">
      <w:pPr>
        <w:spacing w:line="360" w:lineRule="auto"/>
        <w:rPr>
          <w:lang w:val="tr-TR"/>
        </w:rPr>
      </w:pPr>
      <w:r w:rsidRPr="008A3A27">
        <w:rPr>
          <w:b/>
          <w:bCs/>
          <w:lang w:val="tr-TR"/>
        </w:rPr>
        <w:t>TWAA</w:t>
      </w:r>
      <w:r w:rsidRPr="008A3A27">
        <w:rPr>
          <w:lang w:val="tr-TR"/>
        </w:rPr>
        <w:t xml:space="preserve">: </w:t>
      </w:r>
      <w:r w:rsidR="00206594" w:rsidRPr="00206594">
        <w:rPr>
          <w:lang w:val="tr-TR"/>
        </w:rPr>
        <w:t xml:space="preserve">Teknoloji Sınıfı Ağırlıklı </w:t>
      </w:r>
      <w:proofErr w:type="gramStart"/>
      <w:r w:rsidR="00206594">
        <w:rPr>
          <w:lang w:val="tr-TR"/>
        </w:rPr>
        <w:t>E</w:t>
      </w:r>
      <w:r w:rsidR="00206594" w:rsidRPr="00206594">
        <w:rPr>
          <w:lang w:val="tr-TR"/>
        </w:rPr>
        <w:t>mre -</w:t>
      </w:r>
      <w:proofErr w:type="gramEnd"/>
      <w:r w:rsidR="00206594" w:rsidRPr="00206594">
        <w:rPr>
          <w:lang w:val="tr-TR"/>
        </w:rPr>
        <w:t xml:space="preserve"> </w:t>
      </w:r>
      <w:proofErr w:type="spellStart"/>
      <w:r w:rsidR="00206594">
        <w:rPr>
          <w:lang w:val="tr-TR"/>
        </w:rPr>
        <w:t>A</w:t>
      </w:r>
      <w:r w:rsidR="00206594" w:rsidRPr="00206594">
        <w:rPr>
          <w:lang w:val="tr-TR"/>
        </w:rPr>
        <w:t>madelik</w:t>
      </w:r>
      <w:proofErr w:type="spellEnd"/>
      <w:r w:rsidR="00206594" w:rsidRPr="00206594">
        <w:rPr>
          <w:lang w:val="tr-TR"/>
        </w:rPr>
        <w:t xml:space="preserve"> </w:t>
      </w:r>
      <w:r w:rsidR="00206594">
        <w:rPr>
          <w:lang w:val="tr-TR"/>
        </w:rPr>
        <w:t>D</w:t>
      </w:r>
      <w:r w:rsidR="00206594" w:rsidRPr="00206594">
        <w:rPr>
          <w:lang w:val="tr-TR"/>
        </w:rPr>
        <w:t xml:space="preserve">urumu </w:t>
      </w:r>
      <w:r w:rsidR="00206594">
        <w:rPr>
          <w:lang w:val="tr-TR"/>
        </w:rPr>
        <w:t>O</w:t>
      </w:r>
      <w:r w:rsidR="00206594" w:rsidRPr="00206594">
        <w:rPr>
          <w:lang w:val="tr-TR"/>
        </w:rPr>
        <w:t xml:space="preserve">rtalaması </w:t>
      </w:r>
      <w:r w:rsidR="00206594">
        <w:rPr>
          <w:lang w:val="tr-TR"/>
        </w:rPr>
        <w:t>(</w:t>
      </w:r>
      <w:proofErr w:type="spellStart"/>
      <w:r w:rsidRPr="008A3A27">
        <w:rPr>
          <w:lang w:val="tr-TR"/>
        </w:rPr>
        <w:t>The</w:t>
      </w:r>
      <w:proofErr w:type="spellEnd"/>
      <w:r w:rsidRPr="008A3A27">
        <w:rPr>
          <w:lang w:val="tr-TR"/>
        </w:rPr>
        <w:t xml:space="preserve"> </w:t>
      </w:r>
      <w:proofErr w:type="spellStart"/>
      <w:r w:rsidRPr="008A3A27">
        <w:rPr>
          <w:lang w:val="tr-TR"/>
        </w:rPr>
        <w:t>Technology</w:t>
      </w:r>
      <w:proofErr w:type="spellEnd"/>
      <w:r w:rsidRPr="008A3A27">
        <w:rPr>
          <w:lang w:val="tr-TR"/>
        </w:rPr>
        <w:t xml:space="preserve"> Class </w:t>
      </w:r>
      <w:proofErr w:type="spellStart"/>
      <w:r w:rsidRPr="008A3A27">
        <w:rPr>
          <w:lang w:val="tr-TR"/>
        </w:rPr>
        <w:t>Weighted</w:t>
      </w:r>
      <w:proofErr w:type="spellEnd"/>
      <w:r w:rsidRPr="008A3A27">
        <w:rPr>
          <w:lang w:val="tr-TR"/>
        </w:rPr>
        <w:t xml:space="preserve"> </w:t>
      </w:r>
      <w:proofErr w:type="spellStart"/>
      <w:r w:rsidRPr="008A3A27">
        <w:rPr>
          <w:lang w:val="tr-TR"/>
        </w:rPr>
        <w:t>Average</w:t>
      </w:r>
      <w:proofErr w:type="spellEnd"/>
      <w:r w:rsidRPr="008A3A27">
        <w:rPr>
          <w:lang w:val="tr-TR"/>
        </w:rPr>
        <w:t xml:space="preserve"> </w:t>
      </w:r>
      <w:proofErr w:type="spellStart"/>
      <w:r w:rsidRPr="008A3A27">
        <w:rPr>
          <w:lang w:val="tr-TR"/>
        </w:rPr>
        <w:t>Availabilty</w:t>
      </w:r>
      <w:proofErr w:type="spellEnd"/>
      <w:r w:rsidR="00206594">
        <w:rPr>
          <w:lang w:val="tr-TR"/>
        </w:rPr>
        <w:t xml:space="preserve">) </w:t>
      </w:r>
    </w:p>
    <w:p w14:paraId="6F35FEBD" w14:textId="77777777" w:rsidR="008A3A27" w:rsidRPr="008A3A27" w:rsidRDefault="008A3A27" w:rsidP="004D4361">
      <w:pPr>
        <w:spacing w:line="360" w:lineRule="auto"/>
        <w:rPr>
          <w:lang w:val="tr-TR"/>
        </w:rPr>
      </w:pPr>
      <w:r w:rsidRPr="008A3A27">
        <w:rPr>
          <w:b/>
          <w:bCs/>
          <w:lang w:val="tr-TR"/>
        </w:rPr>
        <w:t>ÜFE:</w:t>
      </w:r>
      <w:r w:rsidRPr="008A3A27">
        <w:rPr>
          <w:lang w:val="tr-TR"/>
        </w:rPr>
        <w:t xml:space="preserve"> Üretici Fiyat Endeksi</w:t>
      </w:r>
    </w:p>
    <w:p w14:paraId="5C0F1026" w14:textId="31BA6495" w:rsidR="00646960" w:rsidRPr="00CF336B" w:rsidRDefault="008A3A27" w:rsidP="004D4361">
      <w:pPr>
        <w:spacing w:line="360" w:lineRule="auto"/>
        <w:rPr>
          <w:lang w:val="tr-TR"/>
        </w:rPr>
      </w:pPr>
      <w:r w:rsidRPr="008A3A27">
        <w:rPr>
          <w:b/>
          <w:bCs/>
          <w:lang w:val="tr-TR"/>
        </w:rPr>
        <w:t>VOLL:</w:t>
      </w:r>
      <w:r w:rsidRPr="008A3A27">
        <w:rPr>
          <w:lang w:val="tr-TR"/>
        </w:rPr>
        <w:t xml:space="preserve"> </w:t>
      </w:r>
      <w:r w:rsidR="00206594" w:rsidRPr="00206594">
        <w:rPr>
          <w:lang w:val="tr-TR"/>
        </w:rPr>
        <w:t>Kayıp Yük Değer</w:t>
      </w:r>
      <w:r w:rsidR="00206594">
        <w:rPr>
          <w:lang w:val="tr-TR"/>
        </w:rPr>
        <w:t>i</w:t>
      </w:r>
      <w:r w:rsidR="00DC5872">
        <w:rPr>
          <w:lang w:val="tr-TR"/>
        </w:rPr>
        <w:t xml:space="preserve"> </w:t>
      </w:r>
      <w:r w:rsidR="00206594">
        <w:rPr>
          <w:lang w:val="tr-TR"/>
        </w:rPr>
        <w:t>(</w:t>
      </w:r>
      <w:r w:rsidRPr="008A3A27">
        <w:rPr>
          <w:lang w:val="tr-TR"/>
        </w:rPr>
        <w:t xml:space="preserve">Value of </w:t>
      </w:r>
      <w:proofErr w:type="spellStart"/>
      <w:r w:rsidRPr="008A3A27">
        <w:rPr>
          <w:lang w:val="tr-TR"/>
        </w:rPr>
        <w:t>Lost</w:t>
      </w:r>
      <w:proofErr w:type="spellEnd"/>
      <w:r w:rsidRPr="008A3A27">
        <w:rPr>
          <w:lang w:val="tr-TR"/>
        </w:rPr>
        <w:t xml:space="preserve"> </w:t>
      </w:r>
      <w:proofErr w:type="spellStart"/>
      <w:r w:rsidRPr="008A3A27">
        <w:rPr>
          <w:lang w:val="tr-TR"/>
        </w:rPr>
        <w:t>Load</w:t>
      </w:r>
      <w:proofErr w:type="spellEnd"/>
      <w:r w:rsidR="00206594">
        <w:rPr>
          <w:lang w:val="tr-TR"/>
        </w:rPr>
        <w:t>)</w:t>
      </w:r>
      <w:r w:rsidR="00646960" w:rsidRPr="00CF336B">
        <w:rPr>
          <w:lang w:val="tr-TR"/>
        </w:rPr>
        <w:br w:type="page"/>
      </w:r>
    </w:p>
    <w:p w14:paraId="02DD27FA" w14:textId="77777777" w:rsidR="00413DBB" w:rsidRDefault="00646960" w:rsidP="004D4361">
      <w:pPr>
        <w:pStyle w:val="Heading1"/>
        <w:spacing w:line="360" w:lineRule="auto"/>
        <w:rPr>
          <w:lang w:val="tr-TR"/>
        </w:rPr>
      </w:pPr>
      <w:bookmarkStart w:id="5" w:name="_Toc156210433"/>
      <w:r w:rsidRPr="00CF336B">
        <w:rPr>
          <w:lang w:val="tr-TR"/>
        </w:rPr>
        <w:t>Yönetici Özeti</w:t>
      </w:r>
      <w:bookmarkEnd w:id="5"/>
    </w:p>
    <w:p w14:paraId="0BAB45EE" w14:textId="77777777" w:rsidR="004D4361" w:rsidRDefault="004D4361" w:rsidP="004D4361">
      <w:pPr>
        <w:spacing w:line="360" w:lineRule="auto"/>
        <w:jc w:val="both"/>
        <w:rPr>
          <w:rFonts w:eastAsiaTheme="majorEastAsia" w:cstheme="minorHAnsi"/>
          <w:lang w:val="tr-TR"/>
        </w:rPr>
      </w:pPr>
    </w:p>
    <w:p w14:paraId="24E192BF" w14:textId="0BC94E5D" w:rsidR="004D4361" w:rsidRPr="00B20750" w:rsidRDefault="004D4361" w:rsidP="004D4361">
      <w:pPr>
        <w:spacing w:line="360" w:lineRule="auto"/>
        <w:jc w:val="both"/>
        <w:rPr>
          <w:rFonts w:eastAsiaTheme="majorEastAsia" w:cstheme="minorHAnsi"/>
          <w:lang w:val="tr-TR"/>
        </w:rPr>
      </w:pPr>
      <w:r>
        <w:rPr>
          <w:rFonts w:eastAsiaTheme="majorEastAsia" w:cstheme="minorHAnsi"/>
          <w:lang w:val="tr-TR"/>
        </w:rPr>
        <w:t xml:space="preserve">Sanayi Devrimi sonrasında tüm dünyada enerji kaynaklarına olan talepte sürekli bir artış yaşanmıştır. Özellikle gelişmekte olan ülkelerde sanayileşme, teknolojik gelişmeler, nüfus artışı ve refah seviyesindeki yükselmelere paralel olarak enerji talebi daha fazla artış göstermektedir. Özellikle enerji yoğun tüketime sahip olan sanayi sektörünün gelişiminin artması ekonomik büyüme sağlarken enerjiye olan talebi de artırmaktadır. Enerji tüketiminin hatırı sayılır bir kısmını oluşturan elektrik enerjisine olan talep ise elektrifikasyonun artmasıyla hız kazanmaya başlamıştır. Gelecek dönemlerde ivmelenerek devam edeceği öngörülen elektrifikasyonun toplam elektrik talebini </w:t>
      </w:r>
      <w:r w:rsidR="00FC3A0A">
        <w:rPr>
          <w:rFonts w:eastAsiaTheme="majorEastAsia" w:cstheme="minorHAnsi"/>
          <w:lang w:val="tr-TR"/>
        </w:rPr>
        <w:t xml:space="preserve">önemli oranda </w:t>
      </w:r>
      <w:r>
        <w:rPr>
          <w:rFonts w:eastAsiaTheme="majorEastAsia" w:cstheme="minorHAnsi"/>
          <w:lang w:val="tr-TR"/>
        </w:rPr>
        <w:t xml:space="preserve">yükseltmesi beklenmektedir. </w:t>
      </w:r>
    </w:p>
    <w:p w14:paraId="7CC77031" w14:textId="77777777" w:rsidR="004D4361" w:rsidRDefault="004D4361" w:rsidP="004D4361">
      <w:pPr>
        <w:spacing w:line="360" w:lineRule="auto"/>
        <w:jc w:val="both"/>
        <w:rPr>
          <w:rFonts w:eastAsiaTheme="majorEastAsia" w:cstheme="minorHAnsi"/>
          <w:lang w:val="tr-TR"/>
        </w:rPr>
      </w:pPr>
      <w:r w:rsidRPr="00875DBF">
        <w:rPr>
          <w:rFonts w:eastAsiaTheme="majorEastAsia" w:cstheme="minorHAnsi"/>
          <w:lang w:val="tr-TR"/>
        </w:rPr>
        <w:t xml:space="preserve">Gelişmekte olan bir ülke olarak tanımlanan ve ekonomisindeki büyüme ivmesine paralel olarak </w:t>
      </w:r>
      <w:r>
        <w:rPr>
          <w:rFonts w:eastAsiaTheme="majorEastAsia" w:cstheme="minorHAnsi"/>
          <w:lang w:val="tr-TR"/>
        </w:rPr>
        <w:t xml:space="preserve">elektrik </w:t>
      </w:r>
      <w:r w:rsidRPr="00875DBF">
        <w:rPr>
          <w:rFonts w:eastAsiaTheme="majorEastAsia" w:cstheme="minorHAnsi"/>
          <w:lang w:val="tr-TR"/>
        </w:rPr>
        <w:t xml:space="preserve">ihtiyacı sürekli olarak artan </w:t>
      </w:r>
      <w:r>
        <w:rPr>
          <w:rFonts w:eastAsiaTheme="majorEastAsia" w:cstheme="minorHAnsi"/>
          <w:lang w:val="tr-TR"/>
        </w:rPr>
        <w:t xml:space="preserve">Türkiye’de, elektrik talebinin güvenli bir şekilde karşılanabilmesi için çeşitli piyasalar kurulmuştur. Bu piyasalar oluşturulurken üretim kaynaklarının güvenilir kapasiteyi sağlayabilmesi, iklim değişikliği hedeflerinin korunması ve elektriğin son tüketiciye uygun fiyatla ulaştırılması temel amaçlar olarak belirlenmiştir. </w:t>
      </w:r>
    </w:p>
    <w:p w14:paraId="0A27FA98" w14:textId="44A26649" w:rsidR="004D4361" w:rsidRDefault="004D4361" w:rsidP="004D4361">
      <w:pPr>
        <w:spacing w:line="360" w:lineRule="auto"/>
        <w:jc w:val="both"/>
        <w:rPr>
          <w:lang w:val="tr-TR"/>
        </w:rPr>
      </w:pPr>
      <w:r>
        <w:rPr>
          <w:rFonts w:eastAsiaTheme="majorEastAsia" w:cstheme="minorHAnsi"/>
          <w:lang w:val="tr-TR"/>
        </w:rPr>
        <w:t>Kaliteli bir elektrik</w:t>
      </w:r>
      <w:r w:rsidRPr="00727767">
        <w:rPr>
          <w:rFonts w:eastAsiaTheme="majorEastAsia" w:cstheme="minorHAnsi"/>
          <w:lang w:val="tr-TR"/>
        </w:rPr>
        <w:t xml:space="preserve"> şebekesi</w:t>
      </w:r>
      <w:r>
        <w:rPr>
          <w:rFonts w:eastAsiaTheme="majorEastAsia" w:cstheme="minorHAnsi"/>
          <w:lang w:val="tr-TR"/>
        </w:rPr>
        <w:t>nin oluşturulması için</w:t>
      </w:r>
      <w:r w:rsidRPr="00727767">
        <w:rPr>
          <w:rFonts w:eastAsiaTheme="majorEastAsia" w:cstheme="minorHAnsi"/>
          <w:lang w:val="tr-TR"/>
        </w:rPr>
        <w:t xml:space="preserve"> anlık elektrik arzının mevcut talebi karşılayabilir durumda olması gerekmektedir.</w:t>
      </w:r>
      <w:r>
        <w:rPr>
          <w:rFonts w:eastAsiaTheme="majorEastAsia" w:cstheme="minorHAnsi"/>
          <w:lang w:val="tr-TR"/>
        </w:rPr>
        <w:t xml:space="preserve"> Aksi takdirde, tüketicilere yönelik uygulanan kesintilerin miktar ve süresi artmaktadır ve bu durum gelişmekte olan Türkiye için özellikle enerji yoğun </w:t>
      </w:r>
      <w:r w:rsidR="00FC3A0A">
        <w:rPr>
          <w:rFonts w:eastAsiaTheme="majorEastAsia" w:cstheme="minorHAnsi"/>
          <w:lang w:val="tr-TR"/>
        </w:rPr>
        <w:t xml:space="preserve">bir </w:t>
      </w:r>
      <w:r>
        <w:rPr>
          <w:rFonts w:eastAsiaTheme="majorEastAsia" w:cstheme="minorHAnsi"/>
          <w:lang w:val="tr-TR"/>
        </w:rPr>
        <w:t xml:space="preserve">sektör olan sanayi sektöründe aksamalara neden olmaktadır. Bu nedenle de </w:t>
      </w:r>
      <w:r w:rsidRPr="00CF336B">
        <w:rPr>
          <w:lang w:val="tr-TR"/>
        </w:rPr>
        <w:t xml:space="preserve">kesintilerin önlenebilmesi için </w:t>
      </w:r>
      <w:r>
        <w:rPr>
          <w:rFonts w:eastAsiaTheme="majorEastAsia" w:cstheme="minorHAnsi"/>
          <w:lang w:val="tr-TR"/>
        </w:rPr>
        <w:t>a</w:t>
      </w:r>
      <w:r w:rsidRPr="00CF336B">
        <w:rPr>
          <w:lang w:val="tr-TR"/>
        </w:rPr>
        <w:t>rzın devamlılığı sağlan</w:t>
      </w:r>
      <w:r>
        <w:rPr>
          <w:lang w:val="tr-TR"/>
        </w:rPr>
        <w:t>arak</w:t>
      </w:r>
      <w:r w:rsidRPr="00CF336B">
        <w:rPr>
          <w:lang w:val="tr-TR"/>
        </w:rPr>
        <w:t xml:space="preserve"> yeterli kapasitenin sistemde hazır </w:t>
      </w:r>
      <w:r>
        <w:rPr>
          <w:lang w:val="tr-TR"/>
        </w:rPr>
        <w:t xml:space="preserve">tutulması gerekmektedir. </w:t>
      </w:r>
    </w:p>
    <w:p w14:paraId="3AC5572F" w14:textId="098C131A" w:rsidR="004D4361" w:rsidRDefault="004D4361" w:rsidP="004D4361">
      <w:pPr>
        <w:spacing w:line="360" w:lineRule="auto"/>
        <w:jc w:val="both"/>
        <w:rPr>
          <w:rFonts w:eastAsiaTheme="majorEastAsia" w:cstheme="minorHAnsi"/>
          <w:lang w:val="tr-TR"/>
        </w:rPr>
      </w:pPr>
      <w:r>
        <w:rPr>
          <w:lang w:val="tr-TR"/>
        </w:rPr>
        <w:t xml:space="preserve">Sistemde yeterli kapasitenin hazır tutulması için mevcut santrallerin ve yeni yapılacak yatırımların beraber değerlendirilmesi oldukça önemlidir. Son yıllarda </w:t>
      </w:r>
      <w:r w:rsidRPr="00727767">
        <w:rPr>
          <w:lang w:val="tr-TR"/>
        </w:rPr>
        <w:t>herhangi bir yakıt maliyeti olmayan yenilenebilir enerji santrallerinin yatırım maliyetlerind</w:t>
      </w:r>
      <w:r>
        <w:rPr>
          <w:lang w:val="tr-TR"/>
        </w:rPr>
        <w:t>eki</w:t>
      </w:r>
      <w:r w:rsidRPr="00727767">
        <w:rPr>
          <w:lang w:val="tr-TR"/>
        </w:rPr>
        <w:t xml:space="preserve"> düşüşlerin </w:t>
      </w:r>
      <w:r>
        <w:rPr>
          <w:lang w:val="tr-TR"/>
        </w:rPr>
        <w:t>de etkisiyle</w:t>
      </w:r>
      <w:r w:rsidRPr="002B512B">
        <w:rPr>
          <w:rFonts w:eastAsiaTheme="majorEastAsia" w:cstheme="minorHAnsi"/>
          <w:lang w:val="tr-TR"/>
        </w:rPr>
        <w:t xml:space="preserve"> yenilenebilir enerji kaynakların</w:t>
      </w:r>
      <w:r>
        <w:rPr>
          <w:rFonts w:eastAsiaTheme="majorEastAsia" w:cstheme="minorHAnsi"/>
          <w:lang w:val="tr-TR"/>
        </w:rPr>
        <w:t xml:space="preserve">ın kurulu gücü artmıştır. </w:t>
      </w:r>
      <w:r w:rsidRPr="00AE7034">
        <w:rPr>
          <w:rFonts w:eastAsiaTheme="majorEastAsia" w:cstheme="minorHAnsi"/>
          <w:lang w:val="tr-TR"/>
        </w:rPr>
        <w:t>Özellikle güneş ve rüzgâr gibi hava koşullarına bağlı olarak üretimi değişkenlik gösteren yenilenebilir enerji kaynakları</w:t>
      </w:r>
      <w:r>
        <w:rPr>
          <w:rFonts w:eastAsiaTheme="majorEastAsia" w:cstheme="minorHAnsi"/>
          <w:lang w:val="tr-TR"/>
        </w:rPr>
        <w:t xml:space="preserve">, kesintili üretimleri ve depolama sistemlerinin henüz yaygınlaşmamasından dolayı </w:t>
      </w:r>
      <w:r w:rsidRPr="00AE7034">
        <w:rPr>
          <w:rFonts w:eastAsiaTheme="majorEastAsia" w:cstheme="minorHAnsi"/>
          <w:lang w:val="tr-TR"/>
        </w:rPr>
        <w:t xml:space="preserve">sistemdeki arz güvenliğinin sağlanması için güvenilir yedek kapasite ihtiyacını </w:t>
      </w:r>
      <w:r>
        <w:rPr>
          <w:rFonts w:eastAsiaTheme="majorEastAsia" w:cstheme="minorHAnsi"/>
          <w:lang w:val="tr-TR"/>
        </w:rPr>
        <w:t xml:space="preserve">henüz tam olarak karşılayamamaktadır. Halihazırda </w:t>
      </w:r>
      <w:r w:rsidRPr="001B3696">
        <w:rPr>
          <w:rFonts w:eastAsiaTheme="majorEastAsia" w:cstheme="minorHAnsi"/>
          <w:lang w:val="tr-TR"/>
        </w:rPr>
        <w:t>batarya</w:t>
      </w:r>
      <w:r>
        <w:rPr>
          <w:rFonts w:eastAsiaTheme="majorEastAsia" w:cstheme="minorHAnsi"/>
          <w:lang w:val="tr-TR"/>
        </w:rPr>
        <w:t xml:space="preserve">lar </w:t>
      </w:r>
      <w:r w:rsidRPr="001B3696">
        <w:rPr>
          <w:rFonts w:eastAsiaTheme="majorEastAsia" w:cstheme="minorHAnsi"/>
          <w:lang w:val="tr-TR"/>
        </w:rPr>
        <w:t>mevsimsel depolama yap</w:t>
      </w:r>
      <w:r>
        <w:rPr>
          <w:rFonts w:eastAsiaTheme="majorEastAsia" w:cstheme="minorHAnsi"/>
          <w:lang w:val="tr-TR"/>
        </w:rPr>
        <w:t>a</w:t>
      </w:r>
      <w:r w:rsidRPr="001B3696">
        <w:rPr>
          <w:rFonts w:eastAsiaTheme="majorEastAsia" w:cstheme="minorHAnsi"/>
          <w:lang w:val="tr-TR"/>
        </w:rPr>
        <w:t>madığı</w:t>
      </w:r>
      <w:r>
        <w:rPr>
          <w:rFonts w:eastAsiaTheme="majorEastAsia" w:cstheme="minorHAnsi"/>
          <w:lang w:val="tr-TR"/>
        </w:rPr>
        <w:t xml:space="preserve">ndan dolayı </w:t>
      </w:r>
      <w:r w:rsidRPr="001B3696">
        <w:rPr>
          <w:rFonts w:eastAsiaTheme="majorEastAsia" w:cstheme="minorHAnsi"/>
          <w:lang w:val="tr-TR"/>
        </w:rPr>
        <w:t>yenileneb</w:t>
      </w:r>
      <w:r>
        <w:rPr>
          <w:rFonts w:eastAsiaTheme="majorEastAsia" w:cstheme="minorHAnsi"/>
          <w:lang w:val="tr-TR"/>
        </w:rPr>
        <w:t>ilir enerji santrallerinin tek başına</w:t>
      </w:r>
      <w:r w:rsidRPr="001B3696">
        <w:rPr>
          <w:rFonts w:eastAsiaTheme="majorEastAsia" w:cstheme="minorHAnsi"/>
          <w:lang w:val="tr-TR"/>
        </w:rPr>
        <w:t xml:space="preserve"> kış</w:t>
      </w:r>
      <w:r>
        <w:rPr>
          <w:rFonts w:eastAsiaTheme="majorEastAsia" w:cstheme="minorHAnsi"/>
          <w:lang w:val="tr-TR"/>
        </w:rPr>
        <w:t xml:space="preserve"> aylarında</w:t>
      </w:r>
      <w:r w:rsidRPr="001B3696">
        <w:rPr>
          <w:rFonts w:eastAsiaTheme="majorEastAsia" w:cstheme="minorHAnsi"/>
          <w:lang w:val="tr-TR"/>
        </w:rPr>
        <w:t xml:space="preserve"> yedek kapasite ihtiyacını </w:t>
      </w:r>
      <w:r>
        <w:rPr>
          <w:rFonts w:eastAsiaTheme="majorEastAsia" w:cstheme="minorHAnsi"/>
          <w:lang w:val="tr-TR"/>
        </w:rPr>
        <w:t xml:space="preserve">karşılayamayacağı da bilinmektedir. </w:t>
      </w:r>
    </w:p>
    <w:p w14:paraId="3FAE883B" w14:textId="6AFB491A" w:rsidR="004D4361" w:rsidRDefault="004D4361" w:rsidP="004D4361">
      <w:pPr>
        <w:spacing w:line="360" w:lineRule="auto"/>
        <w:jc w:val="both"/>
        <w:rPr>
          <w:rFonts w:eastAsiaTheme="majorEastAsia" w:cstheme="minorHAnsi"/>
          <w:lang w:val="tr-TR"/>
        </w:rPr>
      </w:pPr>
      <w:r>
        <w:rPr>
          <w:rFonts w:eastAsiaTheme="majorEastAsia" w:cstheme="minorHAnsi"/>
          <w:lang w:val="tr-TR"/>
        </w:rPr>
        <w:t xml:space="preserve">Mevcut arzın devamlılığının sağlanması da arz güvenliği için oldukça önemli bir konudur. Serbest </w:t>
      </w:r>
      <w:r w:rsidRPr="00BD74F4">
        <w:rPr>
          <w:rFonts w:eastAsiaTheme="majorEastAsia" w:cstheme="minorHAnsi"/>
          <w:lang w:val="tr-TR"/>
        </w:rPr>
        <w:t>piyasa koşullarının sağlandığı ve “Energy-</w:t>
      </w:r>
      <w:proofErr w:type="spellStart"/>
      <w:r w:rsidRPr="00BD74F4">
        <w:rPr>
          <w:rFonts w:eastAsiaTheme="majorEastAsia" w:cstheme="minorHAnsi"/>
          <w:lang w:val="tr-TR"/>
        </w:rPr>
        <w:t>only</w:t>
      </w:r>
      <w:proofErr w:type="spellEnd"/>
      <w:r w:rsidRPr="00BD74F4">
        <w:rPr>
          <w:rFonts w:eastAsiaTheme="majorEastAsia" w:cstheme="minorHAnsi"/>
          <w:lang w:val="tr-TR"/>
        </w:rPr>
        <w:t>” olarak tanımlanan piyasa yapısında santraller, yalnızca arz ve talep dinamiklerine göre oluşan fiyat üzerinden gelir elde etmektedirler. Her ne kadar arzın talebi karşılayabilir olmasına yönelik bir piyasa işletilse de kimi dönemlerde arz, talebi karşılayamamakta ve kıtlık koşulları oluşmaktadır. Bu koşulların oluştuğu dönemlerde fiyatlar</w:t>
      </w:r>
      <w:r>
        <w:rPr>
          <w:rFonts w:eastAsiaTheme="majorEastAsia" w:cstheme="minorHAnsi"/>
          <w:lang w:val="tr-TR"/>
        </w:rPr>
        <w:t>,</w:t>
      </w:r>
      <w:r w:rsidRPr="00BD74F4">
        <w:rPr>
          <w:rFonts w:eastAsiaTheme="majorEastAsia" w:cstheme="minorHAnsi"/>
          <w:lang w:val="tr-TR"/>
        </w:rPr>
        <w:t xml:space="preserve"> fiyat üst limitinde oluşmakta ve santrallerin elde ettikleri gelir artmaktadır. Piyasaya müdahalelerin olmadığı bir yapıda, santrallerin elde ettikleri gelirler piyasa dinamiklerine bağlı olarak oluşmaktadır. Tam tersi koşulların olduğu ve müdahalelerin yapıldığı piyasalarda ise santrallerin kazanabilecekleri gelirler kısıtlanmakta ve kayıp para problemi ortaya çıkmaktadır.</w:t>
      </w:r>
      <w:r>
        <w:rPr>
          <w:rFonts w:eastAsiaTheme="majorEastAsia" w:cstheme="minorHAnsi"/>
          <w:lang w:val="tr-TR"/>
        </w:rPr>
        <w:t xml:space="preserve"> Kayıp para problemi, özellikle yıl içinde kısıtlı saatte üretim yapan santraller için önemli bir gelir kaybı yaratmakta ve kimi zaman bu santrallerin tamamen sistem dışında kalmalarına neden olmaktadır. Bunun yanı sıra, yenilenebilir enerji santrallerinin toplam üretimdeki payının da artmasıyla gün içinde oluşan piyasa takas fiyatlarının profili değişmiş ve esnek olmayan termik santraller üretim planlamalarında zorluklar yaşamaya başlamışlardır. Özellikle yüksek açma-kapama sürelerine ve maliyetlerine sahip olan esneklikleri düşük termik santraller ardışık saatlerde çalışmayı tercih etmektedir. Bu saatlerde gerçekleşen düşük piyasa takas fiyatı ise bu santrallerin kısa dönemli marjinal maliyetlerinin de altında kalmakta ve zarar etmelerine neden olmaktadır. Buna ilave olarak Nisan 2022-Eylül 2023 dönemi boyunca uygulanan Kaynak Bazlı Tavan Fiyat Uygulaması da santrallerin gelirlerini kısıtlayıcı bir unsur olarak ortaya çıkmıştır. Bahsi geçen bu nedenlerin gelecek dönemlerde etkisinin daha da artması beklenmektedir. Bu durum </w:t>
      </w:r>
      <w:r w:rsidR="00FC3A0A">
        <w:rPr>
          <w:rFonts w:eastAsiaTheme="majorEastAsia" w:cstheme="minorHAnsi"/>
          <w:lang w:val="tr-TR"/>
        </w:rPr>
        <w:t xml:space="preserve">uzun dönemde </w:t>
      </w:r>
      <w:r>
        <w:rPr>
          <w:rFonts w:eastAsiaTheme="majorEastAsia" w:cstheme="minorHAnsi"/>
          <w:lang w:val="tr-TR"/>
        </w:rPr>
        <w:t xml:space="preserve">mevcut santrallerin </w:t>
      </w:r>
      <w:r w:rsidR="00FC3A0A">
        <w:rPr>
          <w:rFonts w:eastAsiaTheme="majorEastAsia" w:cstheme="minorHAnsi"/>
          <w:lang w:val="tr-TR"/>
        </w:rPr>
        <w:t xml:space="preserve">bazılarının </w:t>
      </w:r>
      <w:r>
        <w:rPr>
          <w:rFonts w:eastAsiaTheme="majorEastAsia" w:cstheme="minorHAnsi"/>
          <w:lang w:val="tr-TR"/>
        </w:rPr>
        <w:t>sistemde kalma</w:t>
      </w:r>
      <w:r w:rsidR="00FC3A0A">
        <w:rPr>
          <w:rFonts w:eastAsiaTheme="majorEastAsia" w:cstheme="minorHAnsi"/>
          <w:lang w:val="tr-TR"/>
        </w:rPr>
        <w:t>sını zorlaştıracaktır.</w:t>
      </w:r>
    </w:p>
    <w:p w14:paraId="25AD1754" w14:textId="710B8B26" w:rsidR="004D4361" w:rsidRDefault="004D4361" w:rsidP="004D4361">
      <w:pPr>
        <w:spacing w:line="360" w:lineRule="auto"/>
        <w:jc w:val="both"/>
        <w:rPr>
          <w:rFonts w:eastAsiaTheme="majorEastAsia" w:cstheme="minorHAnsi"/>
          <w:lang w:val="tr-TR"/>
        </w:rPr>
      </w:pPr>
      <w:r>
        <w:rPr>
          <w:rFonts w:eastAsiaTheme="majorEastAsia" w:cstheme="minorHAnsi"/>
          <w:lang w:val="tr-TR"/>
        </w:rPr>
        <w:t xml:space="preserve">Gelecek dönemde beklenen talep artışına karşın güvenilir yedek kapasite olarak görülen santrallerin </w:t>
      </w:r>
      <w:r w:rsidRPr="00417C41">
        <w:rPr>
          <w:rFonts w:eastAsiaTheme="majorEastAsia" w:cstheme="minorHAnsi"/>
          <w:lang w:val="tr-TR"/>
        </w:rPr>
        <w:t>çalışmalarına engel durumların oluşması</w:t>
      </w:r>
      <w:r>
        <w:rPr>
          <w:rFonts w:eastAsiaTheme="majorEastAsia" w:cstheme="minorHAnsi"/>
          <w:lang w:val="tr-TR"/>
        </w:rPr>
        <w:t xml:space="preserve"> nedeniyle, </w:t>
      </w:r>
      <w:r w:rsidRPr="00417C41">
        <w:rPr>
          <w:rFonts w:eastAsiaTheme="majorEastAsia" w:cstheme="minorHAnsi"/>
          <w:lang w:val="tr-TR"/>
        </w:rPr>
        <w:t xml:space="preserve">şebeke kalitesinin korunması </w:t>
      </w:r>
      <w:r>
        <w:rPr>
          <w:rFonts w:eastAsiaTheme="majorEastAsia" w:cstheme="minorHAnsi"/>
          <w:lang w:val="tr-TR"/>
        </w:rPr>
        <w:t>adına, ilave mekanizma</w:t>
      </w:r>
      <w:r w:rsidR="00FC3A0A">
        <w:rPr>
          <w:rFonts w:eastAsiaTheme="majorEastAsia" w:cstheme="minorHAnsi"/>
          <w:lang w:val="tr-TR"/>
        </w:rPr>
        <w:t>ların oluşturulması gerekliliği ortaya çıkmıştır</w:t>
      </w:r>
      <w:r>
        <w:rPr>
          <w:rFonts w:eastAsiaTheme="majorEastAsia" w:cstheme="minorHAnsi"/>
          <w:lang w:val="tr-TR"/>
        </w:rPr>
        <w:t>.</w:t>
      </w:r>
      <w:r w:rsidRPr="00417C41">
        <w:rPr>
          <w:rFonts w:eastAsiaTheme="majorEastAsia" w:cstheme="minorHAnsi"/>
          <w:lang w:val="tr-TR"/>
        </w:rPr>
        <w:t xml:space="preserve"> Kapasite mekanizması bu </w:t>
      </w:r>
      <w:r>
        <w:rPr>
          <w:rFonts w:eastAsiaTheme="majorEastAsia" w:cstheme="minorHAnsi"/>
          <w:lang w:val="tr-TR"/>
        </w:rPr>
        <w:t>ihtiyaçları karşılaya</w:t>
      </w:r>
      <w:r w:rsidRPr="00417C41">
        <w:rPr>
          <w:rFonts w:eastAsiaTheme="majorEastAsia" w:cstheme="minorHAnsi"/>
          <w:lang w:val="tr-TR"/>
        </w:rPr>
        <w:t>n</w:t>
      </w:r>
      <w:r>
        <w:rPr>
          <w:rFonts w:eastAsiaTheme="majorEastAsia" w:cstheme="minorHAnsi"/>
          <w:lang w:val="tr-TR"/>
        </w:rPr>
        <w:t xml:space="preserve"> araçlardan</w:t>
      </w:r>
      <w:r w:rsidRPr="00417C41">
        <w:rPr>
          <w:rFonts w:eastAsiaTheme="majorEastAsia" w:cstheme="minorHAnsi"/>
          <w:lang w:val="tr-TR"/>
        </w:rPr>
        <w:t xml:space="preserve"> bir tanesi olarak </w:t>
      </w:r>
      <w:r>
        <w:rPr>
          <w:rFonts w:eastAsiaTheme="majorEastAsia" w:cstheme="minorHAnsi"/>
          <w:lang w:val="tr-TR"/>
        </w:rPr>
        <w:t>görülmektedir</w:t>
      </w:r>
      <w:r w:rsidRPr="00417C41">
        <w:rPr>
          <w:rFonts w:eastAsiaTheme="majorEastAsia" w:cstheme="minorHAnsi"/>
          <w:lang w:val="tr-TR"/>
        </w:rPr>
        <w:t>.</w:t>
      </w:r>
      <w:r>
        <w:rPr>
          <w:rFonts w:eastAsiaTheme="majorEastAsia" w:cstheme="minorHAnsi"/>
          <w:lang w:val="tr-TR"/>
        </w:rPr>
        <w:t xml:space="preserve"> Kapasite mekanizması dünyada birçok ülkede farklı yapılarda uygulanmaktadır. </w:t>
      </w:r>
      <w:r w:rsidR="00FC3A0A">
        <w:rPr>
          <w:rFonts w:eastAsiaTheme="majorEastAsia" w:cstheme="minorHAnsi"/>
          <w:lang w:val="tr-TR"/>
        </w:rPr>
        <w:t>Bu tarz mekanizmaların</w:t>
      </w:r>
      <w:r>
        <w:rPr>
          <w:rFonts w:eastAsiaTheme="majorEastAsia" w:cstheme="minorHAnsi"/>
          <w:lang w:val="tr-TR"/>
        </w:rPr>
        <w:t xml:space="preserve"> uygulama şekli ülkenin mevcut üretim profili ile doğrudan ilişkilidir. </w:t>
      </w:r>
    </w:p>
    <w:p w14:paraId="7C64A776" w14:textId="5C824682" w:rsidR="004D4361" w:rsidRDefault="004D4361" w:rsidP="004D4361">
      <w:pPr>
        <w:spacing w:line="360" w:lineRule="auto"/>
        <w:jc w:val="both"/>
        <w:rPr>
          <w:rFonts w:eastAsiaTheme="majorEastAsia" w:cstheme="minorHAnsi"/>
          <w:lang w:val="tr-TR"/>
        </w:rPr>
      </w:pPr>
      <w:r w:rsidRPr="00B20750">
        <w:rPr>
          <w:rFonts w:eastAsiaTheme="majorEastAsia" w:cstheme="minorHAnsi"/>
          <w:lang w:val="tr-TR"/>
        </w:rPr>
        <w:t xml:space="preserve">Türkiye elektrik piyasasının gösterdiği gelişim ve arz güvenliği konusunda orta ve uzun vadede ortaya çıkabilecek riskler göz önünde bulundurularak </w:t>
      </w:r>
      <w:r>
        <w:rPr>
          <w:rFonts w:eastAsiaTheme="majorEastAsia" w:cstheme="minorHAnsi"/>
          <w:lang w:val="tr-TR"/>
        </w:rPr>
        <w:t xml:space="preserve">2018 yılında </w:t>
      </w:r>
      <w:r w:rsidR="00FC3A0A">
        <w:rPr>
          <w:rFonts w:eastAsiaTheme="majorEastAsia" w:cstheme="minorHAnsi"/>
          <w:lang w:val="tr-TR"/>
        </w:rPr>
        <w:t xml:space="preserve">bir kapasite mekanizması </w:t>
      </w:r>
      <w:r w:rsidRPr="00B20750">
        <w:rPr>
          <w:rFonts w:eastAsiaTheme="majorEastAsia" w:cstheme="minorHAnsi"/>
          <w:lang w:val="tr-TR"/>
        </w:rPr>
        <w:t xml:space="preserve">devreye alınmıştır. </w:t>
      </w:r>
      <w:r>
        <w:rPr>
          <w:rFonts w:eastAsiaTheme="majorEastAsia" w:cstheme="minorHAnsi"/>
          <w:lang w:val="tr-TR"/>
        </w:rPr>
        <w:t>Uygulanan kapasite mekanizması yıllar içinde birçok defa değiştirilmiş ve 202</w:t>
      </w:r>
      <w:r w:rsidR="00E0184E">
        <w:rPr>
          <w:rFonts w:eastAsiaTheme="majorEastAsia" w:cstheme="minorHAnsi"/>
          <w:lang w:val="tr-TR"/>
        </w:rPr>
        <w:t>3</w:t>
      </w:r>
      <w:r>
        <w:rPr>
          <w:rFonts w:eastAsiaTheme="majorEastAsia" w:cstheme="minorHAnsi"/>
          <w:lang w:val="tr-TR"/>
        </w:rPr>
        <w:t xml:space="preserve"> yılı sonu itibariyle son halini almıştır. </w:t>
      </w:r>
    </w:p>
    <w:p w14:paraId="0CE66C51" w14:textId="3855284C" w:rsidR="00A73813" w:rsidRDefault="004D4361" w:rsidP="00A73813">
      <w:pPr>
        <w:spacing w:line="360" w:lineRule="auto"/>
        <w:jc w:val="both"/>
        <w:rPr>
          <w:rFonts w:eastAsiaTheme="majorEastAsia" w:cstheme="minorHAnsi"/>
          <w:lang w:val="tr-TR"/>
        </w:rPr>
      </w:pPr>
      <w:r w:rsidRPr="002B512B">
        <w:rPr>
          <w:rFonts w:eastAsiaTheme="majorEastAsia" w:cstheme="minorHAnsi"/>
          <w:lang w:val="tr-TR"/>
        </w:rPr>
        <w:t>Bu kapsamda hazırlanan raporun ana hedefi</w:t>
      </w:r>
      <w:r>
        <w:rPr>
          <w:rFonts w:eastAsiaTheme="majorEastAsia" w:cstheme="minorHAnsi"/>
          <w:lang w:val="tr-TR"/>
        </w:rPr>
        <w:t>,</w:t>
      </w:r>
      <w:r w:rsidRPr="002B512B">
        <w:rPr>
          <w:rFonts w:eastAsiaTheme="majorEastAsia" w:cstheme="minorHAnsi"/>
          <w:lang w:val="tr-TR"/>
        </w:rPr>
        <w:t xml:space="preserve"> </w:t>
      </w:r>
      <w:r w:rsidRPr="00CF336B">
        <w:rPr>
          <w:lang w:val="tr-TR"/>
        </w:rPr>
        <w:t xml:space="preserve">arz güvenliğinin sağlanması için </w:t>
      </w:r>
      <w:r>
        <w:rPr>
          <w:lang w:val="tr-TR"/>
        </w:rPr>
        <w:t xml:space="preserve">iklim değişikliği hedefleri de gözetilerek </w:t>
      </w:r>
      <w:r w:rsidRPr="00CF336B">
        <w:rPr>
          <w:lang w:val="tr-TR"/>
        </w:rPr>
        <w:t>yeterli miktarda emre amade kapasitenin sistemde kalmasına yönelik öneriler</w:t>
      </w:r>
      <w:r>
        <w:rPr>
          <w:lang w:val="tr-TR"/>
        </w:rPr>
        <w:t>in</w:t>
      </w:r>
      <w:r w:rsidRPr="00CF336B">
        <w:rPr>
          <w:lang w:val="tr-TR"/>
        </w:rPr>
        <w:t xml:space="preserve"> sunulması</w:t>
      </w:r>
      <w:r>
        <w:rPr>
          <w:lang w:val="tr-TR"/>
        </w:rPr>
        <w:t>dır</w:t>
      </w:r>
      <w:r>
        <w:rPr>
          <w:rFonts w:eastAsiaTheme="majorEastAsia" w:cstheme="minorHAnsi"/>
          <w:lang w:val="tr-TR"/>
        </w:rPr>
        <w:t xml:space="preserve">. </w:t>
      </w:r>
      <w:r w:rsidR="00A73813">
        <w:rPr>
          <w:rFonts w:eastAsiaTheme="majorEastAsia" w:cstheme="minorHAnsi"/>
          <w:lang w:val="tr-TR"/>
        </w:rPr>
        <w:t>Ö</w:t>
      </w:r>
      <w:r w:rsidR="00A73813" w:rsidRPr="009116DB">
        <w:rPr>
          <w:rFonts w:eastAsiaTheme="majorEastAsia" w:cstheme="minorHAnsi"/>
          <w:lang w:val="tr-TR"/>
        </w:rPr>
        <w:t xml:space="preserve">zellikle </w:t>
      </w:r>
      <w:r w:rsidR="00A73813">
        <w:rPr>
          <w:rFonts w:eastAsiaTheme="majorEastAsia" w:cstheme="minorHAnsi"/>
          <w:lang w:val="tr-TR"/>
        </w:rPr>
        <w:t xml:space="preserve">yenilenebilir enerji kaynaklarının toplam elektrik üretimindeki artan payı </w:t>
      </w:r>
      <w:r w:rsidR="00A73813" w:rsidRPr="009116DB">
        <w:rPr>
          <w:rFonts w:eastAsiaTheme="majorEastAsia" w:cstheme="minorHAnsi"/>
          <w:lang w:val="tr-TR"/>
        </w:rPr>
        <w:t>d</w:t>
      </w:r>
      <w:r w:rsidR="00A73813">
        <w:rPr>
          <w:rFonts w:eastAsiaTheme="majorEastAsia" w:cstheme="minorHAnsi"/>
          <w:lang w:val="tr-TR"/>
        </w:rPr>
        <w:t>eğiş</w:t>
      </w:r>
      <w:r w:rsidR="00A73813" w:rsidRPr="009116DB">
        <w:rPr>
          <w:rFonts w:eastAsiaTheme="majorEastAsia" w:cstheme="minorHAnsi"/>
          <w:lang w:val="tr-TR"/>
        </w:rPr>
        <w:t>ken üretim</w:t>
      </w:r>
      <w:r w:rsidR="00A73813">
        <w:rPr>
          <w:rFonts w:eastAsiaTheme="majorEastAsia" w:cstheme="minorHAnsi"/>
          <w:lang w:val="tr-TR"/>
        </w:rPr>
        <w:t xml:space="preserve"> seviyesini artırmış ve </w:t>
      </w:r>
      <w:r w:rsidR="00A73813" w:rsidRPr="009116DB">
        <w:rPr>
          <w:rFonts w:eastAsiaTheme="majorEastAsia" w:cstheme="minorHAnsi"/>
          <w:lang w:val="tr-TR"/>
        </w:rPr>
        <w:t>saatlik bazda arz güvenliğinin sağlanması için</w:t>
      </w:r>
      <w:r w:rsidR="0073714F">
        <w:rPr>
          <w:rFonts w:eastAsiaTheme="majorEastAsia" w:cstheme="minorHAnsi"/>
          <w:lang w:val="tr-TR"/>
        </w:rPr>
        <w:t xml:space="preserve"> belirli kapasitedeki termik santrallerin emre amade şekilde sistemde kalması</w:t>
      </w:r>
      <w:r w:rsidR="00E403CF">
        <w:rPr>
          <w:rFonts w:eastAsiaTheme="majorEastAsia" w:cstheme="minorHAnsi"/>
          <w:lang w:val="tr-TR"/>
        </w:rPr>
        <w:t>nı gerek</w:t>
      </w:r>
      <w:r w:rsidR="00467E0A">
        <w:rPr>
          <w:rFonts w:eastAsiaTheme="majorEastAsia" w:cstheme="minorHAnsi"/>
          <w:lang w:val="tr-TR"/>
        </w:rPr>
        <w:t>li hale gelmiştir</w:t>
      </w:r>
      <w:r w:rsidR="00A73813">
        <w:rPr>
          <w:rFonts w:eastAsiaTheme="majorEastAsia" w:cstheme="minorHAnsi"/>
          <w:lang w:val="tr-TR"/>
        </w:rPr>
        <w:t>. Arz güvenliği için önemli bir kaynak olarak değerlendirilen kömür santralleri, diğer termik kaynaklara kıyasla yüksek sera gazı emisyonuna neden olmaktadır. Bu santrallere sağlanan alım garantisi uygulamaları bu santrallerin gelirleri için önemli bir rol oynarken diğer yandan artan üretimleri nedeniyle elektrik üretimindeki emisyonun yüksek seviyelerde seyretmesine neden olmaktadır. Arz güvenliği için sistemde kalmaları istenen kömür santralleri için en uygun çözüm ise alım garantisi yerine yeni bir kapasite mekanizması uygulamasına geçilmesidir. Böylelikle arz güvenliği için sistemde</w:t>
      </w:r>
      <w:r w:rsidR="00DF6AE3">
        <w:rPr>
          <w:rFonts w:eastAsiaTheme="majorEastAsia" w:cstheme="minorHAnsi"/>
          <w:lang w:val="tr-TR"/>
        </w:rPr>
        <w:t xml:space="preserve"> gerekli emre amade kapasite </w:t>
      </w:r>
      <w:r w:rsidR="00A73813">
        <w:rPr>
          <w:rFonts w:eastAsiaTheme="majorEastAsia" w:cstheme="minorHAnsi"/>
          <w:lang w:val="tr-TR"/>
        </w:rPr>
        <w:t xml:space="preserve">sağlanırken </w:t>
      </w:r>
      <w:r w:rsidR="00DF6AE3">
        <w:rPr>
          <w:rFonts w:eastAsiaTheme="majorEastAsia" w:cstheme="minorHAnsi"/>
          <w:lang w:val="tr-TR"/>
        </w:rPr>
        <w:t xml:space="preserve">kömür </w:t>
      </w:r>
      <w:r w:rsidR="00A73813">
        <w:rPr>
          <w:rFonts w:eastAsiaTheme="majorEastAsia" w:cstheme="minorHAnsi"/>
          <w:lang w:val="tr-TR"/>
        </w:rPr>
        <w:t xml:space="preserve">üretiminin artırılmasının önüne geçilecektir. </w:t>
      </w:r>
    </w:p>
    <w:p w14:paraId="3C7951AE" w14:textId="38E8E128" w:rsidR="004D4361" w:rsidRDefault="004D4361" w:rsidP="004D4361">
      <w:pPr>
        <w:spacing w:line="360" w:lineRule="auto"/>
        <w:jc w:val="both"/>
        <w:rPr>
          <w:rFonts w:eastAsiaTheme="majorEastAsia" w:cstheme="minorHAnsi"/>
          <w:lang w:val="tr-TR"/>
        </w:rPr>
      </w:pPr>
      <w:r>
        <w:rPr>
          <w:rFonts w:eastAsiaTheme="majorEastAsia" w:cstheme="minorHAnsi"/>
          <w:lang w:val="tr-TR"/>
        </w:rPr>
        <w:t>Raporda Ulusal Enerji Eylem Planı’nda açıklanan hedefler de göz önünde bulundurularak emre amade kapasite ihtiyacı</w:t>
      </w:r>
      <w:r w:rsidR="002629E0">
        <w:rPr>
          <w:rFonts w:eastAsiaTheme="majorEastAsia" w:cstheme="minorHAnsi"/>
          <w:lang w:val="tr-TR"/>
        </w:rPr>
        <w:t>na yönelik bir</w:t>
      </w:r>
      <w:r>
        <w:rPr>
          <w:rFonts w:eastAsiaTheme="majorEastAsia" w:cstheme="minorHAnsi"/>
          <w:lang w:val="tr-TR"/>
        </w:rPr>
        <w:t xml:space="preserve"> sayısal analiz yapılmıştır. Raporda ayrıca Türkiye ile benzer üretim profiline sahip olan dört farklı ülke seçilmiş ve bu ülkelerdeki kapasite mekanizması uygulamaları detaylıca incelenmiştir. Bu ülkelerdeki kapasite mekanizması uygulamaları ve açıklanan hedefler Türkiye için önerilen kapasite mekanizması politika önerilerine ışık tutmuştur. </w:t>
      </w:r>
    </w:p>
    <w:p w14:paraId="153F44C6" w14:textId="77777777" w:rsidR="004D4361" w:rsidRDefault="004D4361" w:rsidP="004D4361">
      <w:pPr>
        <w:spacing w:line="360" w:lineRule="auto"/>
        <w:jc w:val="both"/>
        <w:rPr>
          <w:rFonts w:eastAsiaTheme="majorEastAsia" w:cstheme="minorHAnsi"/>
          <w:lang w:val="tr-TR"/>
        </w:rPr>
      </w:pPr>
      <w:r>
        <w:rPr>
          <w:rFonts w:eastAsiaTheme="majorEastAsia" w:cstheme="minorHAnsi"/>
          <w:lang w:val="tr-TR"/>
        </w:rPr>
        <w:t>Rapor kapsamında</w:t>
      </w:r>
      <w:r w:rsidRPr="002B512B">
        <w:rPr>
          <w:rFonts w:eastAsiaTheme="majorEastAsia" w:cstheme="minorHAnsi"/>
          <w:lang w:val="tr-TR"/>
        </w:rPr>
        <w:t xml:space="preserve">, </w:t>
      </w:r>
      <w:r>
        <w:rPr>
          <w:rFonts w:eastAsiaTheme="majorEastAsia" w:cstheme="minorHAnsi"/>
          <w:lang w:val="tr-TR"/>
        </w:rPr>
        <w:t xml:space="preserve">arz güvenliği için gerekli olan kapasitenin sürekliliğinin iklim değişikliği hedeflerini de dikkate alacak şekilde sağlanması </w:t>
      </w:r>
      <w:r w:rsidRPr="002B512B">
        <w:rPr>
          <w:rFonts w:eastAsiaTheme="majorEastAsia" w:cstheme="minorHAnsi"/>
          <w:lang w:val="tr-TR"/>
        </w:rPr>
        <w:t xml:space="preserve">için uygulanabilecek politika önerileri aşağıda sıralanmaktadır. </w:t>
      </w:r>
    </w:p>
    <w:p w14:paraId="5C795AF6" w14:textId="5CE37346" w:rsidR="00D3013A" w:rsidRPr="00CF336B" w:rsidRDefault="000F289D" w:rsidP="00D3013A">
      <w:pPr>
        <w:pStyle w:val="ListParagraph"/>
        <w:numPr>
          <w:ilvl w:val="0"/>
          <w:numId w:val="25"/>
        </w:numPr>
        <w:spacing w:line="360" w:lineRule="auto"/>
        <w:jc w:val="both"/>
        <w:rPr>
          <w:lang w:val="tr-TR"/>
        </w:rPr>
      </w:pPr>
      <w:r>
        <w:rPr>
          <w:b/>
          <w:bCs/>
          <w:lang w:val="tr-TR"/>
        </w:rPr>
        <w:t xml:space="preserve">Kapasite </w:t>
      </w:r>
      <w:r>
        <w:rPr>
          <w:b/>
          <w:bCs/>
          <w:lang w:val="tr-TR"/>
        </w:rPr>
        <w:t>i</w:t>
      </w:r>
      <w:r w:rsidR="00D3013A" w:rsidRPr="00CF336B">
        <w:rPr>
          <w:b/>
          <w:bCs/>
          <w:lang w:val="tr-TR"/>
        </w:rPr>
        <w:t>hale</w:t>
      </w:r>
      <w:r>
        <w:rPr>
          <w:b/>
          <w:bCs/>
          <w:lang w:val="tr-TR"/>
        </w:rPr>
        <w:t xml:space="preserve">si miktarının </w:t>
      </w:r>
      <w:r w:rsidR="00D3013A">
        <w:rPr>
          <w:b/>
          <w:bCs/>
          <w:lang w:val="tr-TR"/>
        </w:rPr>
        <w:t xml:space="preserve">tespitinde </w:t>
      </w:r>
      <w:r>
        <w:rPr>
          <w:b/>
          <w:bCs/>
          <w:lang w:val="tr-TR"/>
        </w:rPr>
        <w:t>uzun dönemli talep ve yatırım</w:t>
      </w:r>
      <w:r w:rsidR="00D3013A">
        <w:rPr>
          <w:b/>
          <w:bCs/>
          <w:lang w:val="tr-TR"/>
        </w:rPr>
        <w:t xml:space="preserve"> projeksiyonları gözetilme</w:t>
      </w:r>
      <w:r>
        <w:rPr>
          <w:b/>
          <w:bCs/>
          <w:lang w:val="tr-TR"/>
        </w:rPr>
        <w:t>lidir:</w:t>
      </w:r>
      <w:r w:rsidR="00D3013A" w:rsidRPr="00CF336B">
        <w:rPr>
          <w:b/>
          <w:bCs/>
          <w:lang w:val="tr-TR"/>
        </w:rPr>
        <w:t xml:space="preserve"> </w:t>
      </w:r>
      <w:r w:rsidR="00D3013A" w:rsidRPr="005702DB">
        <w:rPr>
          <w:lang w:val="tr-TR"/>
        </w:rPr>
        <w:t xml:space="preserve">Halihazırda </w:t>
      </w:r>
      <w:r w:rsidR="00D3013A">
        <w:rPr>
          <w:lang w:val="tr-TR"/>
        </w:rPr>
        <w:t>ilgili kurum/kurumlar tarafından hazırlanan uzun vadeli talep projeksiyonları gözetilerek</w:t>
      </w:r>
      <w:r>
        <w:rPr>
          <w:lang w:val="tr-TR"/>
        </w:rPr>
        <w:t xml:space="preserve"> talep ihtiyacı belirlenmelidir. Bu talebi karşılamak üzere gerekli olan arz için de projesi ve/veya inşası devam eden yatırımlar analiz edilerek arz ihtiyacı tespiti yapılmalıdır. </w:t>
      </w:r>
    </w:p>
    <w:p w14:paraId="373E1B20" w14:textId="3D003853" w:rsidR="004D4361" w:rsidRDefault="004D4361" w:rsidP="004D4361">
      <w:pPr>
        <w:pStyle w:val="ListParagraph"/>
        <w:numPr>
          <w:ilvl w:val="0"/>
          <w:numId w:val="25"/>
        </w:numPr>
        <w:spacing w:line="360" w:lineRule="auto"/>
        <w:jc w:val="both"/>
        <w:rPr>
          <w:lang w:val="tr-TR"/>
        </w:rPr>
      </w:pPr>
      <w:r>
        <w:rPr>
          <w:b/>
          <w:bCs/>
          <w:lang w:val="tr-TR"/>
        </w:rPr>
        <w:t>Kapasite</w:t>
      </w:r>
      <w:r w:rsidR="00EF0DD3">
        <w:rPr>
          <w:b/>
          <w:bCs/>
          <w:lang w:val="tr-TR"/>
        </w:rPr>
        <w:t xml:space="preserve"> mekanizmasına katılımlarda </w:t>
      </w:r>
      <w:r>
        <w:rPr>
          <w:b/>
          <w:bCs/>
          <w:lang w:val="tr-TR"/>
        </w:rPr>
        <w:t>i</w:t>
      </w:r>
      <w:r w:rsidRPr="00CF336B">
        <w:rPr>
          <w:b/>
          <w:bCs/>
          <w:lang w:val="tr-TR"/>
        </w:rPr>
        <w:t>hale yöntemi</w:t>
      </w:r>
      <w:r>
        <w:rPr>
          <w:b/>
          <w:bCs/>
          <w:lang w:val="tr-TR"/>
        </w:rPr>
        <w:t xml:space="preserve"> tercih edilme</w:t>
      </w:r>
      <w:r w:rsidR="00EF0DD3">
        <w:rPr>
          <w:b/>
          <w:bCs/>
          <w:lang w:val="tr-TR"/>
        </w:rPr>
        <w:t>lidir:</w:t>
      </w:r>
      <w:r w:rsidRPr="00CF336B">
        <w:rPr>
          <w:lang w:val="tr-TR"/>
        </w:rPr>
        <w:t xml:space="preserve"> </w:t>
      </w:r>
      <w:r>
        <w:rPr>
          <w:lang w:val="tr-TR"/>
        </w:rPr>
        <w:t>A</w:t>
      </w:r>
      <w:r w:rsidRPr="00CF336B">
        <w:rPr>
          <w:lang w:val="tr-TR"/>
        </w:rPr>
        <w:t>rz ve sistem güvenliğini sağlamak üzere gerekli olan emre amade kapasite ihale yöntemi</w:t>
      </w:r>
      <w:r>
        <w:rPr>
          <w:lang w:val="tr-TR"/>
        </w:rPr>
        <w:t xml:space="preserve"> ile dağıtılmalıdır</w:t>
      </w:r>
      <w:r w:rsidRPr="00CF336B">
        <w:rPr>
          <w:lang w:val="tr-TR"/>
        </w:rPr>
        <w:t>.</w:t>
      </w:r>
      <w:r w:rsidRPr="00140CBB">
        <w:rPr>
          <w:lang w:val="tr-TR"/>
        </w:rPr>
        <w:t xml:space="preserve"> </w:t>
      </w:r>
      <w:r>
        <w:rPr>
          <w:lang w:val="tr-TR"/>
        </w:rPr>
        <w:t>Bu sayede şeffaflık ve sağlıklı bir rekabet ortamının yaratılm</w:t>
      </w:r>
      <w:r w:rsidR="00C575E7">
        <w:rPr>
          <w:lang w:val="tr-TR"/>
        </w:rPr>
        <w:t>ası sağlanacaktır</w:t>
      </w:r>
      <w:r>
        <w:rPr>
          <w:lang w:val="tr-TR"/>
        </w:rPr>
        <w:t>.</w:t>
      </w:r>
    </w:p>
    <w:p w14:paraId="1668B55C" w14:textId="1F15B3A1" w:rsidR="00B119E3" w:rsidRDefault="00E979C7" w:rsidP="00E979C7">
      <w:pPr>
        <w:pStyle w:val="ListParagraph"/>
        <w:numPr>
          <w:ilvl w:val="0"/>
          <w:numId w:val="25"/>
        </w:numPr>
        <w:spacing w:line="360" w:lineRule="auto"/>
        <w:jc w:val="both"/>
        <w:rPr>
          <w:lang w:val="tr-TR"/>
        </w:rPr>
      </w:pPr>
      <w:r>
        <w:rPr>
          <w:b/>
          <w:bCs/>
          <w:lang w:val="tr-TR"/>
        </w:rPr>
        <w:t>Bölgesel kapasite i</w:t>
      </w:r>
      <w:r w:rsidRPr="00CF336B">
        <w:rPr>
          <w:b/>
          <w:bCs/>
          <w:lang w:val="tr-TR"/>
        </w:rPr>
        <w:t>haleleri yapılma</w:t>
      </w:r>
      <w:r>
        <w:rPr>
          <w:b/>
          <w:bCs/>
          <w:lang w:val="tr-TR"/>
        </w:rPr>
        <w:t>lıdır:</w:t>
      </w:r>
      <w:r w:rsidRPr="00CF336B">
        <w:rPr>
          <w:lang w:val="tr-TR"/>
        </w:rPr>
        <w:t xml:space="preserve"> </w:t>
      </w:r>
      <w:r>
        <w:rPr>
          <w:lang w:val="tr-TR"/>
        </w:rPr>
        <w:t>Kapasite ihaleleri bölgesel bazda yapılmalı ve ihale edilecek kapasite, ilgili bölgenin yapısı</w:t>
      </w:r>
      <w:r w:rsidRPr="00CF336B">
        <w:rPr>
          <w:lang w:val="tr-TR"/>
        </w:rPr>
        <w:t>, tale</w:t>
      </w:r>
      <w:r>
        <w:rPr>
          <w:lang w:val="tr-TR"/>
        </w:rPr>
        <w:t>bi</w:t>
      </w:r>
      <w:r w:rsidRPr="00CF336B">
        <w:rPr>
          <w:lang w:val="tr-TR"/>
        </w:rPr>
        <w:t xml:space="preserve"> ve</w:t>
      </w:r>
      <w:r>
        <w:rPr>
          <w:lang w:val="tr-TR"/>
        </w:rPr>
        <w:t xml:space="preserve"> mevcut ve bölgede ihtiyaç duyulacak</w:t>
      </w:r>
      <w:r w:rsidRPr="00CF336B">
        <w:rPr>
          <w:lang w:val="tr-TR"/>
        </w:rPr>
        <w:t xml:space="preserve"> kurulu gü</w:t>
      </w:r>
      <w:r>
        <w:rPr>
          <w:lang w:val="tr-TR"/>
        </w:rPr>
        <w:t>ç dikkate alınarak belirlenmelidir.</w:t>
      </w:r>
    </w:p>
    <w:p w14:paraId="1468F34E" w14:textId="5B46C6E7" w:rsidR="00E979C7" w:rsidRPr="00B119E3" w:rsidRDefault="00B119E3" w:rsidP="00B119E3">
      <w:pPr>
        <w:pStyle w:val="ListParagraph"/>
        <w:numPr>
          <w:ilvl w:val="0"/>
          <w:numId w:val="25"/>
        </w:numPr>
        <w:spacing w:line="360" w:lineRule="auto"/>
        <w:jc w:val="both"/>
        <w:rPr>
          <w:lang w:val="tr-TR"/>
        </w:rPr>
      </w:pPr>
      <w:r>
        <w:rPr>
          <w:b/>
          <w:bCs/>
          <w:lang w:val="tr-TR"/>
        </w:rPr>
        <w:t xml:space="preserve">Serbest piyasa yapısına izin verilerek santrallerin gelirlerini piyasa üzerinden elde etmelerine olanak sağlanmalıdır: </w:t>
      </w:r>
      <w:r>
        <w:rPr>
          <w:lang w:val="tr-TR"/>
        </w:rPr>
        <w:t xml:space="preserve">Santrallerin </w:t>
      </w:r>
      <w:r w:rsidR="00A866D2">
        <w:rPr>
          <w:lang w:val="tr-TR"/>
        </w:rPr>
        <w:t xml:space="preserve">ürettikleri elektrik için elde ettikleri gelirlerin temelini piyasa temelli yapılar oluşturmalıdır. Kapasite mekanizmasının kayıp para problemi sorununun çözümü olarak görülmesinin önüne geçilmelidir. </w:t>
      </w:r>
    </w:p>
    <w:p w14:paraId="64A36121" w14:textId="1E98E59B" w:rsidR="004D4361" w:rsidRDefault="00C575E7" w:rsidP="004D4361">
      <w:pPr>
        <w:pStyle w:val="ListParagraph"/>
        <w:numPr>
          <w:ilvl w:val="0"/>
          <w:numId w:val="25"/>
        </w:numPr>
        <w:spacing w:line="360" w:lineRule="auto"/>
        <w:jc w:val="both"/>
        <w:rPr>
          <w:lang w:val="tr-TR"/>
        </w:rPr>
      </w:pPr>
      <w:r>
        <w:rPr>
          <w:b/>
          <w:bCs/>
          <w:lang w:val="tr-TR"/>
        </w:rPr>
        <w:t xml:space="preserve">Kapasite </w:t>
      </w:r>
      <w:r w:rsidR="004D4361">
        <w:rPr>
          <w:b/>
          <w:bCs/>
          <w:lang w:val="tr-TR"/>
        </w:rPr>
        <w:t xml:space="preserve">mekanizmasının </w:t>
      </w:r>
      <w:r>
        <w:rPr>
          <w:b/>
          <w:bCs/>
          <w:lang w:val="tr-TR"/>
        </w:rPr>
        <w:t>m</w:t>
      </w:r>
      <w:r w:rsidRPr="00C575E7">
        <w:rPr>
          <w:b/>
          <w:bCs/>
          <w:lang w:val="tr-TR"/>
        </w:rPr>
        <w:t>evcut santral</w:t>
      </w:r>
      <w:r>
        <w:rPr>
          <w:b/>
          <w:bCs/>
          <w:lang w:val="tr-TR"/>
        </w:rPr>
        <w:t xml:space="preserve">ler için geçerli olacak mekanizma </w:t>
      </w:r>
      <w:r w:rsidRPr="00C575E7">
        <w:rPr>
          <w:b/>
          <w:bCs/>
          <w:lang w:val="tr-TR"/>
        </w:rPr>
        <w:t xml:space="preserve">ve yeni yatırımlara yönelik olacak </w:t>
      </w:r>
      <w:r>
        <w:rPr>
          <w:b/>
          <w:bCs/>
          <w:lang w:val="tr-TR"/>
        </w:rPr>
        <w:t xml:space="preserve">mekanizma </w:t>
      </w:r>
      <w:r w:rsidRPr="00C575E7">
        <w:rPr>
          <w:b/>
          <w:bCs/>
          <w:lang w:val="tr-TR"/>
        </w:rPr>
        <w:t>şek</w:t>
      </w:r>
      <w:r>
        <w:rPr>
          <w:b/>
          <w:bCs/>
          <w:lang w:val="tr-TR"/>
        </w:rPr>
        <w:t>lin</w:t>
      </w:r>
      <w:r w:rsidRPr="00C575E7">
        <w:rPr>
          <w:b/>
          <w:bCs/>
          <w:lang w:val="tr-TR"/>
        </w:rPr>
        <w:t xml:space="preserve">de </w:t>
      </w:r>
      <w:r>
        <w:rPr>
          <w:b/>
          <w:bCs/>
          <w:lang w:val="tr-TR"/>
        </w:rPr>
        <w:t xml:space="preserve">ikiye </w:t>
      </w:r>
      <w:r w:rsidR="004D4361" w:rsidRPr="00CF336B">
        <w:rPr>
          <w:b/>
          <w:bCs/>
          <w:lang w:val="tr-TR"/>
        </w:rPr>
        <w:t>ayrılma</w:t>
      </w:r>
      <w:r w:rsidR="00E25CEE">
        <w:rPr>
          <w:b/>
          <w:bCs/>
          <w:lang w:val="tr-TR"/>
        </w:rPr>
        <w:t>lıdır:</w:t>
      </w:r>
      <w:r w:rsidR="004D4361" w:rsidRPr="00CF336B">
        <w:rPr>
          <w:b/>
          <w:bCs/>
          <w:lang w:val="tr-TR"/>
        </w:rPr>
        <w:t xml:space="preserve"> </w:t>
      </w:r>
      <w:r w:rsidR="004D4361" w:rsidRPr="0016098F">
        <w:rPr>
          <w:lang w:val="tr-TR"/>
        </w:rPr>
        <w:t>İhtiyaç duyulan arz kapasitesinde mevcutta</w:t>
      </w:r>
      <w:r w:rsidR="004D4361" w:rsidRPr="00CF336B">
        <w:rPr>
          <w:lang w:val="tr-TR"/>
        </w:rPr>
        <w:t xml:space="preserve"> var olan </w:t>
      </w:r>
      <w:r w:rsidRPr="00CF336B">
        <w:rPr>
          <w:lang w:val="tr-TR"/>
        </w:rPr>
        <w:t>santraller</w:t>
      </w:r>
      <w:r>
        <w:rPr>
          <w:lang w:val="tr-TR"/>
        </w:rPr>
        <w:t>in</w:t>
      </w:r>
      <w:r w:rsidRPr="00CF336B">
        <w:rPr>
          <w:lang w:val="tr-TR"/>
        </w:rPr>
        <w:t xml:space="preserve"> </w:t>
      </w:r>
      <w:r w:rsidR="004D4361" w:rsidRPr="00CF336B">
        <w:rPr>
          <w:lang w:val="tr-TR"/>
        </w:rPr>
        <w:t xml:space="preserve">emre </w:t>
      </w:r>
      <w:proofErr w:type="spellStart"/>
      <w:r w:rsidR="004D4361" w:rsidRPr="00CF336B">
        <w:rPr>
          <w:lang w:val="tr-TR"/>
        </w:rPr>
        <w:t>amadeliklerini</w:t>
      </w:r>
      <w:proofErr w:type="spellEnd"/>
      <w:r w:rsidR="004D4361" w:rsidRPr="00CF336B">
        <w:rPr>
          <w:lang w:val="tr-TR"/>
        </w:rPr>
        <w:t xml:space="preserve"> sürdürmeleri</w:t>
      </w:r>
      <w:r w:rsidR="004D4361">
        <w:rPr>
          <w:lang w:val="tr-TR"/>
        </w:rPr>
        <w:t>ne</w:t>
      </w:r>
      <w:r w:rsidR="004D4361" w:rsidRPr="00CF336B">
        <w:rPr>
          <w:lang w:val="tr-TR"/>
        </w:rPr>
        <w:t xml:space="preserve"> ve yeni </w:t>
      </w:r>
      <w:r w:rsidRPr="00CF336B">
        <w:rPr>
          <w:lang w:val="tr-TR"/>
        </w:rPr>
        <w:t>santraller</w:t>
      </w:r>
      <w:r>
        <w:rPr>
          <w:lang w:val="tr-TR"/>
        </w:rPr>
        <w:t>in</w:t>
      </w:r>
      <w:r w:rsidRPr="00CF336B">
        <w:rPr>
          <w:lang w:val="tr-TR"/>
        </w:rPr>
        <w:t xml:space="preserve"> </w:t>
      </w:r>
      <w:r w:rsidR="004D4361" w:rsidRPr="00CF336B">
        <w:rPr>
          <w:lang w:val="tr-TR"/>
        </w:rPr>
        <w:t xml:space="preserve">ise </w:t>
      </w:r>
      <w:r>
        <w:rPr>
          <w:lang w:val="tr-TR"/>
        </w:rPr>
        <w:t xml:space="preserve">yatırım için gerekli finansmanı </w:t>
      </w:r>
      <w:r w:rsidR="004D4361" w:rsidRPr="00CF336B">
        <w:rPr>
          <w:lang w:val="tr-TR"/>
        </w:rPr>
        <w:t>sağlayabilmelerine olanak sağlayan bir yapının kurulması gerekmektedir</w:t>
      </w:r>
      <w:r w:rsidR="004D4361">
        <w:rPr>
          <w:lang w:val="tr-TR"/>
        </w:rPr>
        <w:t xml:space="preserve">. Yeni yatırımlara verilecek kapasite mekanizması desteğinde, iklim değişikliği hedefleri gözetilmeli ve </w:t>
      </w:r>
      <w:r w:rsidR="00616B2D">
        <w:rPr>
          <w:lang w:val="tr-TR"/>
        </w:rPr>
        <w:t>mekanizmadan yararlanacak santraller için</w:t>
      </w:r>
      <w:r w:rsidR="004D4361">
        <w:rPr>
          <w:lang w:val="tr-TR"/>
        </w:rPr>
        <w:t xml:space="preserve"> iklim değişikliği hedeflerini de sağlamaya yönelik </w:t>
      </w:r>
      <w:r w:rsidR="00616B2D">
        <w:rPr>
          <w:lang w:val="tr-TR"/>
        </w:rPr>
        <w:t xml:space="preserve">kısıtlamalar </w:t>
      </w:r>
      <w:r w:rsidR="004D4361">
        <w:rPr>
          <w:lang w:val="tr-TR"/>
        </w:rPr>
        <w:t xml:space="preserve">koyulmalıdır. </w:t>
      </w:r>
    </w:p>
    <w:p w14:paraId="31EA8FD5" w14:textId="658C52CA" w:rsidR="003D6078" w:rsidRPr="003D6078" w:rsidRDefault="003D6078" w:rsidP="003D6078">
      <w:pPr>
        <w:pStyle w:val="ListParagraph"/>
        <w:numPr>
          <w:ilvl w:val="0"/>
          <w:numId w:val="25"/>
        </w:numPr>
        <w:spacing w:line="360" w:lineRule="auto"/>
        <w:jc w:val="both"/>
        <w:rPr>
          <w:lang w:val="tr-TR"/>
        </w:rPr>
      </w:pPr>
      <w:r>
        <w:rPr>
          <w:b/>
          <w:bCs/>
          <w:lang w:val="tr-TR"/>
        </w:rPr>
        <w:t>Gerekli kapasiteyi sağlayacak üniteler için teknoloji kısıtı koyulmamalıdır:</w:t>
      </w:r>
      <w:r w:rsidRPr="00CF336B">
        <w:rPr>
          <w:lang w:val="tr-TR"/>
        </w:rPr>
        <w:t xml:space="preserve"> </w:t>
      </w:r>
      <w:r>
        <w:rPr>
          <w:lang w:val="tr-TR"/>
        </w:rPr>
        <w:t xml:space="preserve">Açıklanan bölgesel kapasite için teknoloji kısıtı koyulmamalı ve </w:t>
      </w:r>
      <w:r w:rsidR="00501A55" w:rsidRPr="00CF336B">
        <w:rPr>
          <w:lang w:val="tr-TR"/>
        </w:rPr>
        <w:t>bölgede</w:t>
      </w:r>
      <w:r w:rsidR="00501A55">
        <w:rPr>
          <w:lang w:val="tr-TR"/>
        </w:rPr>
        <w:t>ki</w:t>
      </w:r>
      <w:r>
        <w:rPr>
          <w:lang w:val="tr-TR"/>
        </w:rPr>
        <w:t xml:space="preserve"> kaynak optimum şekilde değerlendirilmelidir. Özellikle yenilenebilir enerji kaynaklarının ihalede teklif edebilecekleri kapasite için İngiltere’nin uyguladığı gibi bir yöntem uygulanarak </w:t>
      </w:r>
      <w:r w:rsidR="004C4C55" w:rsidRPr="00141E98">
        <w:rPr>
          <w:i/>
          <w:iCs/>
          <w:lang w:val="tr-TR"/>
        </w:rPr>
        <w:t>de-rating</w:t>
      </w:r>
      <w:r w:rsidR="004C4C55">
        <w:rPr>
          <w:lang w:val="tr-TR"/>
        </w:rPr>
        <w:t xml:space="preserve"> oranıyla hesaplanan güvenilir kapasite oluşturulabilir.</w:t>
      </w:r>
    </w:p>
    <w:p w14:paraId="1BF92185" w14:textId="6CD90086" w:rsidR="004D4361" w:rsidRDefault="004D4361" w:rsidP="006A0B20">
      <w:pPr>
        <w:pStyle w:val="ListParagraph"/>
        <w:numPr>
          <w:ilvl w:val="0"/>
          <w:numId w:val="25"/>
        </w:numPr>
        <w:spacing w:line="360" w:lineRule="auto"/>
        <w:jc w:val="both"/>
        <w:rPr>
          <w:lang w:val="tr-TR"/>
        </w:rPr>
      </w:pPr>
      <w:r w:rsidRPr="006A0B20">
        <w:rPr>
          <w:b/>
          <w:bCs/>
          <w:lang w:val="tr-TR"/>
        </w:rPr>
        <w:t>Gelecek dönemlerde kurulması beklenen depolama kapasitesi</w:t>
      </w:r>
      <w:r w:rsidR="00501A55">
        <w:rPr>
          <w:b/>
          <w:bCs/>
          <w:lang w:val="tr-TR"/>
        </w:rPr>
        <w:t>,</w:t>
      </w:r>
      <w:r w:rsidRPr="006A0B20">
        <w:rPr>
          <w:b/>
          <w:bCs/>
          <w:lang w:val="tr-TR"/>
        </w:rPr>
        <w:t xml:space="preserve"> arz güvenliği </w:t>
      </w:r>
      <w:r w:rsidR="006A0B20" w:rsidRPr="006A0B20">
        <w:rPr>
          <w:b/>
          <w:bCs/>
          <w:lang w:val="tr-TR"/>
        </w:rPr>
        <w:t xml:space="preserve">ve esneklik </w:t>
      </w:r>
      <w:r w:rsidRPr="006A0B20">
        <w:rPr>
          <w:b/>
          <w:bCs/>
          <w:lang w:val="tr-TR"/>
        </w:rPr>
        <w:t>açısından değerlendirilme</w:t>
      </w:r>
      <w:r w:rsidR="00501A55">
        <w:rPr>
          <w:b/>
          <w:bCs/>
          <w:lang w:val="tr-TR"/>
        </w:rPr>
        <w:t>lidir:</w:t>
      </w:r>
      <w:r w:rsidRPr="006A0B20">
        <w:rPr>
          <w:b/>
          <w:bCs/>
          <w:lang w:val="tr-TR"/>
        </w:rPr>
        <w:t xml:space="preserve"> </w:t>
      </w:r>
      <w:r w:rsidRPr="006A0B20">
        <w:rPr>
          <w:lang w:val="tr-TR"/>
        </w:rPr>
        <w:t>2022 Kasım ayında depolama ile ilgili yapılan düzenlemeler sonucu</w:t>
      </w:r>
      <w:r w:rsidR="00616B2D" w:rsidRPr="006A0B20">
        <w:rPr>
          <w:lang w:val="tr-TR"/>
        </w:rPr>
        <w:t>nda önümüzdeki yıllarda</w:t>
      </w:r>
      <w:r w:rsidRPr="006A0B20">
        <w:rPr>
          <w:lang w:val="tr-TR"/>
        </w:rPr>
        <w:t xml:space="preserve"> depolamalı rüzgâr ve güneş enerjisi yatırımlarının </w:t>
      </w:r>
      <w:r w:rsidR="00616B2D" w:rsidRPr="006A0B20">
        <w:rPr>
          <w:lang w:val="tr-TR"/>
        </w:rPr>
        <w:t>önemli bir kurulu güce ulaşması</w:t>
      </w:r>
      <w:r w:rsidRPr="006A0B20">
        <w:rPr>
          <w:lang w:val="tr-TR"/>
        </w:rPr>
        <w:t xml:space="preserve"> beklenmektedir. Buradan gelecek depolama üniteleri yeni oluşturulacak kapasite mekanizması yapısında dikkate alınmalıdır.</w:t>
      </w:r>
      <w:r w:rsidR="006A0B20" w:rsidRPr="006A0B20">
        <w:rPr>
          <w:lang w:val="tr-TR"/>
        </w:rPr>
        <w:t xml:space="preserve"> Ayrıca</w:t>
      </w:r>
      <w:r w:rsidR="006A0B20">
        <w:rPr>
          <w:lang w:val="tr-TR"/>
        </w:rPr>
        <w:t xml:space="preserve"> a</w:t>
      </w:r>
      <w:r w:rsidRPr="006A0B20">
        <w:rPr>
          <w:lang w:val="tr-TR"/>
        </w:rPr>
        <w:t>rtan yenilenebilir enerji santrallerinin sistemde yaratacağı esneklik ihtiyacı da göz önünde bulundurulmalıdır. Oluşturulacak yeni mekanizmada kömür santrallerine kıyasla daha esnek olan depolama ünitelerinin ve diğer teknolojilerin yatırımının önü açılacak şekilde tasarım yapılması önerilmektedir.</w:t>
      </w:r>
    </w:p>
    <w:p w14:paraId="40807A27" w14:textId="6800B9BA" w:rsidR="007119AF" w:rsidRPr="007119AF" w:rsidRDefault="007119AF" w:rsidP="007119AF">
      <w:pPr>
        <w:pStyle w:val="ListParagraph"/>
        <w:numPr>
          <w:ilvl w:val="0"/>
          <w:numId w:val="25"/>
        </w:numPr>
        <w:spacing w:line="360" w:lineRule="auto"/>
        <w:jc w:val="both"/>
        <w:rPr>
          <w:lang w:val="tr-TR"/>
        </w:rPr>
      </w:pPr>
      <w:r w:rsidRPr="00A1397B">
        <w:rPr>
          <w:b/>
          <w:bCs/>
          <w:lang w:val="tr-TR"/>
        </w:rPr>
        <w:t>Emisyon kısıtı kapasite mekanizması tasarımında yer alma</w:t>
      </w:r>
      <w:r w:rsidR="00FF37A7">
        <w:rPr>
          <w:b/>
          <w:bCs/>
          <w:lang w:val="tr-TR"/>
        </w:rPr>
        <w:t>lıdır:</w:t>
      </w:r>
      <w:r w:rsidRPr="00A1397B">
        <w:rPr>
          <w:b/>
          <w:bCs/>
          <w:lang w:val="tr-TR"/>
        </w:rPr>
        <w:t xml:space="preserve"> </w:t>
      </w:r>
      <w:r w:rsidRPr="00A1397B">
        <w:rPr>
          <w:lang w:val="tr-TR"/>
        </w:rPr>
        <w:t>Avrupa Birliği ülkelerindeki uygulama örnek alınarak santrallere emisyon kısıtı koyulmalıdır. Emisyon limiti üzerinde salım yapan santrallerin mekanizma kapsamında ödeme almasının önüne geçil</w:t>
      </w:r>
      <w:r>
        <w:rPr>
          <w:lang w:val="tr-TR"/>
        </w:rPr>
        <w:t xml:space="preserve">melidir. </w:t>
      </w:r>
    </w:p>
    <w:p w14:paraId="51EC1785" w14:textId="01F0D1EF" w:rsidR="004D4361" w:rsidRPr="00CF336B" w:rsidRDefault="004D4361" w:rsidP="004D4361">
      <w:pPr>
        <w:pStyle w:val="ListParagraph"/>
        <w:numPr>
          <w:ilvl w:val="0"/>
          <w:numId w:val="25"/>
        </w:numPr>
        <w:spacing w:line="360" w:lineRule="auto"/>
        <w:jc w:val="both"/>
        <w:rPr>
          <w:lang w:val="tr-TR"/>
        </w:rPr>
      </w:pPr>
      <w:r>
        <w:rPr>
          <w:b/>
          <w:bCs/>
          <w:lang w:val="tr-TR"/>
        </w:rPr>
        <w:t>Y</w:t>
      </w:r>
      <w:r w:rsidR="00A47C5A">
        <w:rPr>
          <w:b/>
          <w:bCs/>
          <w:lang w:val="tr-TR"/>
        </w:rPr>
        <w:t xml:space="preserve">erine getirilmeyen yükümlülükler için </w:t>
      </w:r>
      <w:r w:rsidR="00A47C5A" w:rsidRPr="00CF336B">
        <w:rPr>
          <w:b/>
          <w:bCs/>
          <w:lang w:val="tr-TR"/>
        </w:rPr>
        <w:t xml:space="preserve">caydırıcı </w:t>
      </w:r>
      <w:r w:rsidR="00A47C5A">
        <w:rPr>
          <w:b/>
          <w:bCs/>
          <w:lang w:val="tr-TR"/>
        </w:rPr>
        <w:t>ve uygulanabilir y</w:t>
      </w:r>
      <w:r>
        <w:rPr>
          <w:b/>
          <w:bCs/>
          <w:lang w:val="tr-TR"/>
        </w:rPr>
        <w:t xml:space="preserve">aptırımlar </w:t>
      </w:r>
      <w:r w:rsidR="00A47C5A">
        <w:rPr>
          <w:b/>
          <w:bCs/>
          <w:lang w:val="tr-TR"/>
        </w:rPr>
        <w:t>koyulmalıdır:</w:t>
      </w:r>
      <w:r w:rsidRPr="00CF336B">
        <w:rPr>
          <w:b/>
          <w:bCs/>
          <w:lang w:val="tr-TR"/>
        </w:rPr>
        <w:t xml:space="preserve"> </w:t>
      </w:r>
      <w:r w:rsidRPr="00CF336B">
        <w:rPr>
          <w:lang w:val="tr-TR"/>
        </w:rPr>
        <w:t xml:space="preserve">İhale kapsamında </w:t>
      </w:r>
      <w:r>
        <w:rPr>
          <w:lang w:val="tr-TR"/>
        </w:rPr>
        <w:t xml:space="preserve">kapasite hakkı </w:t>
      </w:r>
      <w:r w:rsidRPr="00CF336B">
        <w:rPr>
          <w:lang w:val="tr-TR"/>
        </w:rPr>
        <w:t>kazanan santraller</w:t>
      </w:r>
      <w:r>
        <w:rPr>
          <w:lang w:val="tr-TR"/>
        </w:rPr>
        <w:t xml:space="preserve">in </w:t>
      </w:r>
      <w:r w:rsidRPr="00CF336B">
        <w:rPr>
          <w:lang w:val="tr-TR"/>
        </w:rPr>
        <w:t>gerekli yükümlülükleri yerine getirme</w:t>
      </w:r>
      <w:r>
        <w:rPr>
          <w:lang w:val="tr-TR"/>
        </w:rPr>
        <w:t xml:space="preserve">leri için caydırıcı yaptırımlar uygulanmalı ve kazanan kapasitenin ihtiyaç halinde kullanımı </w:t>
      </w:r>
      <w:r w:rsidRPr="00CF336B">
        <w:rPr>
          <w:lang w:val="tr-TR"/>
        </w:rPr>
        <w:t>garanti altına alınmalıdır.</w:t>
      </w:r>
    </w:p>
    <w:p w14:paraId="379E0560" w14:textId="42D0BACC" w:rsidR="004D4361" w:rsidRPr="00CF336B" w:rsidRDefault="004D4361" w:rsidP="004D4361">
      <w:pPr>
        <w:pStyle w:val="ListParagraph"/>
        <w:numPr>
          <w:ilvl w:val="0"/>
          <w:numId w:val="25"/>
        </w:numPr>
        <w:spacing w:line="360" w:lineRule="auto"/>
        <w:jc w:val="both"/>
        <w:rPr>
          <w:lang w:val="tr-TR"/>
        </w:rPr>
      </w:pPr>
      <w:r>
        <w:rPr>
          <w:b/>
          <w:bCs/>
          <w:lang w:val="tr-TR"/>
        </w:rPr>
        <w:t>Sınırda Karbon Düzenlemesi Mekanizmasının beraberinde getirdiği koşulla</w:t>
      </w:r>
      <w:r w:rsidR="00943A26">
        <w:rPr>
          <w:b/>
          <w:bCs/>
          <w:lang w:val="tr-TR"/>
        </w:rPr>
        <w:t>r</w:t>
      </w:r>
      <w:r>
        <w:rPr>
          <w:b/>
          <w:bCs/>
          <w:lang w:val="tr-TR"/>
        </w:rPr>
        <w:t xml:space="preserve"> mekanizma tasarımında dikkate alınma</w:t>
      </w:r>
      <w:r w:rsidR="00943A26">
        <w:rPr>
          <w:b/>
          <w:bCs/>
          <w:lang w:val="tr-TR"/>
        </w:rPr>
        <w:t>lıdır:</w:t>
      </w:r>
      <w:r>
        <w:rPr>
          <w:b/>
          <w:bCs/>
          <w:lang w:val="tr-TR"/>
        </w:rPr>
        <w:t xml:space="preserve"> </w:t>
      </w:r>
      <w:r w:rsidRPr="005702DB">
        <w:rPr>
          <w:lang w:val="tr-TR"/>
        </w:rPr>
        <w:t xml:space="preserve">Türkiye’nin açıkladığı </w:t>
      </w:r>
      <w:r>
        <w:rPr>
          <w:lang w:val="tr-TR"/>
        </w:rPr>
        <w:t>n</w:t>
      </w:r>
      <w:r w:rsidRPr="005702DB">
        <w:rPr>
          <w:lang w:val="tr-TR"/>
        </w:rPr>
        <w:t>et sıfır</w:t>
      </w:r>
      <w:r w:rsidRPr="00CF336B">
        <w:rPr>
          <w:lang w:val="tr-TR"/>
        </w:rPr>
        <w:t xml:space="preserve"> hedefi ve </w:t>
      </w:r>
      <w:r w:rsidRPr="00A1397B">
        <w:rPr>
          <w:lang w:val="tr-TR"/>
        </w:rPr>
        <w:t>Sınırda Karbon Düzenlemesi Mekanizması</w:t>
      </w:r>
      <w:r w:rsidRPr="00CF336B">
        <w:rPr>
          <w:lang w:val="tr-TR"/>
        </w:rPr>
        <w:t xml:space="preserve"> kapsamında </w:t>
      </w:r>
      <w:r>
        <w:rPr>
          <w:lang w:val="tr-TR"/>
        </w:rPr>
        <w:t>uygulamaya alınması beklenen</w:t>
      </w:r>
      <w:r w:rsidRPr="00CF336B">
        <w:rPr>
          <w:lang w:val="tr-TR"/>
        </w:rPr>
        <w:t xml:space="preserve"> karbon fiyatının termik santrallere yaratacağı ilave yük </w:t>
      </w:r>
      <w:r>
        <w:rPr>
          <w:lang w:val="tr-TR"/>
        </w:rPr>
        <w:t>ihale şartnamesine konu olmalıdır</w:t>
      </w:r>
      <w:r w:rsidRPr="00CF336B">
        <w:rPr>
          <w:lang w:val="tr-TR"/>
        </w:rPr>
        <w:t xml:space="preserve">. </w:t>
      </w:r>
      <w:r>
        <w:rPr>
          <w:lang w:val="tr-TR"/>
        </w:rPr>
        <w:t>Özellikle düşük verimli</w:t>
      </w:r>
      <w:r w:rsidR="00616B2D">
        <w:rPr>
          <w:lang w:val="tr-TR"/>
        </w:rPr>
        <w:t>li</w:t>
      </w:r>
      <w:r>
        <w:rPr>
          <w:lang w:val="tr-TR"/>
        </w:rPr>
        <w:t>kteki eski termik santrallerin bu fiyatlamayla beraber sistemde kalamayacağı gerçeği unutulmamalıdır.</w:t>
      </w:r>
    </w:p>
    <w:p w14:paraId="44411655" w14:textId="45E39E6F" w:rsidR="004D4361" w:rsidRPr="00CF336B" w:rsidRDefault="004D4361" w:rsidP="004D4361">
      <w:pPr>
        <w:pStyle w:val="ListParagraph"/>
        <w:numPr>
          <w:ilvl w:val="0"/>
          <w:numId w:val="25"/>
        </w:numPr>
        <w:spacing w:line="360" w:lineRule="auto"/>
        <w:jc w:val="both"/>
        <w:rPr>
          <w:lang w:val="tr-TR"/>
        </w:rPr>
      </w:pPr>
      <w:r>
        <w:rPr>
          <w:b/>
          <w:bCs/>
          <w:lang w:val="tr-TR"/>
        </w:rPr>
        <w:t>Yapılacak ödemeler şeffaf bir şekilde açıklanma</w:t>
      </w:r>
      <w:r w:rsidR="00943A26">
        <w:rPr>
          <w:b/>
          <w:bCs/>
          <w:lang w:val="tr-TR"/>
        </w:rPr>
        <w:t>lıdır:</w:t>
      </w:r>
      <w:r w:rsidRPr="00CF336B">
        <w:rPr>
          <w:lang w:val="tr-TR"/>
        </w:rPr>
        <w:t xml:space="preserve"> </w:t>
      </w:r>
      <w:r>
        <w:rPr>
          <w:lang w:val="tr-TR"/>
        </w:rPr>
        <w:t>İhale sonuçlarında kazanılan</w:t>
      </w:r>
      <w:r w:rsidRPr="00CF336B">
        <w:rPr>
          <w:lang w:val="tr-TR"/>
        </w:rPr>
        <w:t xml:space="preserve"> </w:t>
      </w:r>
      <w:r w:rsidR="00616B2D">
        <w:rPr>
          <w:lang w:val="tr-TR"/>
        </w:rPr>
        <w:t xml:space="preserve">kapasite </w:t>
      </w:r>
      <w:r w:rsidRPr="00CF336B">
        <w:rPr>
          <w:lang w:val="tr-TR"/>
        </w:rPr>
        <w:t>miktarı</w:t>
      </w:r>
      <w:r>
        <w:rPr>
          <w:lang w:val="tr-TR"/>
        </w:rPr>
        <w:t xml:space="preserve"> şeffaf bir şekilde kamuoyu ile paylaşılmalıdır. Piyasadaki diğer katılımcılar t</w:t>
      </w:r>
      <w:r w:rsidRPr="00CF336B">
        <w:rPr>
          <w:lang w:val="tr-TR"/>
        </w:rPr>
        <w:t xml:space="preserve">eklif verme yaklaşımlarını </w:t>
      </w:r>
      <w:r>
        <w:rPr>
          <w:lang w:val="tr-TR"/>
        </w:rPr>
        <w:t xml:space="preserve">bu kapasiteye göre belirleyebildiklerinden bu </w:t>
      </w:r>
      <w:r w:rsidRPr="00CF336B">
        <w:rPr>
          <w:lang w:val="tr-TR"/>
        </w:rPr>
        <w:t>miktarlar</w:t>
      </w:r>
      <w:r>
        <w:rPr>
          <w:lang w:val="tr-TR"/>
        </w:rPr>
        <w:t xml:space="preserve"> ilgili</w:t>
      </w:r>
      <w:r w:rsidRPr="00CF336B">
        <w:rPr>
          <w:lang w:val="tr-TR"/>
        </w:rPr>
        <w:t xml:space="preserve"> ay öncesinde </w:t>
      </w:r>
      <w:r w:rsidR="00616B2D">
        <w:rPr>
          <w:lang w:val="tr-TR"/>
        </w:rPr>
        <w:t xml:space="preserve">kamuoyuyla </w:t>
      </w:r>
      <w:r>
        <w:rPr>
          <w:lang w:val="tr-TR"/>
        </w:rPr>
        <w:t xml:space="preserve">paylaşılmalıdır. </w:t>
      </w:r>
      <w:r w:rsidRPr="00CF336B">
        <w:rPr>
          <w:lang w:val="tr-TR"/>
        </w:rPr>
        <w:t xml:space="preserve"> </w:t>
      </w:r>
    </w:p>
    <w:p w14:paraId="22318FE8" w14:textId="77777777" w:rsidR="004D4361" w:rsidRPr="004D4361" w:rsidRDefault="004D4361" w:rsidP="004D4361">
      <w:pPr>
        <w:spacing w:line="360" w:lineRule="auto"/>
        <w:rPr>
          <w:lang w:val="tr-TR"/>
        </w:rPr>
      </w:pPr>
    </w:p>
    <w:p w14:paraId="7AA10F33" w14:textId="7FF55C26" w:rsidR="00646960" w:rsidRPr="00CF336B" w:rsidRDefault="00646960" w:rsidP="004D4361">
      <w:pPr>
        <w:pStyle w:val="Heading1"/>
        <w:spacing w:line="360" w:lineRule="auto"/>
        <w:rPr>
          <w:lang w:val="tr-TR"/>
        </w:rPr>
      </w:pPr>
      <w:r w:rsidRPr="00CF336B">
        <w:rPr>
          <w:lang w:val="tr-TR"/>
        </w:rPr>
        <w:br w:type="page"/>
      </w:r>
    </w:p>
    <w:p w14:paraId="11738A40" w14:textId="47752931" w:rsidR="0034550C" w:rsidRPr="00CF336B" w:rsidRDefault="00646960" w:rsidP="004D4361">
      <w:pPr>
        <w:pStyle w:val="Heading1"/>
        <w:numPr>
          <w:ilvl w:val="0"/>
          <w:numId w:val="13"/>
        </w:numPr>
        <w:spacing w:line="360" w:lineRule="auto"/>
        <w:rPr>
          <w:bCs/>
          <w:sz w:val="22"/>
          <w:szCs w:val="22"/>
          <w:lang w:val="tr-TR"/>
        </w:rPr>
      </w:pPr>
      <w:bookmarkStart w:id="6" w:name="_Toc156210434"/>
      <w:r w:rsidRPr="00CF336B">
        <w:rPr>
          <w:bCs/>
          <w:sz w:val="22"/>
          <w:szCs w:val="22"/>
          <w:lang w:val="tr-TR"/>
        </w:rPr>
        <w:t>Giriş</w:t>
      </w:r>
      <w:bookmarkEnd w:id="6"/>
    </w:p>
    <w:p w14:paraId="2EF5A89E" w14:textId="77777777" w:rsidR="001476A2" w:rsidRPr="00CF336B" w:rsidRDefault="001476A2" w:rsidP="004D4361">
      <w:pPr>
        <w:spacing w:line="360" w:lineRule="auto"/>
        <w:rPr>
          <w:lang w:val="tr-TR"/>
        </w:rPr>
      </w:pPr>
    </w:p>
    <w:p w14:paraId="695CCD53" w14:textId="41F9048B" w:rsidR="00413DBB" w:rsidRPr="00CF336B" w:rsidRDefault="00B67466" w:rsidP="004D4361">
      <w:pPr>
        <w:spacing w:line="360" w:lineRule="auto"/>
        <w:jc w:val="both"/>
        <w:rPr>
          <w:lang w:val="tr-TR"/>
        </w:rPr>
      </w:pPr>
      <w:r w:rsidRPr="00CF336B">
        <w:rPr>
          <w:lang w:val="tr-TR"/>
        </w:rPr>
        <w:t>Geçmişten günümüze devamlı bir şekilde artan elektrik ihtiyacı ve ilerleyen dönemlerde elektrifikasyon</w:t>
      </w:r>
      <w:r w:rsidR="0030601E" w:rsidRPr="00CF336B">
        <w:rPr>
          <w:lang w:val="tr-TR"/>
        </w:rPr>
        <w:t>un getireceği</w:t>
      </w:r>
      <w:r w:rsidRPr="00CF336B">
        <w:rPr>
          <w:lang w:val="tr-TR"/>
        </w:rPr>
        <w:t xml:space="preserve"> ilave elektrik talebi</w:t>
      </w:r>
      <w:r w:rsidR="005B4AA6" w:rsidRPr="00CF336B">
        <w:rPr>
          <w:lang w:val="tr-TR"/>
        </w:rPr>
        <w:t>,</w:t>
      </w:r>
      <w:r w:rsidRPr="00CF336B">
        <w:rPr>
          <w:lang w:val="tr-TR"/>
        </w:rPr>
        <w:t xml:space="preserve"> ülkeleri </w:t>
      </w:r>
      <w:r w:rsidR="0034550C" w:rsidRPr="00CF336B">
        <w:rPr>
          <w:lang w:val="tr-TR"/>
        </w:rPr>
        <w:t xml:space="preserve">bu </w:t>
      </w:r>
      <w:r w:rsidRPr="00CF336B">
        <w:rPr>
          <w:lang w:val="tr-TR"/>
        </w:rPr>
        <w:t xml:space="preserve">konuda </w:t>
      </w:r>
      <w:r w:rsidR="0034550C" w:rsidRPr="00CF336B">
        <w:rPr>
          <w:lang w:val="tr-TR"/>
        </w:rPr>
        <w:t xml:space="preserve">daha detaylı </w:t>
      </w:r>
      <w:r w:rsidR="0030601E" w:rsidRPr="00CF336B">
        <w:rPr>
          <w:lang w:val="tr-TR"/>
        </w:rPr>
        <w:t>planlamalar yapma</w:t>
      </w:r>
      <w:r w:rsidR="0034550C" w:rsidRPr="00CF336B">
        <w:rPr>
          <w:lang w:val="tr-TR"/>
        </w:rPr>
        <w:t>k zorunda bırakmıştır.</w:t>
      </w:r>
      <w:r w:rsidR="0030601E" w:rsidRPr="00CF336B">
        <w:rPr>
          <w:lang w:val="tr-TR"/>
        </w:rPr>
        <w:t xml:space="preserve"> G</w:t>
      </w:r>
      <w:r w:rsidR="001360FC" w:rsidRPr="00CF336B">
        <w:rPr>
          <w:lang w:val="tr-TR"/>
        </w:rPr>
        <w:t>üvenilir ve doğru şekilde işleyen bir elektrik enerjisi sistemi</w:t>
      </w:r>
      <w:r w:rsidR="0005297F" w:rsidRPr="00CF336B">
        <w:rPr>
          <w:lang w:val="tr-TR"/>
        </w:rPr>
        <w:t>nin</w:t>
      </w:r>
      <w:r w:rsidR="001360FC" w:rsidRPr="00CF336B">
        <w:rPr>
          <w:lang w:val="tr-TR"/>
        </w:rPr>
        <w:t xml:space="preserve"> ve piyasaların</w:t>
      </w:r>
      <w:r w:rsidR="0034550C" w:rsidRPr="00CF336B">
        <w:rPr>
          <w:lang w:val="tr-TR"/>
        </w:rPr>
        <w:t>ın</w:t>
      </w:r>
      <w:r w:rsidR="001360FC" w:rsidRPr="00CF336B">
        <w:rPr>
          <w:lang w:val="tr-TR"/>
        </w:rPr>
        <w:t xml:space="preserve"> kurulması için bazı planlama kısıtlarının dikkate alınması gerekmektedir. </w:t>
      </w:r>
      <w:r w:rsidR="00E97D84" w:rsidRPr="00CF336B">
        <w:rPr>
          <w:lang w:val="tr-TR"/>
        </w:rPr>
        <w:t>Bu planlamalarda</w:t>
      </w:r>
      <w:r w:rsidR="00415894" w:rsidRPr="00CF336B">
        <w:rPr>
          <w:lang w:val="tr-TR"/>
        </w:rPr>
        <w:t>ki temel hedefler</w:t>
      </w:r>
      <w:r w:rsidR="00413DBB" w:rsidRPr="00CF336B">
        <w:rPr>
          <w:lang w:val="tr-TR"/>
        </w:rPr>
        <w:t>;</w:t>
      </w:r>
      <w:r w:rsidR="0074750C" w:rsidRPr="00CF336B">
        <w:rPr>
          <w:lang w:val="tr-TR"/>
        </w:rPr>
        <w:t xml:space="preserve"> </w:t>
      </w:r>
    </w:p>
    <w:p w14:paraId="64C8D287" w14:textId="0930232A" w:rsidR="00413DBB" w:rsidRPr="00CF336B" w:rsidRDefault="00413DBB" w:rsidP="004D4361">
      <w:pPr>
        <w:pStyle w:val="ListParagraph"/>
        <w:numPr>
          <w:ilvl w:val="0"/>
          <w:numId w:val="28"/>
        </w:numPr>
        <w:spacing w:line="360" w:lineRule="auto"/>
        <w:jc w:val="both"/>
        <w:rPr>
          <w:lang w:val="tr-TR"/>
        </w:rPr>
      </w:pPr>
      <w:r w:rsidRPr="00CF336B">
        <w:rPr>
          <w:lang w:val="tr-TR"/>
        </w:rPr>
        <w:t>Tüketimi</w:t>
      </w:r>
      <w:r w:rsidR="0074750C" w:rsidRPr="00CF336B">
        <w:rPr>
          <w:lang w:val="tr-TR"/>
        </w:rPr>
        <w:t xml:space="preserve"> karşılayacak</w:t>
      </w:r>
      <w:r w:rsidR="00866C63" w:rsidRPr="00CF336B">
        <w:rPr>
          <w:lang w:val="tr-TR"/>
        </w:rPr>
        <w:t xml:space="preserve"> güvenilir</w:t>
      </w:r>
      <w:r w:rsidR="0074750C" w:rsidRPr="00CF336B">
        <w:rPr>
          <w:lang w:val="tr-TR"/>
        </w:rPr>
        <w:t xml:space="preserve"> üretim kapasitesinin yaratılması</w:t>
      </w:r>
      <w:r w:rsidR="00604693" w:rsidRPr="00CF336B">
        <w:rPr>
          <w:lang w:val="tr-TR"/>
        </w:rPr>
        <w:t xml:space="preserve">, </w:t>
      </w:r>
    </w:p>
    <w:p w14:paraId="2005739F" w14:textId="16C1B8F5" w:rsidR="00413DBB" w:rsidRPr="00CF336B" w:rsidRDefault="00413DBB" w:rsidP="004D4361">
      <w:pPr>
        <w:pStyle w:val="ListParagraph"/>
        <w:numPr>
          <w:ilvl w:val="0"/>
          <w:numId w:val="28"/>
        </w:numPr>
        <w:spacing w:line="360" w:lineRule="auto"/>
        <w:jc w:val="both"/>
        <w:rPr>
          <w:lang w:val="tr-TR"/>
        </w:rPr>
      </w:pPr>
      <w:r w:rsidRPr="00CF336B">
        <w:rPr>
          <w:lang w:val="tr-TR"/>
        </w:rPr>
        <w:t>İklim</w:t>
      </w:r>
      <w:r w:rsidR="00604693" w:rsidRPr="00CF336B">
        <w:rPr>
          <w:lang w:val="tr-TR"/>
        </w:rPr>
        <w:t xml:space="preserve"> değişikliği hedeflerinin korunması</w:t>
      </w:r>
      <w:r w:rsidR="0074750C" w:rsidRPr="00CF336B">
        <w:rPr>
          <w:lang w:val="tr-TR"/>
        </w:rPr>
        <w:t xml:space="preserve"> ve </w:t>
      </w:r>
    </w:p>
    <w:p w14:paraId="1FB5639F" w14:textId="002FD2C9" w:rsidR="00413DBB" w:rsidRPr="00CF336B" w:rsidRDefault="00413DBB" w:rsidP="004D4361">
      <w:pPr>
        <w:pStyle w:val="ListParagraph"/>
        <w:numPr>
          <w:ilvl w:val="0"/>
          <w:numId w:val="28"/>
        </w:numPr>
        <w:spacing w:line="360" w:lineRule="auto"/>
        <w:jc w:val="both"/>
        <w:rPr>
          <w:lang w:val="tr-TR"/>
        </w:rPr>
      </w:pPr>
      <w:r w:rsidRPr="00CF336B">
        <w:rPr>
          <w:lang w:val="tr-TR"/>
        </w:rPr>
        <w:t>Elektriğin</w:t>
      </w:r>
      <w:r w:rsidR="0074750C" w:rsidRPr="00CF336B">
        <w:rPr>
          <w:lang w:val="tr-TR"/>
        </w:rPr>
        <w:t xml:space="preserve"> son tüketiciye en uygun fiyatla sağlanması</w:t>
      </w:r>
      <w:r w:rsidRPr="00CF336B">
        <w:rPr>
          <w:lang w:val="tr-TR"/>
        </w:rPr>
        <w:t xml:space="preserve"> olarak belirlenmiştir</w:t>
      </w:r>
      <w:r w:rsidR="00B274E6" w:rsidRPr="00CF336B">
        <w:rPr>
          <w:lang w:val="tr-TR"/>
        </w:rPr>
        <w:t xml:space="preserve">. </w:t>
      </w:r>
    </w:p>
    <w:p w14:paraId="751B4A76" w14:textId="6D18F66E" w:rsidR="00F636BE" w:rsidRPr="00CF336B" w:rsidRDefault="00413DBB" w:rsidP="004D4361">
      <w:pPr>
        <w:spacing w:line="360" w:lineRule="auto"/>
        <w:jc w:val="both"/>
        <w:rPr>
          <w:lang w:val="tr-TR"/>
        </w:rPr>
      </w:pPr>
      <w:r w:rsidRPr="00CF336B">
        <w:rPr>
          <w:lang w:val="tr-TR"/>
        </w:rPr>
        <w:t>K</w:t>
      </w:r>
      <w:r w:rsidR="00FF2786" w:rsidRPr="00CF336B">
        <w:rPr>
          <w:lang w:val="tr-TR"/>
        </w:rPr>
        <w:t xml:space="preserve">urulan sistemin yeni </w:t>
      </w:r>
      <w:r w:rsidR="00285274">
        <w:rPr>
          <w:lang w:val="tr-TR"/>
        </w:rPr>
        <w:t xml:space="preserve">ve </w:t>
      </w:r>
      <w:r w:rsidR="00877138">
        <w:rPr>
          <w:lang w:val="tr-TR"/>
        </w:rPr>
        <w:t>sürdürülebilir</w:t>
      </w:r>
      <w:r w:rsidR="00285274">
        <w:rPr>
          <w:lang w:val="tr-TR"/>
        </w:rPr>
        <w:t xml:space="preserve"> </w:t>
      </w:r>
      <w:r w:rsidR="00FF2786" w:rsidRPr="00CF336B">
        <w:rPr>
          <w:lang w:val="tr-TR"/>
        </w:rPr>
        <w:t>yatırımlar</w:t>
      </w:r>
      <w:r w:rsidR="00415894" w:rsidRPr="00CF336B">
        <w:rPr>
          <w:lang w:val="tr-TR"/>
        </w:rPr>
        <w:t>ı</w:t>
      </w:r>
      <w:r w:rsidR="00FF2786" w:rsidRPr="00CF336B">
        <w:rPr>
          <w:lang w:val="tr-TR"/>
        </w:rPr>
        <w:t xml:space="preserve"> </w:t>
      </w:r>
      <w:r w:rsidR="00415894" w:rsidRPr="00CF336B">
        <w:rPr>
          <w:lang w:val="tr-TR"/>
        </w:rPr>
        <w:t>mümkün kılacak</w:t>
      </w:r>
      <w:r w:rsidR="00FF2786" w:rsidRPr="00CF336B">
        <w:rPr>
          <w:lang w:val="tr-TR"/>
        </w:rPr>
        <w:t xml:space="preserve"> şekilde </w:t>
      </w:r>
      <w:r w:rsidR="003268DF" w:rsidRPr="00CF336B">
        <w:rPr>
          <w:lang w:val="tr-TR"/>
        </w:rPr>
        <w:t>tasarlanıp</w:t>
      </w:r>
      <w:r w:rsidR="00FF2786" w:rsidRPr="00CF336B">
        <w:rPr>
          <w:lang w:val="tr-TR"/>
        </w:rPr>
        <w:t xml:space="preserve"> işletilmesi de sistem sürekliliği açısından oldukça önem arz etmektedir.</w:t>
      </w:r>
    </w:p>
    <w:p w14:paraId="2847AA8C" w14:textId="73CAC23A" w:rsidR="007C42C9" w:rsidRPr="00CF336B" w:rsidRDefault="00EF6DFF" w:rsidP="004D4361">
      <w:pPr>
        <w:spacing w:line="360" w:lineRule="auto"/>
        <w:jc w:val="both"/>
        <w:rPr>
          <w:lang w:val="tr-TR"/>
        </w:rPr>
      </w:pPr>
      <w:r w:rsidRPr="00CF336B">
        <w:rPr>
          <w:lang w:val="tr-TR"/>
        </w:rPr>
        <w:t>E</w:t>
      </w:r>
      <w:r w:rsidR="003268DF" w:rsidRPr="00CF336B">
        <w:rPr>
          <w:lang w:val="tr-TR"/>
        </w:rPr>
        <w:t xml:space="preserve">lektrik şebekesi kalitesinin korunması için </w:t>
      </w:r>
      <w:r w:rsidR="00413DBB" w:rsidRPr="00CF336B">
        <w:rPr>
          <w:lang w:val="tr-TR"/>
        </w:rPr>
        <w:t xml:space="preserve">anlık elektrik </w:t>
      </w:r>
      <w:r w:rsidR="000E4270" w:rsidRPr="00CF336B">
        <w:rPr>
          <w:lang w:val="tr-TR"/>
        </w:rPr>
        <w:t>arzın</w:t>
      </w:r>
      <w:r w:rsidR="00413DBB" w:rsidRPr="00CF336B">
        <w:rPr>
          <w:lang w:val="tr-TR"/>
        </w:rPr>
        <w:t>ın mevcut</w:t>
      </w:r>
      <w:r w:rsidR="003268DF" w:rsidRPr="00CF336B">
        <w:rPr>
          <w:lang w:val="tr-TR"/>
        </w:rPr>
        <w:t xml:space="preserve"> talebi</w:t>
      </w:r>
      <w:r w:rsidR="00413DBB" w:rsidRPr="00CF336B">
        <w:rPr>
          <w:lang w:val="tr-TR"/>
        </w:rPr>
        <w:t xml:space="preserve"> </w:t>
      </w:r>
      <w:r w:rsidR="003268DF" w:rsidRPr="00CF336B">
        <w:rPr>
          <w:lang w:val="tr-TR"/>
        </w:rPr>
        <w:t>karşılayabil</w:t>
      </w:r>
      <w:r w:rsidR="00413DBB" w:rsidRPr="00CF336B">
        <w:rPr>
          <w:lang w:val="tr-TR"/>
        </w:rPr>
        <w:t>ir durumda olması</w:t>
      </w:r>
      <w:r w:rsidR="003268DF" w:rsidRPr="00CF336B">
        <w:rPr>
          <w:lang w:val="tr-TR"/>
        </w:rPr>
        <w:t xml:space="preserve"> </w:t>
      </w:r>
      <w:r w:rsidR="00911BD9" w:rsidRPr="00CF336B">
        <w:rPr>
          <w:lang w:val="tr-TR"/>
        </w:rPr>
        <w:t>gerekmektedir. Arzın talebi karşılayamadığı durumlarda</w:t>
      </w:r>
      <w:r w:rsidR="00413DBB" w:rsidRPr="00CF336B">
        <w:rPr>
          <w:lang w:val="tr-TR"/>
        </w:rPr>
        <w:t>, tüketicilere yönelik kesintiler uygulanmakta</w:t>
      </w:r>
      <w:r w:rsidR="00A279BF" w:rsidRPr="00CF336B">
        <w:rPr>
          <w:lang w:val="tr-TR"/>
        </w:rPr>
        <w:t>dır. B</w:t>
      </w:r>
      <w:r w:rsidR="00413DBB" w:rsidRPr="00CF336B">
        <w:rPr>
          <w:lang w:val="tr-TR"/>
        </w:rPr>
        <w:t>u</w:t>
      </w:r>
      <w:r w:rsidR="00A279BF" w:rsidRPr="00CF336B">
        <w:rPr>
          <w:lang w:val="tr-TR"/>
        </w:rPr>
        <w:t xml:space="preserve"> soruna sürdürülebilir bir çözüm bulunamaması durumunda</w:t>
      </w:r>
      <w:r w:rsidR="00413DBB" w:rsidRPr="00CF336B">
        <w:rPr>
          <w:lang w:val="tr-TR"/>
        </w:rPr>
        <w:t xml:space="preserve"> </w:t>
      </w:r>
      <w:r w:rsidR="00911BD9" w:rsidRPr="00CF336B">
        <w:rPr>
          <w:lang w:val="tr-TR"/>
        </w:rPr>
        <w:t>kesinti süreleri</w:t>
      </w:r>
      <w:r w:rsidR="00A279BF" w:rsidRPr="00CF336B">
        <w:rPr>
          <w:lang w:val="tr-TR"/>
        </w:rPr>
        <w:t>nin</w:t>
      </w:r>
      <w:r w:rsidR="00911BD9" w:rsidRPr="00CF336B">
        <w:rPr>
          <w:lang w:val="tr-TR"/>
        </w:rPr>
        <w:t xml:space="preserve"> ve sıklığı</w:t>
      </w:r>
      <w:r w:rsidR="00A279BF" w:rsidRPr="00CF336B">
        <w:rPr>
          <w:lang w:val="tr-TR"/>
        </w:rPr>
        <w:t>nın</w:t>
      </w:r>
      <w:r w:rsidR="00911BD9" w:rsidRPr="00CF336B">
        <w:rPr>
          <w:lang w:val="tr-TR"/>
        </w:rPr>
        <w:t xml:space="preserve"> artış gösterme</w:t>
      </w:r>
      <w:r w:rsidR="00A279BF" w:rsidRPr="00CF336B">
        <w:rPr>
          <w:lang w:val="tr-TR"/>
        </w:rPr>
        <w:t>si beklenme</w:t>
      </w:r>
      <w:r w:rsidR="00911BD9" w:rsidRPr="00CF336B">
        <w:rPr>
          <w:lang w:val="tr-TR"/>
        </w:rPr>
        <w:t xml:space="preserve">ktedir. </w:t>
      </w:r>
      <w:r w:rsidR="004F7BAF" w:rsidRPr="00CF336B">
        <w:rPr>
          <w:lang w:val="tr-TR"/>
        </w:rPr>
        <w:t xml:space="preserve">Arzın devamlılığının sağlanması </w:t>
      </w:r>
      <w:r w:rsidR="007B1AD8" w:rsidRPr="00CF336B">
        <w:rPr>
          <w:lang w:val="tr-TR"/>
        </w:rPr>
        <w:t xml:space="preserve">ve </w:t>
      </w:r>
      <w:r w:rsidR="00E702A2" w:rsidRPr="00CF336B">
        <w:rPr>
          <w:lang w:val="tr-TR"/>
        </w:rPr>
        <w:t xml:space="preserve">kesintilerin önlenebilmesi </w:t>
      </w:r>
      <w:r w:rsidR="004F7BAF" w:rsidRPr="00CF336B">
        <w:rPr>
          <w:lang w:val="tr-TR"/>
        </w:rPr>
        <w:t>için</w:t>
      </w:r>
      <w:r w:rsidR="00E702A2" w:rsidRPr="00CF336B">
        <w:rPr>
          <w:lang w:val="tr-TR"/>
        </w:rPr>
        <w:t xml:space="preserve"> yeterli kapasitenin sistemde hazır olması gerekmektedir. </w:t>
      </w:r>
      <w:r w:rsidR="003D1CB7" w:rsidRPr="00CF336B">
        <w:rPr>
          <w:lang w:val="tr-TR"/>
        </w:rPr>
        <w:t xml:space="preserve">Özellikle güneş ve </w:t>
      </w:r>
      <w:r w:rsidR="00415894" w:rsidRPr="00CF336B">
        <w:rPr>
          <w:lang w:val="tr-TR"/>
        </w:rPr>
        <w:t>rüzgâr</w:t>
      </w:r>
      <w:r w:rsidR="003D1CB7" w:rsidRPr="00CF336B">
        <w:rPr>
          <w:lang w:val="tr-TR"/>
        </w:rPr>
        <w:t xml:space="preserve"> gibi hava koşullarına bağlı olarak </w:t>
      </w:r>
      <w:r w:rsidR="00415894" w:rsidRPr="00CF336B">
        <w:rPr>
          <w:lang w:val="tr-TR"/>
        </w:rPr>
        <w:t xml:space="preserve">üretimi </w:t>
      </w:r>
      <w:r w:rsidR="003D1CB7" w:rsidRPr="00CF336B">
        <w:rPr>
          <w:lang w:val="tr-TR"/>
        </w:rPr>
        <w:t>değiş</w:t>
      </w:r>
      <w:r w:rsidR="00415894" w:rsidRPr="00CF336B">
        <w:rPr>
          <w:lang w:val="tr-TR"/>
        </w:rPr>
        <w:t>k</w:t>
      </w:r>
      <w:r w:rsidR="003D1CB7" w:rsidRPr="00CF336B">
        <w:rPr>
          <w:lang w:val="tr-TR"/>
        </w:rPr>
        <w:t>en</w:t>
      </w:r>
      <w:r w:rsidR="00415894" w:rsidRPr="00CF336B">
        <w:rPr>
          <w:lang w:val="tr-TR"/>
        </w:rPr>
        <w:t>lik gösteren</w:t>
      </w:r>
      <w:r w:rsidR="003D1CB7" w:rsidRPr="00CF336B">
        <w:rPr>
          <w:lang w:val="tr-TR"/>
        </w:rPr>
        <w:t xml:space="preserve"> </w:t>
      </w:r>
      <w:r w:rsidR="0034550C" w:rsidRPr="00CF336B">
        <w:rPr>
          <w:lang w:val="tr-TR"/>
        </w:rPr>
        <w:t xml:space="preserve">kesintili </w:t>
      </w:r>
      <w:r w:rsidR="003D1CB7" w:rsidRPr="00CF336B">
        <w:rPr>
          <w:lang w:val="tr-TR"/>
        </w:rPr>
        <w:t xml:space="preserve">yenilenebilir enerji kaynaklarının </w:t>
      </w:r>
      <w:r w:rsidR="00A279BF" w:rsidRPr="00CF336B">
        <w:rPr>
          <w:lang w:val="tr-TR"/>
        </w:rPr>
        <w:t xml:space="preserve">toplam elektrik üretimindeki </w:t>
      </w:r>
      <w:r w:rsidR="00E639C9" w:rsidRPr="00CF336B">
        <w:rPr>
          <w:lang w:val="tr-TR"/>
        </w:rPr>
        <w:t xml:space="preserve">payının artması, sistemdeki arz güvenliğinin sağlanması için güvenilir yedek kapasite ihtiyacını da beraberinde getirmektedir. </w:t>
      </w:r>
      <w:r w:rsidR="004F7BAF" w:rsidRPr="00CF336B">
        <w:rPr>
          <w:lang w:val="tr-TR"/>
        </w:rPr>
        <w:t xml:space="preserve"> </w:t>
      </w:r>
    </w:p>
    <w:p w14:paraId="390FE207" w14:textId="3DE59BB4" w:rsidR="00A4651D" w:rsidRPr="00CF336B" w:rsidRDefault="00415894" w:rsidP="004D4361">
      <w:pPr>
        <w:spacing w:line="360" w:lineRule="auto"/>
        <w:jc w:val="both"/>
        <w:rPr>
          <w:lang w:val="tr-TR"/>
        </w:rPr>
      </w:pPr>
      <w:r w:rsidRPr="00CF336B">
        <w:rPr>
          <w:lang w:val="tr-TR"/>
        </w:rPr>
        <w:t>Arz güvenliğinin sağlanmasında</w:t>
      </w:r>
      <w:r w:rsidR="003A1D24" w:rsidRPr="00CF336B">
        <w:rPr>
          <w:lang w:val="tr-TR"/>
        </w:rPr>
        <w:t xml:space="preserve"> halihazırda kurulmuş olan santrallerin sistemde devamlılığının sağlanması önemli bir husus olarak ortaya çıkmaktadır. “Energy-</w:t>
      </w:r>
      <w:proofErr w:type="spellStart"/>
      <w:r w:rsidR="003A1D24" w:rsidRPr="00CF336B">
        <w:rPr>
          <w:lang w:val="tr-TR"/>
        </w:rPr>
        <w:t>only</w:t>
      </w:r>
      <w:proofErr w:type="spellEnd"/>
      <w:r w:rsidR="003A1D24" w:rsidRPr="00CF336B">
        <w:rPr>
          <w:lang w:val="tr-TR"/>
        </w:rPr>
        <w:t xml:space="preserve">” olarak tanımlanan piyasa yapısında </w:t>
      </w:r>
      <w:r w:rsidR="000E4270" w:rsidRPr="00CF336B">
        <w:rPr>
          <w:lang w:val="tr-TR"/>
        </w:rPr>
        <w:t>santraller</w:t>
      </w:r>
      <w:r w:rsidR="00A279BF" w:rsidRPr="00CF336B">
        <w:rPr>
          <w:lang w:val="tr-TR"/>
        </w:rPr>
        <w:t>,</w:t>
      </w:r>
      <w:r w:rsidR="000E4270" w:rsidRPr="00CF336B">
        <w:rPr>
          <w:lang w:val="tr-TR"/>
        </w:rPr>
        <w:t xml:space="preserve"> </w:t>
      </w:r>
      <w:r w:rsidR="00335057" w:rsidRPr="00CF336B">
        <w:rPr>
          <w:lang w:val="tr-TR"/>
        </w:rPr>
        <w:t>başka hiçbir teşvik</w:t>
      </w:r>
      <w:r w:rsidR="00A279BF" w:rsidRPr="00CF336B">
        <w:rPr>
          <w:lang w:val="tr-TR"/>
        </w:rPr>
        <w:t xml:space="preserve"> veya </w:t>
      </w:r>
      <w:r w:rsidR="00335057" w:rsidRPr="00CF336B">
        <w:rPr>
          <w:lang w:val="tr-TR"/>
        </w:rPr>
        <w:t>ek ödeme alma</w:t>
      </w:r>
      <w:r w:rsidR="00A279BF" w:rsidRPr="00CF336B">
        <w:rPr>
          <w:lang w:val="tr-TR"/>
        </w:rPr>
        <w:t>dan,</w:t>
      </w:r>
      <w:r w:rsidR="00DD2A81" w:rsidRPr="00CF336B">
        <w:rPr>
          <w:lang w:val="tr-TR"/>
        </w:rPr>
        <w:t xml:space="preserve"> </w:t>
      </w:r>
      <w:r w:rsidR="000E4270" w:rsidRPr="00CF336B">
        <w:rPr>
          <w:lang w:val="tr-TR"/>
        </w:rPr>
        <w:t xml:space="preserve">yalnızca arz ve talep dinamiklerine göre oluşan fiyat üzerinden </w:t>
      </w:r>
      <w:r w:rsidR="00B53A66" w:rsidRPr="00CF336B">
        <w:rPr>
          <w:lang w:val="tr-TR"/>
        </w:rPr>
        <w:t xml:space="preserve">gelir elde etmektedirler. Bu </w:t>
      </w:r>
      <w:r w:rsidR="00A02CD6" w:rsidRPr="00CF336B">
        <w:rPr>
          <w:lang w:val="tr-TR"/>
        </w:rPr>
        <w:t>koşullar altında</w:t>
      </w:r>
      <w:r w:rsidR="00FC0D82" w:rsidRPr="00CF336B">
        <w:rPr>
          <w:lang w:val="tr-TR"/>
        </w:rPr>
        <w:t xml:space="preserve"> </w:t>
      </w:r>
      <w:r w:rsidR="00B53A66" w:rsidRPr="00CF336B">
        <w:rPr>
          <w:lang w:val="tr-TR"/>
        </w:rPr>
        <w:t>santrallerin piyasadan kazandıkları gelir</w:t>
      </w:r>
      <w:r w:rsidR="00A279BF" w:rsidRPr="00CF336B">
        <w:rPr>
          <w:lang w:val="tr-TR"/>
        </w:rPr>
        <w:t>,</w:t>
      </w:r>
      <w:r w:rsidR="00FC0D82" w:rsidRPr="00CF336B">
        <w:rPr>
          <w:lang w:val="tr-TR"/>
        </w:rPr>
        <w:t xml:space="preserve"> </w:t>
      </w:r>
      <w:r w:rsidR="00A02CD6" w:rsidRPr="00CF336B">
        <w:rPr>
          <w:lang w:val="tr-TR"/>
        </w:rPr>
        <w:t xml:space="preserve">bu santrallerin </w:t>
      </w:r>
      <w:r w:rsidR="00FC0D82" w:rsidRPr="00CF336B">
        <w:rPr>
          <w:lang w:val="tr-TR"/>
        </w:rPr>
        <w:t xml:space="preserve">varlıklarını sürdürebilmeleri için </w:t>
      </w:r>
      <w:r w:rsidR="00A02CD6" w:rsidRPr="00CF336B">
        <w:rPr>
          <w:lang w:val="tr-TR"/>
        </w:rPr>
        <w:t>kritik bir öneme sahiptir</w:t>
      </w:r>
      <w:r w:rsidR="001B0EF7" w:rsidRPr="00CF336B">
        <w:rPr>
          <w:lang w:val="tr-TR"/>
        </w:rPr>
        <w:t>.</w:t>
      </w:r>
      <w:r w:rsidR="00361C1E" w:rsidRPr="00CF336B">
        <w:rPr>
          <w:lang w:val="tr-TR"/>
        </w:rPr>
        <w:t xml:space="preserve"> </w:t>
      </w:r>
      <w:r w:rsidR="00014022" w:rsidRPr="00CF336B">
        <w:rPr>
          <w:lang w:val="tr-TR"/>
        </w:rPr>
        <w:t>Serbest piyasa koşullarının sağlandığı rekabetçi ortamda üreticiler</w:t>
      </w:r>
      <w:r w:rsidR="00250DA1" w:rsidRPr="00CF336B">
        <w:rPr>
          <w:lang w:val="tr-TR"/>
        </w:rPr>
        <w:t>,</w:t>
      </w:r>
      <w:r w:rsidR="00014022" w:rsidRPr="00CF336B">
        <w:rPr>
          <w:lang w:val="tr-TR"/>
        </w:rPr>
        <w:t xml:space="preserve"> ürettikleri birim elektrik için bir fiyat bel</w:t>
      </w:r>
      <w:r w:rsidR="00421693" w:rsidRPr="00CF336B">
        <w:rPr>
          <w:lang w:val="tr-TR"/>
        </w:rPr>
        <w:t>irlemekte ve tüm üreticilerin piyasaya teklif ettikleri maliyetlerin</w:t>
      </w:r>
      <w:r w:rsidR="00EF4507" w:rsidRPr="00CF336B">
        <w:rPr>
          <w:lang w:val="tr-TR"/>
        </w:rPr>
        <w:t xml:space="preserve"> sıralandığı “</w:t>
      </w:r>
      <w:proofErr w:type="spellStart"/>
      <w:r w:rsidR="00EF4507" w:rsidRPr="00CF336B">
        <w:rPr>
          <w:lang w:val="tr-TR"/>
        </w:rPr>
        <w:t>merit-order</w:t>
      </w:r>
      <w:proofErr w:type="spellEnd"/>
      <w:r w:rsidR="00EF4507" w:rsidRPr="00CF336B">
        <w:rPr>
          <w:lang w:val="tr-TR"/>
        </w:rPr>
        <w:t>” düzeni oluşturulmaktadır. Bu sıralamada</w:t>
      </w:r>
      <w:r w:rsidR="00157679" w:rsidRPr="00CF336B">
        <w:rPr>
          <w:lang w:val="tr-TR"/>
        </w:rPr>
        <w:t xml:space="preserve"> </w:t>
      </w:r>
      <w:r w:rsidR="00A02CD6" w:rsidRPr="00CF336B">
        <w:rPr>
          <w:lang w:val="tr-TR"/>
        </w:rPr>
        <w:t>piyasa takas fiyatı</w:t>
      </w:r>
      <w:r w:rsidR="00A279BF" w:rsidRPr="00CF336B">
        <w:rPr>
          <w:lang w:val="tr-TR"/>
        </w:rPr>
        <w:t>,</w:t>
      </w:r>
      <w:r w:rsidR="00A02CD6" w:rsidRPr="00CF336B">
        <w:rPr>
          <w:lang w:val="tr-TR"/>
        </w:rPr>
        <w:t xml:space="preserve"> </w:t>
      </w:r>
      <w:r w:rsidR="0096078B" w:rsidRPr="00CF336B">
        <w:rPr>
          <w:lang w:val="tr-TR"/>
        </w:rPr>
        <w:t xml:space="preserve">arz ve talebin kesiştiği noktada </w:t>
      </w:r>
      <w:r w:rsidR="00A02CD6" w:rsidRPr="00CF336B">
        <w:rPr>
          <w:lang w:val="tr-TR"/>
        </w:rPr>
        <w:t>belirlenmektedir</w:t>
      </w:r>
      <w:r w:rsidR="0096078B" w:rsidRPr="00CF336B">
        <w:rPr>
          <w:lang w:val="tr-TR"/>
        </w:rPr>
        <w:t xml:space="preserve">. </w:t>
      </w:r>
      <w:proofErr w:type="spellStart"/>
      <w:r w:rsidR="00CE0FFE" w:rsidRPr="00CF336B">
        <w:rPr>
          <w:lang w:val="tr-TR"/>
        </w:rPr>
        <w:t>Merit-order</w:t>
      </w:r>
      <w:proofErr w:type="spellEnd"/>
      <w:r w:rsidR="00CE0FFE" w:rsidRPr="00CF336B">
        <w:rPr>
          <w:lang w:val="tr-TR"/>
        </w:rPr>
        <w:t xml:space="preserve"> yapısında üreticiler</w:t>
      </w:r>
      <w:r w:rsidR="00762EF1" w:rsidRPr="00CF336B">
        <w:rPr>
          <w:lang w:val="tr-TR"/>
        </w:rPr>
        <w:t xml:space="preserve">, </w:t>
      </w:r>
      <w:r w:rsidR="00CE0FFE" w:rsidRPr="00CF336B">
        <w:rPr>
          <w:lang w:val="tr-TR"/>
        </w:rPr>
        <w:t xml:space="preserve">sundukları tekliflerde </w:t>
      </w:r>
      <w:r w:rsidR="00B914BC" w:rsidRPr="00CF336B">
        <w:rPr>
          <w:lang w:val="tr-TR"/>
        </w:rPr>
        <w:t xml:space="preserve">yakıt ve </w:t>
      </w:r>
      <w:r w:rsidR="00AF4CB3" w:rsidRPr="00CF336B">
        <w:rPr>
          <w:lang w:val="tr-TR"/>
        </w:rPr>
        <w:t xml:space="preserve">diğer </w:t>
      </w:r>
      <w:r w:rsidR="00B914BC" w:rsidRPr="00CF336B">
        <w:rPr>
          <w:lang w:val="tr-TR"/>
        </w:rPr>
        <w:t>işletme giderleri</w:t>
      </w:r>
      <w:r w:rsidR="00BE18DD" w:rsidRPr="00CF336B">
        <w:rPr>
          <w:lang w:val="tr-TR"/>
        </w:rPr>
        <w:t xml:space="preserve">ni </w:t>
      </w:r>
      <w:r w:rsidR="0086114C" w:rsidRPr="00CF336B">
        <w:rPr>
          <w:lang w:val="tr-TR"/>
        </w:rPr>
        <w:t xml:space="preserve">baz </w:t>
      </w:r>
      <w:r w:rsidR="00BE18DD" w:rsidRPr="00CF336B">
        <w:rPr>
          <w:lang w:val="tr-TR"/>
        </w:rPr>
        <w:t>al</w:t>
      </w:r>
      <w:r w:rsidR="0086114C" w:rsidRPr="00CF336B">
        <w:rPr>
          <w:lang w:val="tr-TR"/>
        </w:rPr>
        <w:t>arak hesapladıkları kısa dönem marjinal maliyeti dikkate alm</w:t>
      </w:r>
      <w:r w:rsidR="00BE18DD" w:rsidRPr="00CF336B">
        <w:rPr>
          <w:lang w:val="tr-TR"/>
        </w:rPr>
        <w:t>aktadırlar</w:t>
      </w:r>
      <w:r w:rsidR="00B914BC" w:rsidRPr="00CF336B">
        <w:rPr>
          <w:lang w:val="tr-TR"/>
        </w:rPr>
        <w:t xml:space="preserve">. </w:t>
      </w:r>
      <w:r w:rsidR="005836F0" w:rsidRPr="00CF336B">
        <w:rPr>
          <w:lang w:val="tr-TR"/>
        </w:rPr>
        <w:t>Bu santrallerin sabit giderleri ise piyasa</w:t>
      </w:r>
      <w:r w:rsidR="00B914BC" w:rsidRPr="00CF336B">
        <w:rPr>
          <w:lang w:val="tr-TR"/>
        </w:rPr>
        <w:t xml:space="preserve"> </w:t>
      </w:r>
      <w:r w:rsidR="0086114C" w:rsidRPr="00CF336B">
        <w:rPr>
          <w:lang w:val="tr-TR"/>
        </w:rPr>
        <w:t>takas fiyatı ile santralin marjinal maliyeti arasındaki fark ile karşılanmaya çalışılmaktadır. Teklifi kabul edilen santraller ilgili saat için üretim yapmakta ve gelir elde etmektedir.</w:t>
      </w:r>
      <w:r w:rsidR="001B4989" w:rsidRPr="00CF336B">
        <w:rPr>
          <w:lang w:val="tr-TR"/>
        </w:rPr>
        <w:t xml:space="preserve"> </w:t>
      </w:r>
      <w:r w:rsidR="00A427EE" w:rsidRPr="00CF336B">
        <w:rPr>
          <w:lang w:val="tr-TR"/>
        </w:rPr>
        <w:t xml:space="preserve">   </w:t>
      </w:r>
    </w:p>
    <w:p w14:paraId="51256A9D" w14:textId="1C2DB8EE" w:rsidR="007229CD" w:rsidRPr="00CF336B" w:rsidRDefault="000E4270" w:rsidP="004D4361">
      <w:pPr>
        <w:spacing w:line="360" w:lineRule="auto"/>
        <w:jc w:val="both"/>
        <w:rPr>
          <w:lang w:val="tr-TR"/>
        </w:rPr>
      </w:pPr>
      <w:r w:rsidRPr="00CF336B">
        <w:rPr>
          <w:lang w:val="tr-TR"/>
        </w:rPr>
        <w:t xml:space="preserve">Güvenilir bir elektrik şebekesinde elektrik arzının her daim talebi karşılaması beklenmektedir. </w:t>
      </w:r>
      <w:r w:rsidR="00541ABF" w:rsidRPr="00CF336B">
        <w:rPr>
          <w:lang w:val="tr-TR"/>
        </w:rPr>
        <w:t>Elektrik a</w:t>
      </w:r>
      <w:r w:rsidR="00021E31" w:rsidRPr="00CF336B">
        <w:rPr>
          <w:lang w:val="tr-TR"/>
        </w:rPr>
        <w:t>rzın</w:t>
      </w:r>
      <w:r w:rsidR="00541ABF" w:rsidRPr="00CF336B">
        <w:rPr>
          <w:lang w:val="tr-TR"/>
        </w:rPr>
        <w:t>ın</w:t>
      </w:r>
      <w:r w:rsidR="00021E31" w:rsidRPr="00CF336B">
        <w:rPr>
          <w:lang w:val="tr-TR"/>
        </w:rPr>
        <w:t xml:space="preserve"> talebi karşıladığı dönemlerde piyasa takas fiyatı</w:t>
      </w:r>
      <w:r w:rsidR="00541ABF" w:rsidRPr="00CF336B">
        <w:rPr>
          <w:lang w:val="tr-TR"/>
        </w:rPr>
        <w:t>,</w:t>
      </w:r>
      <w:r w:rsidR="00021E31" w:rsidRPr="00CF336B">
        <w:rPr>
          <w:lang w:val="tr-TR"/>
        </w:rPr>
        <w:t xml:space="preserve"> arz ve talebin kesiştiği noktada, elektrik üretimi yapan son santralin marjinal maliyeti olarak </w:t>
      </w:r>
      <w:r w:rsidR="00A279BF" w:rsidRPr="00CF336B">
        <w:rPr>
          <w:lang w:val="tr-TR"/>
        </w:rPr>
        <w:t>belirlenmektedir.</w:t>
      </w:r>
      <w:r w:rsidR="00021E31" w:rsidRPr="00CF336B">
        <w:rPr>
          <w:lang w:val="tr-TR"/>
        </w:rPr>
        <w:t xml:space="preserve"> Bu durumun tam tersi koşullar oluştuğunda yani arzın talebi karşılamakta yeterli olmadığı durumda piyasa takas fiyatı, fiyat üst limitinde gerçekleş</w:t>
      </w:r>
      <w:r w:rsidR="00A279BF" w:rsidRPr="00CF336B">
        <w:rPr>
          <w:lang w:val="tr-TR"/>
        </w:rPr>
        <w:t>mekte</w:t>
      </w:r>
      <w:r w:rsidR="00021E31" w:rsidRPr="00CF336B">
        <w:rPr>
          <w:lang w:val="tr-TR"/>
        </w:rPr>
        <w:t xml:space="preserve"> ve arzın yeterli olamadığı talep miktarı için kesinti uygulan</w:t>
      </w:r>
      <w:r w:rsidR="00A279BF" w:rsidRPr="00CF336B">
        <w:rPr>
          <w:lang w:val="tr-TR"/>
        </w:rPr>
        <w:t>maktad</w:t>
      </w:r>
      <w:r w:rsidR="00021E31" w:rsidRPr="00CF336B">
        <w:rPr>
          <w:lang w:val="tr-TR"/>
        </w:rPr>
        <w:t xml:space="preserve">ır. </w:t>
      </w:r>
      <w:r w:rsidR="00541ABF" w:rsidRPr="00CF336B">
        <w:rPr>
          <w:lang w:val="tr-TR"/>
        </w:rPr>
        <w:t>Elektrik talebinin yüksek, arzının ise düşük seviyede olduğu “kıtlık” (</w:t>
      </w:r>
      <w:proofErr w:type="spellStart"/>
      <w:r w:rsidR="00541ABF" w:rsidRPr="00CF336B">
        <w:rPr>
          <w:lang w:val="tr-TR"/>
        </w:rPr>
        <w:t>scarcity</w:t>
      </w:r>
      <w:proofErr w:type="spellEnd"/>
      <w:r w:rsidR="00541ABF" w:rsidRPr="00CF336B">
        <w:rPr>
          <w:lang w:val="tr-TR"/>
        </w:rPr>
        <w:t xml:space="preserve">) koşullarında santrallerin elde edecekleri gelir artmaktadır. Özellikle puant talebin oluştuğu dönemlerde çalışan santraller dikkate alındığında, kıtlık koşullarında elde edilen gelirlerin santrallerin toplam gelirlerinde önemli bir yeri olduğu bilinmektedir </w:t>
      </w:r>
      <w:sdt>
        <w:sdtPr>
          <w:rPr>
            <w:lang w:val="tr-TR"/>
          </w:rPr>
          <w:id w:val="-739328960"/>
          <w:citation/>
        </w:sdtPr>
        <w:sdtEndPr/>
        <w:sdtContent>
          <w:r w:rsidR="00541ABF" w:rsidRPr="00CF336B">
            <w:rPr>
              <w:lang w:val="tr-TR"/>
            </w:rPr>
            <w:fldChar w:fldCharType="begin"/>
          </w:r>
          <w:r w:rsidR="00541ABF" w:rsidRPr="008A77BA">
            <w:rPr>
              <w:lang w:val="tr-TR"/>
            </w:rPr>
            <w:instrText xml:space="preserve"> CITATION FTI16 \l 1033 </w:instrText>
          </w:r>
          <w:r w:rsidR="00541ABF" w:rsidRPr="00CF336B">
            <w:rPr>
              <w:lang w:val="tr-TR"/>
            </w:rPr>
            <w:fldChar w:fldCharType="separate"/>
          </w:r>
          <w:r w:rsidR="00D95FF7" w:rsidRPr="00D95FF7">
            <w:rPr>
              <w:noProof/>
              <w:lang w:val="tr-TR"/>
            </w:rPr>
            <w:t>(FTI CL Energy, 2016)</w:t>
          </w:r>
          <w:r w:rsidR="00541ABF" w:rsidRPr="00CF336B">
            <w:rPr>
              <w:lang w:val="tr-TR"/>
            </w:rPr>
            <w:fldChar w:fldCharType="end"/>
          </w:r>
        </w:sdtContent>
      </w:sdt>
      <w:r w:rsidR="00541ABF" w:rsidRPr="00CF336B">
        <w:rPr>
          <w:lang w:val="tr-TR"/>
        </w:rPr>
        <w:t xml:space="preserve">. </w:t>
      </w:r>
      <w:r w:rsidR="00021E31" w:rsidRPr="00CF336B">
        <w:rPr>
          <w:lang w:val="tr-TR"/>
        </w:rPr>
        <w:t xml:space="preserve">Normal koşullarda ve kıtlık koşullarında oluşan fiyat </w:t>
      </w:r>
      <w:r w:rsidR="00021E31" w:rsidRPr="00CF336B">
        <w:rPr>
          <w:lang w:val="tr-TR"/>
        </w:rPr>
        <w:fldChar w:fldCharType="begin"/>
      </w:r>
      <w:r w:rsidR="00021E31" w:rsidRPr="00CF336B">
        <w:rPr>
          <w:lang w:val="tr-TR"/>
        </w:rPr>
        <w:instrText xml:space="preserve"> REF _Ref149038389 \h </w:instrText>
      </w:r>
      <w:r w:rsidR="00413DBB" w:rsidRPr="00CF336B">
        <w:rPr>
          <w:lang w:val="tr-TR"/>
        </w:rPr>
        <w:instrText xml:space="preserve"> \* MERGEFORMAT </w:instrText>
      </w:r>
      <w:r w:rsidR="00021E31" w:rsidRPr="00CF336B">
        <w:rPr>
          <w:lang w:val="tr-TR"/>
        </w:rPr>
      </w:r>
      <w:r w:rsidR="00021E31" w:rsidRPr="00CF336B">
        <w:rPr>
          <w:lang w:val="tr-TR"/>
        </w:rPr>
        <w:fldChar w:fldCharType="separate"/>
      </w:r>
      <w:r w:rsidR="00021E31" w:rsidRPr="008A77BA">
        <w:rPr>
          <w:lang w:val="tr-TR"/>
        </w:rPr>
        <w:t xml:space="preserve">Şekil </w:t>
      </w:r>
      <w:r w:rsidR="00021E31" w:rsidRPr="008A77BA">
        <w:rPr>
          <w:noProof/>
          <w:lang w:val="tr-TR"/>
        </w:rPr>
        <w:t>1</w:t>
      </w:r>
      <w:r w:rsidR="00021E31" w:rsidRPr="00CF336B">
        <w:rPr>
          <w:lang w:val="tr-TR"/>
        </w:rPr>
        <w:fldChar w:fldCharType="end"/>
      </w:r>
      <w:r w:rsidR="00021E31" w:rsidRPr="00CF336B">
        <w:rPr>
          <w:lang w:val="tr-TR"/>
        </w:rPr>
        <w:t>’de gösterilmektedir.</w:t>
      </w:r>
    </w:p>
    <w:p w14:paraId="5814E8F5" w14:textId="257F578A" w:rsidR="00021E31" w:rsidRPr="008A77BA" w:rsidRDefault="00021E31" w:rsidP="004D4361">
      <w:pPr>
        <w:keepNext/>
        <w:spacing w:line="360" w:lineRule="auto"/>
        <w:jc w:val="center"/>
        <w:rPr>
          <w:lang w:val="tr-TR"/>
        </w:rPr>
      </w:pPr>
      <w:r w:rsidRPr="008A77BA">
        <w:rPr>
          <w:noProof/>
          <w:lang w:val="tr-TR"/>
        </w:rPr>
        <w:drawing>
          <wp:inline distT="0" distB="0" distL="0" distR="0" wp14:anchorId="10929A91" wp14:editId="01E02161">
            <wp:extent cx="5943600" cy="2379345"/>
            <wp:effectExtent l="0" t="0" r="0" b="1905"/>
            <wp:docPr id="2027461940" name="Picture 2027461940"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61940" name="Picture 1" descr="A diagram of a diagram of a diagram&#10;&#10;Description automatically generated with medium confidence"/>
                    <pic:cNvPicPr/>
                  </pic:nvPicPr>
                  <pic:blipFill>
                    <a:blip r:embed="rId14"/>
                    <a:stretch>
                      <a:fillRect/>
                    </a:stretch>
                  </pic:blipFill>
                  <pic:spPr>
                    <a:xfrm>
                      <a:off x="0" y="0"/>
                      <a:ext cx="5943600" cy="2379345"/>
                    </a:xfrm>
                    <a:prstGeom prst="rect">
                      <a:avLst/>
                    </a:prstGeom>
                  </pic:spPr>
                </pic:pic>
              </a:graphicData>
            </a:graphic>
          </wp:inline>
        </w:drawing>
      </w:r>
    </w:p>
    <w:p w14:paraId="0823DB24" w14:textId="502701EE" w:rsidR="007229CD" w:rsidRPr="008A77BA" w:rsidRDefault="00021E31" w:rsidP="004D4361">
      <w:pPr>
        <w:pStyle w:val="Caption"/>
        <w:spacing w:line="360" w:lineRule="auto"/>
        <w:jc w:val="center"/>
        <w:rPr>
          <w:lang w:val="tr-TR"/>
        </w:rPr>
      </w:pPr>
      <w:bookmarkStart w:id="7" w:name="_Ref149038389"/>
      <w:bookmarkStart w:id="8" w:name="_Toc156210455"/>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1</w:t>
      </w:r>
      <w:r w:rsidRPr="008A77BA">
        <w:rPr>
          <w:color w:val="auto"/>
          <w:sz w:val="22"/>
          <w:szCs w:val="22"/>
          <w:lang w:val="tr-TR"/>
        </w:rPr>
        <w:fldChar w:fldCharType="end"/>
      </w:r>
      <w:bookmarkEnd w:id="7"/>
      <w:r w:rsidRPr="008A77BA">
        <w:rPr>
          <w:color w:val="auto"/>
          <w:sz w:val="22"/>
          <w:szCs w:val="22"/>
          <w:lang w:val="tr-TR"/>
        </w:rPr>
        <w:t>. Normal Koşullarda ve Kıtlık Koşullarında Fiyat Oluşumu</w:t>
      </w:r>
      <w:bookmarkEnd w:id="8"/>
    </w:p>
    <w:p w14:paraId="3777CA63" w14:textId="1C64CEB9" w:rsidR="0096078B" w:rsidRPr="00CF336B" w:rsidRDefault="00C25F5D" w:rsidP="004D4361">
      <w:pPr>
        <w:spacing w:line="360" w:lineRule="auto"/>
        <w:jc w:val="both"/>
        <w:rPr>
          <w:lang w:val="tr-TR"/>
        </w:rPr>
      </w:pPr>
      <w:r w:rsidRPr="00CF336B">
        <w:rPr>
          <w:lang w:val="tr-TR"/>
        </w:rPr>
        <w:t>Kıtlık koşullarının oluştuğu dönemlerde</w:t>
      </w:r>
      <w:r w:rsidR="003B6946" w:rsidRPr="00CF336B">
        <w:rPr>
          <w:lang w:val="tr-TR"/>
        </w:rPr>
        <w:t>,</w:t>
      </w:r>
      <w:r w:rsidR="0072600F" w:rsidRPr="00CF336B">
        <w:rPr>
          <w:lang w:val="tr-TR"/>
        </w:rPr>
        <w:t xml:space="preserve"> elektrik fiyatlarının çok yükselmesinin </w:t>
      </w:r>
      <w:r w:rsidR="00033DE5" w:rsidRPr="00CF336B">
        <w:rPr>
          <w:lang w:val="tr-TR"/>
        </w:rPr>
        <w:t>diğer bir deyişle “</w:t>
      </w:r>
      <w:proofErr w:type="spellStart"/>
      <w:r w:rsidR="00033DE5" w:rsidRPr="00CF336B">
        <w:rPr>
          <w:lang w:val="tr-TR"/>
        </w:rPr>
        <w:t>scarcity</w:t>
      </w:r>
      <w:proofErr w:type="spellEnd"/>
      <w:r w:rsidR="00033DE5" w:rsidRPr="00CF336B">
        <w:rPr>
          <w:lang w:val="tr-TR"/>
        </w:rPr>
        <w:t xml:space="preserve"> </w:t>
      </w:r>
      <w:proofErr w:type="spellStart"/>
      <w:r w:rsidR="00033DE5" w:rsidRPr="00CF336B">
        <w:rPr>
          <w:lang w:val="tr-TR"/>
        </w:rPr>
        <w:t>price</w:t>
      </w:r>
      <w:proofErr w:type="spellEnd"/>
      <w:r w:rsidR="00033DE5" w:rsidRPr="00CF336B">
        <w:rPr>
          <w:lang w:val="tr-TR"/>
        </w:rPr>
        <w:t xml:space="preserve">” oluşumunun </w:t>
      </w:r>
      <w:r w:rsidR="003B6946" w:rsidRPr="00CF336B">
        <w:rPr>
          <w:lang w:val="tr-TR"/>
        </w:rPr>
        <w:t xml:space="preserve">engellenmesi </w:t>
      </w:r>
      <w:r w:rsidR="0072600F" w:rsidRPr="00CF336B">
        <w:rPr>
          <w:lang w:val="tr-TR"/>
        </w:rPr>
        <w:t>ve piyasa gücünün kötüye kullanı</w:t>
      </w:r>
      <w:r w:rsidR="00A4651D" w:rsidRPr="00CF336B">
        <w:rPr>
          <w:lang w:val="tr-TR"/>
        </w:rPr>
        <w:t>mının</w:t>
      </w:r>
      <w:r w:rsidR="0072600F" w:rsidRPr="00CF336B">
        <w:rPr>
          <w:lang w:val="tr-TR"/>
        </w:rPr>
        <w:t xml:space="preserve"> </w:t>
      </w:r>
      <w:r w:rsidR="003B6946" w:rsidRPr="00CF336B">
        <w:rPr>
          <w:lang w:val="tr-TR"/>
        </w:rPr>
        <w:t>önüne geçilmesi</w:t>
      </w:r>
      <w:r w:rsidR="00A4651D" w:rsidRPr="00CF336B">
        <w:rPr>
          <w:lang w:val="tr-TR"/>
        </w:rPr>
        <w:t xml:space="preserve"> </w:t>
      </w:r>
      <w:r w:rsidR="0072600F" w:rsidRPr="00CF336B">
        <w:rPr>
          <w:lang w:val="tr-TR"/>
        </w:rPr>
        <w:t xml:space="preserve">için </w:t>
      </w:r>
      <w:r w:rsidR="00A204FC" w:rsidRPr="00CF336B">
        <w:rPr>
          <w:lang w:val="tr-TR"/>
        </w:rPr>
        <w:t>tavan fiyat uygulamaları gündeme gelmektedir. Tavan fiyat uygulamasında, katılım</w:t>
      </w:r>
      <w:r w:rsidR="00361C1E" w:rsidRPr="00CF336B">
        <w:rPr>
          <w:lang w:val="tr-TR"/>
        </w:rPr>
        <w:t>cı</w:t>
      </w:r>
      <w:r w:rsidR="00A204FC" w:rsidRPr="00CF336B">
        <w:rPr>
          <w:lang w:val="tr-TR"/>
        </w:rPr>
        <w:t xml:space="preserve">lar birim elektrik üretimi için </w:t>
      </w:r>
      <w:r w:rsidR="00361C1E" w:rsidRPr="00CF336B">
        <w:rPr>
          <w:lang w:val="tr-TR"/>
        </w:rPr>
        <w:t>belirlenen limit</w:t>
      </w:r>
      <w:r w:rsidR="008D0492" w:rsidRPr="00CF336B">
        <w:rPr>
          <w:lang w:val="tr-TR"/>
        </w:rPr>
        <w:t>in</w:t>
      </w:r>
      <w:r w:rsidR="00361C1E" w:rsidRPr="00CF336B">
        <w:rPr>
          <w:lang w:val="tr-TR"/>
        </w:rPr>
        <w:t xml:space="preserve"> üstünde bir teklif sunamamaktadırlar. </w:t>
      </w:r>
      <w:r w:rsidR="004B1C7E" w:rsidRPr="00CF336B">
        <w:rPr>
          <w:lang w:val="tr-TR"/>
        </w:rPr>
        <w:t>Tavan</w:t>
      </w:r>
      <w:r w:rsidR="00587048" w:rsidRPr="00CF336B">
        <w:rPr>
          <w:lang w:val="tr-TR"/>
        </w:rPr>
        <w:t xml:space="preserve"> fiyat uygulaması nedeniyle tüketiciler yüksek fiyatlara karşı korunurken</w:t>
      </w:r>
      <w:r w:rsidR="004B1C7E" w:rsidRPr="00CF336B">
        <w:rPr>
          <w:lang w:val="tr-TR"/>
        </w:rPr>
        <w:t xml:space="preserve">, üretici için kayıp para problemi oluşmaktadır </w:t>
      </w:r>
      <w:sdt>
        <w:sdtPr>
          <w:rPr>
            <w:lang w:val="tr-TR"/>
          </w:rPr>
          <w:id w:val="729580866"/>
          <w:citation/>
        </w:sdtPr>
        <w:sdtEndPr/>
        <w:sdtContent>
          <w:r w:rsidR="003C5B5C" w:rsidRPr="00CF336B">
            <w:rPr>
              <w:lang w:val="tr-TR"/>
            </w:rPr>
            <w:fldChar w:fldCharType="begin"/>
          </w:r>
          <w:r w:rsidR="003C5B5C" w:rsidRPr="00CF336B">
            <w:rPr>
              <w:lang w:val="tr-TR"/>
            </w:rPr>
            <w:instrText xml:space="preserve"> CITATION Eur16 \l 1055 </w:instrText>
          </w:r>
          <w:r w:rsidR="003C5B5C" w:rsidRPr="00CF336B">
            <w:rPr>
              <w:lang w:val="tr-TR"/>
            </w:rPr>
            <w:fldChar w:fldCharType="separate"/>
          </w:r>
          <w:r w:rsidR="00D95FF7">
            <w:rPr>
              <w:noProof/>
              <w:lang w:val="tr-TR"/>
            </w:rPr>
            <w:t>(European Commission, 2016)</w:t>
          </w:r>
          <w:r w:rsidR="003C5B5C" w:rsidRPr="00CF336B">
            <w:rPr>
              <w:lang w:val="tr-TR"/>
            </w:rPr>
            <w:fldChar w:fldCharType="end"/>
          </w:r>
        </w:sdtContent>
      </w:sdt>
      <w:r w:rsidR="003C5B5C" w:rsidRPr="00CF336B">
        <w:rPr>
          <w:lang w:val="tr-TR"/>
        </w:rPr>
        <w:t>.</w:t>
      </w:r>
      <w:r w:rsidR="00E50AAA" w:rsidRPr="00CF336B">
        <w:rPr>
          <w:lang w:val="tr-TR"/>
        </w:rPr>
        <w:t xml:space="preserve"> </w:t>
      </w:r>
      <w:r w:rsidR="0096078B" w:rsidRPr="00CF336B">
        <w:rPr>
          <w:lang w:val="tr-TR"/>
        </w:rPr>
        <w:t>Piyasada yer alan üreticilerin</w:t>
      </w:r>
      <w:r w:rsidR="00E50AAA" w:rsidRPr="00CF336B">
        <w:rPr>
          <w:lang w:val="tr-TR"/>
        </w:rPr>
        <w:t>, özellikle yıl içinde kısıtlı saatte üretim yapabilen santrallerin</w:t>
      </w:r>
      <w:r w:rsidR="0096078B" w:rsidRPr="00CF336B">
        <w:rPr>
          <w:lang w:val="tr-TR"/>
        </w:rPr>
        <w:t>, gelirlerini sağladıkları piyasalarda uygulanan kısıtlamalar</w:t>
      </w:r>
      <w:r w:rsidR="00144B6A" w:rsidRPr="00CF336B">
        <w:rPr>
          <w:lang w:val="tr-TR"/>
        </w:rPr>
        <w:t>,</w:t>
      </w:r>
      <w:r w:rsidR="0096078B" w:rsidRPr="00CF336B">
        <w:rPr>
          <w:lang w:val="tr-TR"/>
        </w:rPr>
        <w:t xml:space="preserve"> bu santrallerin gelirlerini doğrudan düşürmekte ve kimi zaman bu santrallerin </w:t>
      </w:r>
      <w:r w:rsidR="00F636BE" w:rsidRPr="00CF336B">
        <w:rPr>
          <w:lang w:val="tr-TR"/>
        </w:rPr>
        <w:t>sistemin tamamen dışında kalma</w:t>
      </w:r>
      <w:r w:rsidR="00144B6A" w:rsidRPr="00CF336B">
        <w:rPr>
          <w:lang w:val="tr-TR"/>
        </w:rPr>
        <w:t>larına</w:t>
      </w:r>
      <w:r w:rsidR="00F636BE" w:rsidRPr="00CF336B">
        <w:rPr>
          <w:lang w:val="tr-TR"/>
        </w:rPr>
        <w:t xml:space="preserve"> neden olmaktadır.</w:t>
      </w:r>
      <w:r w:rsidR="0096078B" w:rsidRPr="00CF336B">
        <w:rPr>
          <w:lang w:val="tr-TR"/>
        </w:rPr>
        <w:t xml:space="preserve"> </w:t>
      </w:r>
    </w:p>
    <w:p w14:paraId="01B069A7" w14:textId="0C1F9FB4" w:rsidR="00576E46" w:rsidRPr="00CF336B" w:rsidRDefault="00805422" w:rsidP="004D4361">
      <w:pPr>
        <w:spacing w:line="360" w:lineRule="auto"/>
        <w:jc w:val="both"/>
        <w:rPr>
          <w:lang w:val="tr-TR"/>
        </w:rPr>
      </w:pPr>
      <w:r w:rsidRPr="00CF336B">
        <w:rPr>
          <w:lang w:val="tr-TR"/>
        </w:rPr>
        <w:t>Son 10 yılda küresel ölçekte artan yenilenebilir enerji kapasitesi ve bu kaynakların üretimdeki payının yükselmesi ile elektrik piyasaları</w:t>
      </w:r>
      <w:r w:rsidR="00576E46" w:rsidRPr="00CF336B">
        <w:rPr>
          <w:lang w:val="tr-TR"/>
        </w:rPr>
        <w:t>nın temel bileşenleri</w:t>
      </w:r>
      <w:r w:rsidR="00144B6A" w:rsidRPr="00CF336B">
        <w:rPr>
          <w:lang w:val="tr-TR"/>
        </w:rPr>
        <w:t>nin</w:t>
      </w:r>
      <w:r w:rsidR="00576E46" w:rsidRPr="00CF336B">
        <w:rPr>
          <w:lang w:val="tr-TR"/>
        </w:rPr>
        <w:t xml:space="preserve"> tekrar gözden geçirilme ihtiyacı </w:t>
      </w:r>
      <w:r w:rsidR="00144B6A" w:rsidRPr="00CF336B">
        <w:rPr>
          <w:lang w:val="tr-TR"/>
        </w:rPr>
        <w:t>ortaya çıkmıştır</w:t>
      </w:r>
      <w:r w:rsidR="00576E46" w:rsidRPr="00CF336B">
        <w:rPr>
          <w:lang w:val="tr-TR"/>
        </w:rPr>
        <w:t>.</w:t>
      </w:r>
      <w:r w:rsidRPr="00CF336B">
        <w:rPr>
          <w:lang w:val="tr-TR"/>
        </w:rPr>
        <w:t xml:space="preserve"> Özellikle saatlik üretim profili değişkenlik gösteren güneş ve rüzgâr santrallerinin toplam üretimdeki payının artması, gün içinde oluşan piyasa takas fiyatlarının seyrini değiştirmiş ve özellikle esnek olmayan termik santrallerin üretim planlamalarında zorluklar yaşamalarına neden olmuştur. </w:t>
      </w:r>
    </w:p>
    <w:p w14:paraId="1CE55320" w14:textId="2F1C6A0D" w:rsidR="00DD19E7" w:rsidRPr="00CF336B" w:rsidRDefault="00805422" w:rsidP="004D4361">
      <w:pPr>
        <w:spacing w:line="360" w:lineRule="auto"/>
        <w:jc w:val="both"/>
        <w:rPr>
          <w:lang w:val="tr-TR"/>
        </w:rPr>
      </w:pPr>
      <w:r w:rsidRPr="00CF336B">
        <w:rPr>
          <w:lang w:val="tr-TR"/>
        </w:rPr>
        <w:t>Bilindiği üzere termik santrallerin emre-</w:t>
      </w:r>
      <w:proofErr w:type="spellStart"/>
      <w:r w:rsidRPr="00CF336B">
        <w:rPr>
          <w:lang w:val="tr-TR"/>
        </w:rPr>
        <w:t>amadelikleri</w:t>
      </w:r>
      <w:proofErr w:type="spellEnd"/>
      <w:r w:rsidRPr="00CF336B">
        <w:rPr>
          <w:lang w:val="tr-TR"/>
        </w:rPr>
        <w:t xml:space="preserve"> teknik ve ekonomik koşullardan etkilenmektedir. Termik santraller doğaları gereği yenilenebilir enerji santrallerine kıyasla daha uzun sürede devreye alınabilmekte ve tam yükte elektrik üretimine başlayabilmektedir. Santrallerin devreye girme ve maksimum kapasiteye erişebilme süreleri</w:t>
      </w:r>
      <w:r w:rsidR="00144B6A" w:rsidRPr="00CF336B">
        <w:rPr>
          <w:lang w:val="tr-TR"/>
        </w:rPr>
        <w:t>,</w:t>
      </w:r>
      <w:r w:rsidRPr="00CF336B">
        <w:rPr>
          <w:lang w:val="tr-TR"/>
        </w:rPr>
        <w:t xml:space="preserve"> santral ve kaynak bazında değişkenlik gösterse de genellikle kömür santralleri için bu süreler doğal gaz santrallerine kıyasla yüksektir. Bu nedenle de özellikle daha az esnek kömür santrallerinin genel yaklaşımı ardışık saatlerde çalışmaya devam etme yönündedir. Aksi durumda bu santraller</w:t>
      </w:r>
      <w:r w:rsidR="00144B6A" w:rsidRPr="00CF336B">
        <w:rPr>
          <w:lang w:val="tr-TR"/>
        </w:rPr>
        <w:t>,</w:t>
      </w:r>
      <w:r w:rsidRPr="00CF336B">
        <w:rPr>
          <w:lang w:val="tr-TR"/>
        </w:rPr>
        <w:t xml:space="preserve"> açma-kapama maliyetleri</w:t>
      </w:r>
      <w:r w:rsidR="00EF28AC" w:rsidRPr="00CF336B">
        <w:rPr>
          <w:lang w:val="tr-TR"/>
        </w:rPr>
        <w:t xml:space="preserve">ne daha fazla maruz kalmakta </w:t>
      </w:r>
      <w:r w:rsidRPr="00CF336B">
        <w:rPr>
          <w:lang w:val="tr-TR"/>
        </w:rPr>
        <w:t xml:space="preserve">ve </w:t>
      </w:r>
      <w:r w:rsidR="00144B6A" w:rsidRPr="00CF336B">
        <w:rPr>
          <w:lang w:val="tr-TR"/>
        </w:rPr>
        <w:t>gelirlerinin üzerinde zarar etmektedirle</w:t>
      </w:r>
      <w:r w:rsidRPr="00CF336B">
        <w:rPr>
          <w:lang w:val="tr-TR"/>
        </w:rPr>
        <w:t>r.</w:t>
      </w:r>
      <w:r w:rsidR="00144B6A" w:rsidRPr="00CF336B">
        <w:rPr>
          <w:lang w:val="tr-TR"/>
        </w:rPr>
        <w:t xml:space="preserve"> </w:t>
      </w:r>
      <w:r w:rsidR="00DD19E7" w:rsidRPr="00CF336B">
        <w:rPr>
          <w:lang w:val="tr-TR"/>
        </w:rPr>
        <w:t xml:space="preserve">Bu husus Avrupa’da birçok ülkede fiyat limitleri dahilinde negatif fiyatların oluşmasına yol açmaktadır. Negatif fiyat uygulaması ülkemizde uzun yıllarda tartışılsa da henüz uygulamaya alınmamıştır. </w:t>
      </w:r>
      <w:r w:rsidR="00144B6A" w:rsidRPr="00CF336B">
        <w:rPr>
          <w:lang w:val="tr-TR"/>
        </w:rPr>
        <w:t>Y</w:t>
      </w:r>
      <w:r w:rsidRPr="00CF336B">
        <w:rPr>
          <w:lang w:val="tr-TR"/>
        </w:rPr>
        <w:t xml:space="preserve">enilenebilir enerji santrallerinin </w:t>
      </w:r>
      <w:r w:rsidR="00144B6A" w:rsidRPr="00CF336B">
        <w:rPr>
          <w:lang w:val="tr-TR"/>
        </w:rPr>
        <w:t>devreye giriş hızlarının ve kapasitelerinin artması</w:t>
      </w:r>
      <w:r w:rsidRPr="00CF336B">
        <w:rPr>
          <w:lang w:val="tr-TR"/>
        </w:rPr>
        <w:t xml:space="preserve"> ile </w:t>
      </w:r>
      <w:r w:rsidR="00DD19E7" w:rsidRPr="00CF336B">
        <w:rPr>
          <w:lang w:val="tr-TR"/>
        </w:rPr>
        <w:t xml:space="preserve">esnek olmayan termik </w:t>
      </w:r>
      <w:r w:rsidR="00144B6A" w:rsidRPr="00CF336B">
        <w:rPr>
          <w:lang w:val="tr-TR"/>
        </w:rPr>
        <w:t>santrallerin üretim planlama optimizasyonun yapılması daha da önemli bir hal almıştır</w:t>
      </w:r>
      <w:r w:rsidRPr="00CF336B">
        <w:rPr>
          <w:lang w:val="tr-TR"/>
        </w:rPr>
        <w:t xml:space="preserve">. Özellikle güneş santrallerinin üretiminin yoğunlaştığı öğlen saatlerinde piyasada oluşan fiyatlar düşüş göstermekte ve termik santrallerin </w:t>
      </w:r>
      <w:r w:rsidR="00C00434" w:rsidRPr="00CF336B">
        <w:rPr>
          <w:lang w:val="tr-TR"/>
        </w:rPr>
        <w:t xml:space="preserve">marjinal maliyetlerini </w:t>
      </w:r>
      <w:r w:rsidRPr="00CF336B">
        <w:rPr>
          <w:lang w:val="tr-TR"/>
        </w:rPr>
        <w:t xml:space="preserve">karşılayamayacak seviyelerde gerçekleşmektedir. </w:t>
      </w:r>
      <w:r w:rsidR="007F3473" w:rsidRPr="00CF336B">
        <w:rPr>
          <w:lang w:val="tr-TR"/>
        </w:rPr>
        <w:t xml:space="preserve">Diğer yandan, </w:t>
      </w:r>
      <w:r w:rsidR="00B5461D" w:rsidRPr="00CF336B">
        <w:rPr>
          <w:lang w:val="tr-TR"/>
        </w:rPr>
        <w:t>devam eden</w:t>
      </w:r>
      <w:r w:rsidR="007F3473" w:rsidRPr="00CF336B">
        <w:rPr>
          <w:lang w:val="tr-TR"/>
        </w:rPr>
        <w:t xml:space="preserve"> </w:t>
      </w:r>
      <w:r w:rsidR="00541ABF" w:rsidRPr="00CF336B">
        <w:rPr>
          <w:lang w:val="tr-TR"/>
        </w:rPr>
        <w:t>azami limit</w:t>
      </w:r>
      <w:r w:rsidR="007F3473" w:rsidRPr="00CF336B">
        <w:rPr>
          <w:lang w:val="tr-TR"/>
        </w:rPr>
        <w:t xml:space="preserve"> uygulaması ve 2022 Nisan-2023 Eylül döneminde </w:t>
      </w:r>
      <w:r w:rsidR="008A77BA" w:rsidRPr="00CF336B">
        <w:rPr>
          <w:lang w:val="tr-TR"/>
        </w:rPr>
        <w:t>uygulanan Kaynak</w:t>
      </w:r>
      <w:r w:rsidR="007F3473" w:rsidRPr="00CF336B">
        <w:rPr>
          <w:lang w:val="tr-TR"/>
        </w:rPr>
        <w:t xml:space="preserve"> Bazlı Tavan Fiyat Uygulaması da </w:t>
      </w:r>
      <w:r w:rsidR="00B5461D" w:rsidRPr="00CF336B">
        <w:rPr>
          <w:lang w:val="tr-TR"/>
        </w:rPr>
        <w:t xml:space="preserve">santrallerin gelirlerini kısıtlamaktadır. </w:t>
      </w:r>
    </w:p>
    <w:p w14:paraId="546441CF" w14:textId="1F120D69" w:rsidR="00541ABF" w:rsidRPr="00CF336B" w:rsidRDefault="00805422" w:rsidP="004D4361">
      <w:pPr>
        <w:spacing w:line="360" w:lineRule="auto"/>
        <w:jc w:val="both"/>
        <w:rPr>
          <w:lang w:val="tr-TR"/>
        </w:rPr>
      </w:pPr>
      <w:r w:rsidRPr="00CF336B">
        <w:rPr>
          <w:lang w:val="tr-TR"/>
        </w:rPr>
        <w:t>Gün içinde piyasa fiyatlarındaki dalgalanma sıklığının artması</w:t>
      </w:r>
      <w:r w:rsidR="00DD19E7" w:rsidRPr="00CF336B">
        <w:rPr>
          <w:lang w:val="tr-TR"/>
        </w:rPr>
        <w:t>, gelecek dönemlerde oluşması beklenen ördek eğrisi</w:t>
      </w:r>
      <w:r w:rsidRPr="00CF336B">
        <w:rPr>
          <w:lang w:val="tr-TR"/>
        </w:rPr>
        <w:t xml:space="preserve"> ve yukarıda bahsedilen teknik ve ekonomik sebepler nedeniyle termik santrallerin sistemde kalması zorlaşmıştır. Termik santrallerin çalışmalarına engel durumların oluşması, şebeke kalitesinin korunması için ilave çabaları beraberinde getirmektedir. Kapasite mekanizması bu çabalardan bir tanesi olarak ortaya çıkmaktadır. </w:t>
      </w:r>
    </w:p>
    <w:p w14:paraId="304EB9F3" w14:textId="35D19625" w:rsidR="00EB17F2" w:rsidRPr="00CF336B" w:rsidRDefault="00541ABF" w:rsidP="004D4361">
      <w:pPr>
        <w:spacing w:line="360" w:lineRule="auto"/>
        <w:jc w:val="both"/>
        <w:rPr>
          <w:lang w:val="tr-TR"/>
        </w:rPr>
      </w:pPr>
      <w:r w:rsidRPr="00CF336B">
        <w:rPr>
          <w:lang w:val="tr-TR"/>
        </w:rPr>
        <w:t>Rapor kapsamında arz güvenliğinin sağlanması için yeterli miktarda termik emre amade kapasitenin</w:t>
      </w:r>
      <w:r w:rsidR="00B65E23">
        <w:rPr>
          <w:lang w:val="tr-TR"/>
        </w:rPr>
        <w:t xml:space="preserve"> (EAK)</w:t>
      </w:r>
      <w:r w:rsidRPr="00CF336B">
        <w:rPr>
          <w:lang w:val="tr-TR"/>
        </w:rPr>
        <w:t xml:space="preserve"> sistemde kalmasına yönelik öneriler sunulması amaçlanmaktadır. Bu minvalde özellikle kömürden elektrik üretim payı yüksek olan ülkelerin kapasite mekanizması uygulamalarına ve kömürden elektrik üretim payının azaltılırken arz güvenliği bakımından aldıkları önlemlere bakılmaktadır. Ayrıca, rapor kapsamında yerli kömür santrallerine uygulanan alım garantilerinin etkilerine dair sayısal analizlere de yer verilmektedir.</w:t>
      </w:r>
      <w:r w:rsidR="00EB17F2" w:rsidRPr="00CF336B">
        <w:rPr>
          <w:lang w:val="tr-TR"/>
        </w:rPr>
        <w:br w:type="page"/>
      </w:r>
    </w:p>
    <w:p w14:paraId="08CCEC05" w14:textId="3DC5CD56" w:rsidR="00EB17F2" w:rsidRPr="00CF336B" w:rsidRDefault="00EB17F2" w:rsidP="004D4361">
      <w:pPr>
        <w:pStyle w:val="Heading1"/>
        <w:numPr>
          <w:ilvl w:val="0"/>
          <w:numId w:val="12"/>
        </w:numPr>
        <w:spacing w:before="160" w:line="360" w:lineRule="auto"/>
        <w:rPr>
          <w:sz w:val="22"/>
          <w:szCs w:val="22"/>
          <w:lang w:val="tr-TR"/>
        </w:rPr>
      </w:pPr>
      <w:bookmarkStart w:id="9" w:name="_Toc156210435"/>
      <w:r w:rsidRPr="00CF336B">
        <w:rPr>
          <w:sz w:val="22"/>
          <w:szCs w:val="22"/>
          <w:lang w:val="tr-TR"/>
        </w:rPr>
        <w:t>Kapasite Mekanizması</w:t>
      </w:r>
      <w:bookmarkEnd w:id="9"/>
      <w:r w:rsidRPr="00CF336B">
        <w:rPr>
          <w:sz w:val="22"/>
          <w:szCs w:val="22"/>
          <w:lang w:val="tr-TR"/>
        </w:rPr>
        <w:t xml:space="preserve"> </w:t>
      </w:r>
    </w:p>
    <w:p w14:paraId="35360D24" w14:textId="77777777" w:rsidR="001476A2" w:rsidRPr="00CF336B" w:rsidRDefault="001476A2" w:rsidP="004D4361">
      <w:pPr>
        <w:spacing w:line="360" w:lineRule="auto"/>
        <w:rPr>
          <w:lang w:val="tr-TR"/>
        </w:rPr>
      </w:pPr>
    </w:p>
    <w:p w14:paraId="0808F486" w14:textId="27FE4611" w:rsidR="00CE7536" w:rsidRPr="00CF336B" w:rsidRDefault="001275FA" w:rsidP="004D4361">
      <w:pPr>
        <w:spacing w:line="360" w:lineRule="auto"/>
        <w:jc w:val="both"/>
        <w:rPr>
          <w:lang w:val="tr-TR"/>
        </w:rPr>
      </w:pPr>
      <w:r w:rsidRPr="00CF336B">
        <w:rPr>
          <w:lang w:val="tr-TR"/>
        </w:rPr>
        <w:t>Kapasite mekanizması, elektrik piyasasında, gelecekte öngörülen bir üretim kapasitesi gereksinimini karşılamak ve arz güvenliğini sağlamak amacıyla, üretim tesislerine emre amade olma durumları karşılığında ödeme yapan teşvik mekanizmalarına verilen isimdir</w:t>
      </w:r>
      <w:r w:rsidR="00652D6D" w:rsidRPr="00CF336B">
        <w:rPr>
          <w:lang w:val="tr-TR"/>
        </w:rPr>
        <w:t xml:space="preserve"> </w:t>
      </w:r>
      <w:sdt>
        <w:sdtPr>
          <w:rPr>
            <w:lang w:val="tr-TR"/>
          </w:rPr>
          <w:id w:val="-915941608"/>
          <w:citation/>
        </w:sdtPr>
        <w:sdtEndPr/>
        <w:sdtContent>
          <w:r w:rsidR="00652D6D" w:rsidRPr="00CF336B">
            <w:rPr>
              <w:lang w:val="tr-TR"/>
            </w:rPr>
            <w:fldChar w:fldCharType="begin"/>
          </w:r>
          <w:r w:rsidR="00652D6D" w:rsidRPr="00CF336B">
            <w:rPr>
              <w:lang w:val="tr-TR"/>
            </w:rPr>
            <w:instrText xml:space="preserve"> CITATION Eur16 \l 1033 </w:instrText>
          </w:r>
          <w:r w:rsidR="00652D6D" w:rsidRPr="00CF336B">
            <w:rPr>
              <w:lang w:val="tr-TR"/>
            </w:rPr>
            <w:fldChar w:fldCharType="separate"/>
          </w:r>
          <w:r w:rsidR="00D95FF7" w:rsidRPr="00D95FF7">
            <w:rPr>
              <w:noProof/>
              <w:lang w:val="tr-TR"/>
            </w:rPr>
            <w:t>(European Commission, 2016)</w:t>
          </w:r>
          <w:r w:rsidR="00652D6D" w:rsidRPr="00CF336B">
            <w:rPr>
              <w:lang w:val="tr-TR"/>
            </w:rPr>
            <w:fldChar w:fldCharType="end"/>
          </w:r>
        </w:sdtContent>
      </w:sdt>
      <w:r w:rsidRPr="00CF336B">
        <w:rPr>
          <w:lang w:val="tr-TR"/>
        </w:rPr>
        <w:t>.</w:t>
      </w:r>
      <w:r w:rsidR="00A350DB" w:rsidRPr="00CF336B">
        <w:rPr>
          <w:lang w:val="tr-TR"/>
        </w:rPr>
        <w:t xml:space="preserve"> </w:t>
      </w:r>
      <w:r w:rsidR="00652D6D" w:rsidRPr="00CF336B">
        <w:rPr>
          <w:lang w:val="tr-TR"/>
        </w:rPr>
        <w:t>Bu tanımı ile kapasite mekanizması</w:t>
      </w:r>
      <w:r w:rsidR="00085E31" w:rsidRPr="00CF336B">
        <w:rPr>
          <w:lang w:val="tr-TR"/>
        </w:rPr>
        <w:t>, gerekli yedek kapasite de dahil olmak üzere elektrik piyasasında yeterli kurulu güç sağlamayı ve uzun dönemli arz güvenliği için bu kapasitenin devamlılığını koru</w:t>
      </w:r>
      <w:r w:rsidR="00DD19E7" w:rsidRPr="00CF336B">
        <w:rPr>
          <w:lang w:val="tr-TR"/>
        </w:rPr>
        <w:t>may</w:t>
      </w:r>
      <w:r w:rsidR="00085E31" w:rsidRPr="00CF336B">
        <w:rPr>
          <w:lang w:val="tr-TR"/>
        </w:rPr>
        <w:t xml:space="preserve">ı amaçlayan bir uygulamadır. </w:t>
      </w:r>
    </w:p>
    <w:p w14:paraId="49B61949" w14:textId="77777777" w:rsidR="00B3083D" w:rsidRPr="00CF336B" w:rsidRDefault="00B3083D" w:rsidP="004D4361">
      <w:pPr>
        <w:spacing w:line="360" w:lineRule="auto"/>
        <w:rPr>
          <w:lang w:val="tr-TR"/>
        </w:rPr>
      </w:pPr>
      <w:r w:rsidRPr="00CF336B">
        <w:rPr>
          <w:lang w:val="tr-TR"/>
        </w:rPr>
        <w:t xml:space="preserve">Kapasite mekanizmasının oluşturulmasında 3 temel motivasyon bulunmaktadır: </w:t>
      </w:r>
    </w:p>
    <w:p w14:paraId="69F4EB0C" w14:textId="77777777" w:rsidR="00B3083D" w:rsidRPr="00CF336B" w:rsidRDefault="00B3083D" w:rsidP="004D4361">
      <w:pPr>
        <w:pStyle w:val="ListParagraph"/>
        <w:numPr>
          <w:ilvl w:val="0"/>
          <w:numId w:val="5"/>
        </w:numPr>
        <w:spacing w:line="360" w:lineRule="auto"/>
        <w:rPr>
          <w:lang w:val="tr-TR"/>
        </w:rPr>
      </w:pPr>
      <w:r w:rsidRPr="00CF336B">
        <w:rPr>
          <w:lang w:val="tr-TR"/>
        </w:rPr>
        <w:t>Ekonomik Koşullar</w:t>
      </w:r>
    </w:p>
    <w:p w14:paraId="73EA09EB" w14:textId="77777777" w:rsidR="00B3083D" w:rsidRPr="00CF336B" w:rsidRDefault="00B3083D" w:rsidP="004D4361">
      <w:pPr>
        <w:pStyle w:val="ListParagraph"/>
        <w:numPr>
          <w:ilvl w:val="1"/>
          <w:numId w:val="5"/>
        </w:numPr>
        <w:spacing w:line="360" w:lineRule="auto"/>
        <w:rPr>
          <w:lang w:val="tr-TR"/>
        </w:rPr>
      </w:pPr>
      <w:r w:rsidRPr="00CF336B">
        <w:rPr>
          <w:lang w:val="tr-TR"/>
        </w:rPr>
        <w:t>Yeni yatırımların yapılabilmesi ya da mevcut santrallerin işletmeye devam edebilmesi için gerekli fiyat sinyallerinin yetersiz olması</w:t>
      </w:r>
    </w:p>
    <w:p w14:paraId="748B5F0C" w14:textId="213D459C" w:rsidR="00B3083D" w:rsidRPr="00CF336B" w:rsidRDefault="00B3083D" w:rsidP="004D4361">
      <w:pPr>
        <w:pStyle w:val="ListParagraph"/>
        <w:numPr>
          <w:ilvl w:val="1"/>
          <w:numId w:val="5"/>
        </w:numPr>
        <w:spacing w:line="360" w:lineRule="auto"/>
        <w:rPr>
          <w:lang w:val="tr-TR"/>
        </w:rPr>
      </w:pPr>
      <w:r w:rsidRPr="00CF336B">
        <w:rPr>
          <w:lang w:val="tr-TR"/>
        </w:rPr>
        <w:t>Yedek kapasite marjının düşük olması</w:t>
      </w:r>
    </w:p>
    <w:p w14:paraId="21CA581B" w14:textId="77777777" w:rsidR="00B3083D" w:rsidRPr="00CF336B" w:rsidRDefault="00B3083D" w:rsidP="004D4361">
      <w:pPr>
        <w:pStyle w:val="ListParagraph"/>
        <w:numPr>
          <w:ilvl w:val="1"/>
          <w:numId w:val="5"/>
        </w:numPr>
        <w:spacing w:line="360" w:lineRule="auto"/>
        <w:rPr>
          <w:lang w:val="tr-TR"/>
        </w:rPr>
      </w:pPr>
      <w:r w:rsidRPr="00CF336B">
        <w:rPr>
          <w:lang w:val="tr-TR"/>
        </w:rPr>
        <w:t>Santrallerin sistemde kalma devamlılıklarını sağlamaları için ihtiyaç duydukları gelirin bir kısmının güvence altına alınması</w:t>
      </w:r>
    </w:p>
    <w:p w14:paraId="6AA2CA50" w14:textId="77777777" w:rsidR="00B3083D" w:rsidRPr="00CF336B" w:rsidRDefault="00B3083D" w:rsidP="004D4361">
      <w:pPr>
        <w:pStyle w:val="ListParagraph"/>
        <w:numPr>
          <w:ilvl w:val="0"/>
          <w:numId w:val="5"/>
        </w:numPr>
        <w:spacing w:line="360" w:lineRule="auto"/>
        <w:rPr>
          <w:lang w:val="tr-TR"/>
        </w:rPr>
      </w:pPr>
      <w:r w:rsidRPr="00CF336B">
        <w:rPr>
          <w:lang w:val="tr-TR"/>
        </w:rPr>
        <w:t xml:space="preserve">Teknik Gereklilikler </w:t>
      </w:r>
    </w:p>
    <w:p w14:paraId="02385C59" w14:textId="77777777" w:rsidR="00B3083D" w:rsidRPr="00CF336B" w:rsidRDefault="00B3083D" w:rsidP="004D4361">
      <w:pPr>
        <w:pStyle w:val="ListParagraph"/>
        <w:numPr>
          <w:ilvl w:val="1"/>
          <w:numId w:val="5"/>
        </w:numPr>
        <w:spacing w:line="360" w:lineRule="auto"/>
        <w:rPr>
          <w:lang w:val="tr-TR"/>
        </w:rPr>
      </w:pPr>
      <w:r w:rsidRPr="00CF336B">
        <w:rPr>
          <w:lang w:val="tr-TR"/>
        </w:rPr>
        <w:t>Nispeten eski santrallerin sisteme sağladıkları arzın güvenilir olmaması</w:t>
      </w:r>
    </w:p>
    <w:p w14:paraId="473B6A6B" w14:textId="77777777" w:rsidR="00B3083D" w:rsidRPr="00CF336B" w:rsidRDefault="00B3083D" w:rsidP="004D4361">
      <w:pPr>
        <w:pStyle w:val="ListParagraph"/>
        <w:numPr>
          <w:ilvl w:val="1"/>
          <w:numId w:val="5"/>
        </w:numPr>
        <w:spacing w:line="360" w:lineRule="auto"/>
        <w:rPr>
          <w:lang w:val="tr-TR"/>
        </w:rPr>
      </w:pPr>
      <w:r w:rsidRPr="00CF336B">
        <w:rPr>
          <w:lang w:val="tr-TR"/>
        </w:rPr>
        <w:t>Yenilenebilir enerji santrallerinin toplam kurulu güç içindeki payının artması ve bu artışın iletim sistemi kalitesi üzerindeki etkileri</w:t>
      </w:r>
    </w:p>
    <w:p w14:paraId="4D6E6B88" w14:textId="77777777" w:rsidR="00B3083D" w:rsidRPr="00CF336B" w:rsidRDefault="00B3083D" w:rsidP="004D4361">
      <w:pPr>
        <w:pStyle w:val="ListParagraph"/>
        <w:numPr>
          <w:ilvl w:val="1"/>
          <w:numId w:val="5"/>
        </w:numPr>
        <w:spacing w:line="360" w:lineRule="auto"/>
        <w:rPr>
          <w:lang w:val="tr-TR"/>
        </w:rPr>
      </w:pPr>
      <w:r w:rsidRPr="00CF336B">
        <w:rPr>
          <w:lang w:val="tr-TR"/>
        </w:rPr>
        <w:t>Gelecek döneme ilişkin elektrik talebi artış beklentilerinin mevcut stok kapasiteden karşılanmayacak seviyede olması</w:t>
      </w:r>
    </w:p>
    <w:p w14:paraId="20201707" w14:textId="77777777" w:rsidR="00B3083D" w:rsidRPr="00CF336B" w:rsidRDefault="00B3083D" w:rsidP="004D4361">
      <w:pPr>
        <w:pStyle w:val="ListParagraph"/>
        <w:numPr>
          <w:ilvl w:val="0"/>
          <w:numId w:val="5"/>
        </w:numPr>
        <w:spacing w:line="360" w:lineRule="auto"/>
        <w:rPr>
          <w:lang w:val="tr-TR"/>
        </w:rPr>
      </w:pPr>
      <w:r w:rsidRPr="00CF336B">
        <w:rPr>
          <w:lang w:val="tr-TR"/>
        </w:rPr>
        <w:t>Politik Nedenler</w:t>
      </w:r>
    </w:p>
    <w:p w14:paraId="0A201A20" w14:textId="77777777" w:rsidR="00B3083D" w:rsidRPr="00CF336B" w:rsidRDefault="00B3083D" w:rsidP="004D4361">
      <w:pPr>
        <w:pStyle w:val="ListParagraph"/>
        <w:numPr>
          <w:ilvl w:val="1"/>
          <w:numId w:val="5"/>
        </w:numPr>
        <w:spacing w:line="360" w:lineRule="auto"/>
        <w:rPr>
          <w:lang w:val="tr-TR"/>
        </w:rPr>
      </w:pPr>
      <w:proofErr w:type="spellStart"/>
      <w:r w:rsidRPr="00CF336B">
        <w:rPr>
          <w:lang w:val="tr-TR"/>
        </w:rPr>
        <w:t>Volatil</w:t>
      </w:r>
      <w:proofErr w:type="spellEnd"/>
      <w:r w:rsidRPr="00CF336B">
        <w:rPr>
          <w:lang w:val="tr-TR"/>
        </w:rPr>
        <w:t xml:space="preserve"> (dengesiz) piyasa fiyatlarının politik istikrarsızlık olarak algılanması</w:t>
      </w:r>
    </w:p>
    <w:p w14:paraId="531852EB" w14:textId="028F4B3F" w:rsidR="007D6B53" w:rsidRPr="00CF336B" w:rsidRDefault="00B3083D" w:rsidP="004D4361">
      <w:pPr>
        <w:pStyle w:val="ListParagraph"/>
        <w:numPr>
          <w:ilvl w:val="1"/>
          <w:numId w:val="5"/>
        </w:numPr>
        <w:spacing w:line="360" w:lineRule="auto"/>
        <w:rPr>
          <w:lang w:val="tr-TR"/>
        </w:rPr>
      </w:pPr>
      <w:r w:rsidRPr="00CF336B">
        <w:rPr>
          <w:lang w:val="tr-TR"/>
        </w:rPr>
        <w:t>İhtiyaç duyulan arz miktarının ithal kaynaklara dayalı olmasının ulusal güvenlik problemi yaratması</w:t>
      </w:r>
    </w:p>
    <w:p w14:paraId="1BBCB9A5" w14:textId="27B3C868" w:rsidR="00CE7536" w:rsidRPr="00CF336B" w:rsidRDefault="00CE7536" w:rsidP="004D4361">
      <w:pPr>
        <w:pStyle w:val="ListParagraph"/>
        <w:spacing w:line="360" w:lineRule="auto"/>
        <w:ind w:left="0"/>
        <w:contextualSpacing w:val="0"/>
        <w:jc w:val="both"/>
        <w:rPr>
          <w:lang w:val="tr-TR"/>
        </w:rPr>
      </w:pPr>
      <w:r w:rsidRPr="00CF336B">
        <w:rPr>
          <w:lang w:val="tr-TR"/>
        </w:rPr>
        <w:t>Tercih edilen kapasite mekanizması uygulamaları ülkeden ülkeye farklılık göstermektedir. Kapasite mekanizmaları uygulamaları hacim bazlı veya fiyat bazlı olabil</w:t>
      </w:r>
      <w:r w:rsidR="007A2293" w:rsidRPr="00CF336B">
        <w:rPr>
          <w:lang w:val="tr-TR"/>
        </w:rPr>
        <w:t>mektedi</w:t>
      </w:r>
      <w:r w:rsidRPr="00CF336B">
        <w:rPr>
          <w:lang w:val="tr-TR"/>
        </w:rPr>
        <w:t>r. Türkiye’deki kapasite mekanizma</w:t>
      </w:r>
      <w:r w:rsidR="007A2293" w:rsidRPr="00CF336B">
        <w:rPr>
          <w:lang w:val="tr-TR"/>
        </w:rPr>
        <w:t>sı uygulamasından</w:t>
      </w:r>
      <w:r w:rsidRPr="00CF336B">
        <w:rPr>
          <w:lang w:val="tr-TR"/>
        </w:rPr>
        <w:t xml:space="preserve"> farklı olarak </w:t>
      </w:r>
      <w:r w:rsidR="009233A8" w:rsidRPr="00CF336B">
        <w:rPr>
          <w:lang w:val="tr-TR"/>
        </w:rPr>
        <w:t>dünyada</w:t>
      </w:r>
      <w:r w:rsidRPr="00CF336B">
        <w:rPr>
          <w:lang w:val="tr-TR"/>
        </w:rPr>
        <w:t xml:space="preserve"> </w:t>
      </w:r>
      <w:r w:rsidR="007A2293" w:rsidRPr="00CF336B">
        <w:rPr>
          <w:lang w:val="tr-TR"/>
        </w:rPr>
        <w:t xml:space="preserve">birçok </w:t>
      </w:r>
      <w:r w:rsidRPr="00CF336B">
        <w:rPr>
          <w:lang w:val="tr-TR"/>
        </w:rPr>
        <w:t>kapasite mekanizması yöntemi kullanılmaktadır</w:t>
      </w:r>
      <w:r w:rsidR="000F7421" w:rsidRPr="00CF336B">
        <w:rPr>
          <w:lang w:val="tr-TR"/>
        </w:rPr>
        <w:t xml:space="preserve">. </w:t>
      </w:r>
      <w:proofErr w:type="spellStart"/>
      <w:r w:rsidR="00193279" w:rsidRPr="00CF336B">
        <w:rPr>
          <w:lang w:val="tr-TR"/>
        </w:rPr>
        <w:t>The</w:t>
      </w:r>
      <w:proofErr w:type="spellEnd"/>
      <w:r w:rsidR="00193279" w:rsidRPr="00CF336B">
        <w:rPr>
          <w:lang w:val="tr-TR"/>
        </w:rPr>
        <w:t xml:space="preserve"> </w:t>
      </w:r>
      <w:proofErr w:type="spellStart"/>
      <w:r w:rsidR="00193279" w:rsidRPr="00CF336B">
        <w:rPr>
          <w:lang w:val="tr-TR"/>
        </w:rPr>
        <w:t>Agency</w:t>
      </w:r>
      <w:proofErr w:type="spellEnd"/>
      <w:r w:rsidR="00193279" w:rsidRPr="00CF336B">
        <w:rPr>
          <w:lang w:val="tr-TR"/>
        </w:rPr>
        <w:t xml:space="preserve"> </w:t>
      </w:r>
      <w:proofErr w:type="spellStart"/>
      <w:r w:rsidR="00193279" w:rsidRPr="00CF336B">
        <w:rPr>
          <w:lang w:val="tr-TR"/>
        </w:rPr>
        <w:t>for</w:t>
      </w:r>
      <w:proofErr w:type="spellEnd"/>
      <w:r w:rsidR="00193279" w:rsidRPr="00CF336B">
        <w:rPr>
          <w:lang w:val="tr-TR"/>
        </w:rPr>
        <w:t xml:space="preserve"> </w:t>
      </w:r>
      <w:proofErr w:type="spellStart"/>
      <w:r w:rsidR="00193279" w:rsidRPr="00CF336B">
        <w:rPr>
          <w:lang w:val="tr-TR"/>
        </w:rPr>
        <w:t>the</w:t>
      </w:r>
      <w:proofErr w:type="spellEnd"/>
      <w:r w:rsidR="00193279" w:rsidRPr="00CF336B">
        <w:rPr>
          <w:lang w:val="tr-TR"/>
        </w:rPr>
        <w:t xml:space="preserve"> </w:t>
      </w:r>
      <w:proofErr w:type="spellStart"/>
      <w:r w:rsidR="00193279" w:rsidRPr="00CF336B">
        <w:rPr>
          <w:lang w:val="tr-TR"/>
        </w:rPr>
        <w:t>Cooperation</w:t>
      </w:r>
      <w:proofErr w:type="spellEnd"/>
      <w:r w:rsidR="00193279" w:rsidRPr="00CF336B">
        <w:rPr>
          <w:lang w:val="tr-TR"/>
        </w:rPr>
        <w:t xml:space="preserve"> of Energy </w:t>
      </w:r>
      <w:proofErr w:type="spellStart"/>
      <w:r w:rsidR="00193279" w:rsidRPr="00CF336B">
        <w:rPr>
          <w:lang w:val="tr-TR"/>
        </w:rPr>
        <w:t>Regulators</w:t>
      </w:r>
      <w:proofErr w:type="spellEnd"/>
      <w:r w:rsidR="00193279" w:rsidRPr="00CF336B">
        <w:rPr>
          <w:lang w:val="tr-TR"/>
        </w:rPr>
        <w:t xml:space="preserve">, </w:t>
      </w:r>
      <w:r w:rsidR="000F7421" w:rsidRPr="00CF336B">
        <w:rPr>
          <w:lang w:val="tr-TR"/>
        </w:rPr>
        <w:t>ACER</w:t>
      </w:r>
      <w:r w:rsidR="00193279" w:rsidRPr="00CF336B">
        <w:rPr>
          <w:lang w:val="tr-TR"/>
        </w:rPr>
        <w:t>,</w:t>
      </w:r>
      <w:r w:rsidR="000F7421" w:rsidRPr="00CF336B">
        <w:rPr>
          <w:lang w:val="tr-TR"/>
        </w:rPr>
        <w:t xml:space="preserve"> kapasite mekanizması uygulamalarını </w:t>
      </w:r>
      <w:r w:rsidR="00033E95" w:rsidRPr="00CF336B">
        <w:rPr>
          <w:lang w:val="tr-TR"/>
        </w:rPr>
        <w:t>beş başlık altında sınıflandırmaktadır</w:t>
      </w:r>
      <w:r w:rsidR="00442522" w:rsidRPr="00CF336B">
        <w:rPr>
          <w:lang w:val="tr-TR"/>
        </w:rPr>
        <w:t xml:space="preserve"> </w:t>
      </w:r>
      <w:sdt>
        <w:sdtPr>
          <w:rPr>
            <w:lang w:val="tr-TR"/>
          </w:rPr>
          <w:id w:val="-144738037"/>
          <w:citation/>
        </w:sdtPr>
        <w:sdtEndPr/>
        <w:sdtContent>
          <w:r w:rsidR="00D50D9D" w:rsidRPr="00CF336B">
            <w:rPr>
              <w:lang w:val="tr-TR"/>
            </w:rPr>
            <w:fldChar w:fldCharType="begin"/>
          </w:r>
          <w:r w:rsidR="00561428" w:rsidRPr="00CF336B">
            <w:rPr>
              <w:lang w:val="tr-TR"/>
            </w:rPr>
            <w:instrText xml:space="preserve">CITATION ACE13 \l 1033 </w:instrText>
          </w:r>
          <w:r w:rsidR="00D50D9D" w:rsidRPr="00CF336B">
            <w:rPr>
              <w:lang w:val="tr-TR"/>
            </w:rPr>
            <w:fldChar w:fldCharType="separate"/>
          </w:r>
          <w:r w:rsidR="00D95FF7" w:rsidRPr="00D95FF7">
            <w:rPr>
              <w:noProof/>
              <w:lang w:val="tr-TR"/>
            </w:rPr>
            <w:t>(ACER, 2013)</w:t>
          </w:r>
          <w:r w:rsidR="00D50D9D" w:rsidRPr="00CF336B">
            <w:rPr>
              <w:lang w:val="tr-TR"/>
            </w:rPr>
            <w:fldChar w:fldCharType="end"/>
          </w:r>
        </w:sdtContent>
      </w:sdt>
      <w:r w:rsidR="00442522" w:rsidRPr="00CF336B">
        <w:rPr>
          <w:lang w:val="tr-TR"/>
        </w:rPr>
        <w:t>.</w:t>
      </w:r>
      <w:r w:rsidR="00B65571" w:rsidRPr="00CF336B">
        <w:rPr>
          <w:lang w:val="tr-TR"/>
        </w:rPr>
        <w:t xml:space="preserve"> </w:t>
      </w:r>
      <w:r w:rsidR="00B65571" w:rsidRPr="00CF336B">
        <w:rPr>
          <w:lang w:val="tr-TR"/>
        </w:rPr>
        <w:fldChar w:fldCharType="begin"/>
      </w:r>
      <w:r w:rsidR="00B65571" w:rsidRPr="00CF336B">
        <w:rPr>
          <w:lang w:val="tr-TR"/>
        </w:rPr>
        <w:instrText xml:space="preserve"> REF _Ref147845517 \h </w:instrText>
      </w:r>
      <w:r w:rsidR="00413DBB" w:rsidRPr="00CF336B">
        <w:rPr>
          <w:lang w:val="tr-TR"/>
        </w:rPr>
        <w:instrText xml:space="preserve"> \* MERGEFORMAT </w:instrText>
      </w:r>
      <w:r w:rsidR="00B65571" w:rsidRPr="00CF336B">
        <w:rPr>
          <w:lang w:val="tr-TR"/>
        </w:rPr>
      </w:r>
      <w:r w:rsidR="00B65571" w:rsidRPr="00CF336B">
        <w:rPr>
          <w:lang w:val="tr-TR"/>
        </w:rPr>
        <w:fldChar w:fldCharType="separate"/>
      </w:r>
      <w:r w:rsidR="00CD4603" w:rsidRPr="00CF336B">
        <w:rPr>
          <w:lang w:val="tr-TR"/>
        </w:rPr>
        <w:t xml:space="preserve">Şekil </w:t>
      </w:r>
      <w:r w:rsidR="00CD4603" w:rsidRPr="00CF336B">
        <w:rPr>
          <w:noProof/>
          <w:lang w:val="tr-TR"/>
        </w:rPr>
        <w:t>2</w:t>
      </w:r>
      <w:r w:rsidR="00B65571" w:rsidRPr="00CF336B">
        <w:rPr>
          <w:lang w:val="tr-TR"/>
        </w:rPr>
        <w:fldChar w:fldCharType="end"/>
      </w:r>
      <w:r w:rsidR="00B65571" w:rsidRPr="00CF336B">
        <w:rPr>
          <w:lang w:val="tr-TR"/>
        </w:rPr>
        <w:t>, bu uygulamaların kırılımı</w:t>
      </w:r>
      <w:r w:rsidR="00DC2D11" w:rsidRPr="00CF336B">
        <w:rPr>
          <w:lang w:val="tr-TR"/>
        </w:rPr>
        <w:t>nı göstermektedir.</w:t>
      </w:r>
    </w:p>
    <w:p w14:paraId="5440DF27" w14:textId="77777777" w:rsidR="00A86CFF" w:rsidRPr="00CF336B" w:rsidRDefault="006B4E20" w:rsidP="004D4361">
      <w:pPr>
        <w:pStyle w:val="ListParagraph"/>
        <w:keepNext/>
        <w:spacing w:line="360" w:lineRule="auto"/>
        <w:ind w:left="0"/>
        <w:contextualSpacing w:val="0"/>
        <w:jc w:val="both"/>
        <w:rPr>
          <w:lang w:val="tr-TR"/>
        </w:rPr>
      </w:pPr>
      <w:r w:rsidRPr="00CF336B">
        <w:rPr>
          <w:noProof/>
          <w:lang w:val="tr-TR"/>
        </w:rPr>
        <w:drawing>
          <wp:inline distT="0" distB="0" distL="0" distR="0" wp14:anchorId="490C0EE8" wp14:editId="344AFA8F">
            <wp:extent cx="5486400" cy="3200400"/>
            <wp:effectExtent l="0" t="19050" r="0" b="38100"/>
            <wp:docPr id="3000399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22ABA3F" w14:textId="2D665989" w:rsidR="00CE7536" w:rsidRPr="00CF336B" w:rsidRDefault="00A86CFF" w:rsidP="004D4361">
      <w:pPr>
        <w:pStyle w:val="Caption"/>
        <w:spacing w:line="360" w:lineRule="auto"/>
        <w:jc w:val="center"/>
        <w:rPr>
          <w:color w:val="auto"/>
          <w:sz w:val="22"/>
          <w:szCs w:val="22"/>
          <w:lang w:val="tr-TR"/>
        </w:rPr>
      </w:pPr>
      <w:bookmarkStart w:id="10" w:name="_Ref147845517"/>
      <w:bookmarkStart w:id="11" w:name="_Toc156210456"/>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w:t>
      </w:r>
      <w:r w:rsidRPr="00CF336B">
        <w:rPr>
          <w:color w:val="auto"/>
          <w:sz w:val="22"/>
          <w:szCs w:val="22"/>
          <w:lang w:val="tr-TR"/>
        </w:rPr>
        <w:fldChar w:fldCharType="end"/>
      </w:r>
      <w:bookmarkEnd w:id="10"/>
      <w:r w:rsidRPr="00CF336B">
        <w:rPr>
          <w:color w:val="auto"/>
          <w:sz w:val="22"/>
          <w:szCs w:val="22"/>
          <w:lang w:val="tr-TR"/>
        </w:rPr>
        <w:t>.</w:t>
      </w:r>
      <w:r w:rsidR="00726FC3" w:rsidRPr="00CF336B">
        <w:rPr>
          <w:color w:val="auto"/>
          <w:sz w:val="22"/>
          <w:szCs w:val="22"/>
          <w:lang w:val="tr-TR"/>
        </w:rPr>
        <w:t xml:space="preserve"> </w:t>
      </w:r>
      <w:r w:rsidRPr="00CF336B">
        <w:rPr>
          <w:color w:val="auto"/>
          <w:sz w:val="22"/>
          <w:szCs w:val="22"/>
          <w:lang w:val="tr-TR"/>
        </w:rPr>
        <w:t>Kapasite Mekanizması Uygulama Yolları</w:t>
      </w:r>
      <w:bookmarkEnd w:id="11"/>
    </w:p>
    <w:p w14:paraId="6E49E82C" w14:textId="2ACF4CDB" w:rsidR="00A454E7" w:rsidRPr="00CF336B" w:rsidRDefault="00CE7536" w:rsidP="004D4361">
      <w:pPr>
        <w:spacing w:line="360" w:lineRule="auto"/>
        <w:jc w:val="both"/>
        <w:rPr>
          <w:lang w:val="tr-TR"/>
        </w:rPr>
      </w:pPr>
      <w:r w:rsidRPr="00CF336B">
        <w:rPr>
          <w:lang w:val="tr-TR"/>
        </w:rPr>
        <w:t>Hacim odaklı mekanizmada, ihtiyaç duyulan kapasite</w:t>
      </w:r>
      <w:r w:rsidR="00691B75" w:rsidRPr="00CF336B">
        <w:rPr>
          <w:lang w:val="tr-TR"/>
        </w:rPr>
        <w:t xml:space="preserve"> politika yapıcılar tarafından</w:t>
      </w:r>
      <w:r w:rsidRPr="00CF336B">
        <w:rPr>
          <w:lang w:val="tr-TR"/>
        </w:rPr>
        <w:t xml:space="preserve"> belirlemekte</w:t>
      </w:r>
      <w:r w:rsidR="00DD19E7" w:rsidRPr="00CF336B">
        <w:rPr>
          <w:lang w:val="tr-TR"/>
        </w:rPr>
        <w:t xml:space="preserve"> ve</w:t>
      </w:r>
      <w:r w:rsidRPr="00CF336B">
        <w:rPr>
          <w:lang w:val="tr-TR"/>
        </w:rPr>
        <w:t xml:space="preserve"> fiyat</w:t>
      </w:r>
      <w:r w:rsidR="00DD19E7" w:rsidRPr="00CF336B">
        <w:rPr>
          <w:lang w:val="tr-TR"/>
        </w:rPr>
        <w:t>ın</w:t>
      </w:r>
      <w:r w:rsidRPr="00CF336B">
        <w:rPr>
          <w:lang w:val="tr-TR"/>
        </w:rPr>
        <w:t xml:space="preserve"> piyasada </w:t>
      </w:r>
      <w:r w:rsidR="00671E6E" w:rsidRPr="00CF336B">
        <w:rPr>
          <w:lang w:val="tr-TR"/>
        </w:rPr>
        <w:t>oluşma</w:t>
      </w:r>
      <w:r w:rsidR="00DD19E7" w:rsidRPr="00CF336B">
        <w:rPr>
          <w:lang w:val="tr-TR"/>
        </w:rPr>
        <w:t>sına izin verilmektedir</w:t>
      </w:r>
      <w:r w:rsidR="00671E6E" w:rsidRPr="00CF336B">
        <w:rPr>
          <w:lang w:val="tr-TR"/>
        </w:rPr>
        <w:t>.</w:t>
      </w:r>
      <w:r w:rsidRPr="00CF336B">
        <w:rPr>
          <w:lang w:val="tr-TR"/>
        </w:rPr>
        <w:t xml:space="preserve"> Fiyat odaklı mekanizmada ise fiyat</w:t>
      </w:r>
      <w:r w:rsidR="00077A7A" w:rsidRPr="00CF336B">
        <w:rPr>
          <w:lang w:val="tr-TR"/>
        </w:rPr>
        <w:t>,</w:t>
      </w:r>
      <w:r w:rsidR="008E4D21" w:rsidRPr="00CF336B">
        <w:rPr>
          <w:lang w:val="tr-TR"/>
        </w:rPr>
        <w:t xml:space="preserve"> politika yapıcılar tarafından</w:t>
      </w:r>
      <w:r w:rsidRPr="00CF336B">
        <w:rPr>
          <w:lang w:val="tr-TR"/>
        </w:rPr>
        <w:t xml:space="preserve"> belirlemekte ve yatırımcılar </w:t>
      </w:r>
      <w:r w:rsidR="008E4D21" w:rsidRPr="00CF336B">
        <w:rPr>
          <w:lang w:val="tr-TR"/>
        </w:rPr>
        <w:t>bu fiyat üzerinden</w:t>
      </w:r>
      <w:r w:rsidRPr="00CF336B">
        <w:rPr>
          <w:lang w:val="tr-TR"/>
        </w:rPr>
        <w:t xml:space="preserve"> ne kadar yatırım yapmak istediklerine </w:t>
      </w:r>
      <w:r w:rsidR="008E4D21" w:rsidRPr="00CF336B">
        <w:rPr>
          <w:lang w:val="tr-TR"/>
        </w:rPr>
        <w:t xml:space="preserve">kendileri </w:t>
      </w:r>
      <w:r w:rsidRPr="00CF336B">
        <w:rPr>
          <w:lang w:val="tr-TR"/>
        </w:rPr>
        <w:t>karar vermektedirler. H</w:t>
      </w:r>
      <w:r w:rsidR="00B734D8" w:rsidRPr="00CF336B">
        <w:rPr>
          <w:lang w:val="tr-TR"/>
        </w:rPr>
        <w:t xml:space="preserve">edeflenen kapasite altında uygulanan kapasite mekanizmasında </w:t>
      </w:r>
      <w:r w:rsidR="00AA37D0" w:rsidRPr="00CF336B">
        <w:rPr>
          <w:lang w:val="tr-TR"/>
        </w:rPr>
        <w:t>yalnızca</w:t>
      </w:r>
      <w:r w:rsidRPr="00CF336B">
        <w:rPr>
          <w:lang w:val="tr-TR"/>
        </w:rPr>
        <w:t xml:space="preserve"> bel</w:t>
      </w:r>
      <w:r w:rsidR="00AA37D0" w:rsidRPr="00CF336B">
        <w:rPr>
          <w:lang w:val="tr-TR"/>
        </w:rPr>
        <w:t>l</w:t>
      </w:r>
      <w:r w:rsidRPr="00CF336B">
        <w:rPr>
          <w:lang w:val="tr-TR"/>
        </w:rPr>
        <w:t>i teknolojiye sahip santrallere ödeme yap</w:t>
      </w:r>
      <w:r w:rsidR="00673D14" w:rsidRPr="00CF336B">
        <w:rPr>
          <w:lang w:val="tr-TR"/>
        </w:rPr>
        <w:t>ıl</w:t>
      </w:r>
      <w:r w:rsidR="00E67F4A" w:rsidRPr="00CF336B">
        <w:rPr>
          <w:lang w:val="tr-TR"/>
        </w:rPr>
        <w:t xml:space="preserve">maktadır. </w:t>
      </w:r>
      <w:r w:rsidR="0071162A" w:rsidRPr="00CF336B">
        <w:rPr>
          <w:lang w:val="tr-TR"/>
        </w:rPr>
        <w:t>P</w:t>
      </w:r>
      <w:r w:rsidRPr="00CF336B">
        <w:rPr>
          <w:lang w:val="tr-TR"/>
        </w:rPr>
        <w:t xml:space="preserve">iyasa </w:t>
      </w:r>
      <w:r w:rsidR="00E67F4A" w:rsidRPr="00CF336B">
        <w:rPr>
          <w:lang w:val="tr-TR"/>
        </w:rPr>
        <w:t xml:space="preserve">bazlı kapasite altında uygulanan </w:t>
      </w:r>
      <w:r w:rsidRPr="00CF336B">
        <w:rPr>
          <w:lang w:val="tr-TR"/>
        </w:rPr>
        <w:t>mekanizmalar</w:t>
      </w:r>
      <w:r w:rsidR="00673D14" w:rsidRPr="00CF336B">
        <w:rPr>
          <w:lang w:val="tr-TR"/>
        </w:rPr>
        <w:t>da</w:t>
      </w:r>
      <w:r w:rsidR="0071162A" w:rsidRPr="00CF336B">
        <w:rPr>
          <w:lang w:val="tr-TR"/>
        </w:rPr>
        <w:t xml:space="preserve"> ise </w:t>
      </w:r>
      <w:r w:rsidR="00E7208C" w:rsidRPr="00CF336B">
        <w:rPr>
          <w:lang w:val="tr-TR"/>
        </w:rPr>
        <w:t>ödeme teknolojiden bağımsız olarak yapılmaktadır</w:t>
      </w:r>
      <w:r w:rsidRPr="00CF336B">
        <w:rPr>
          <w:lang w:val="tr-TR"/>
        </w:rPr>
        <w:t>. Avrupa Birliği’ndeki</w:t>
      </w:r>
      <w:r w:rsidR="00BE1CEF">
        <w:rPr>
          <w:lang w:val="tr-TR"/>
        </w:rPr>
        <w:t xml:space="preserve"> (AB)</w:t>
      </w:r>
      <w:r w:rsidRPr="00CF336B">
        <w:rPr>
          <w:lang w:val="tr-TR"/>
        </w:rPr>
        <w:t xml:space="preserve"> başlıca kapasite mekanizması uygulamaları aşağıdaki gibidir</w:t>
      </w:r>
      <w:r w:rsidR="006D45F3" w:rsidRPr="00CF336B">
        <w:rPr>
          <w:lang w:val="tr-TR"/>
        </w:rPr>
        <w:t xml:space="preserve"> </w:t>
      </w:r>
      <w:sdt>
        <w:sdtPr>
          <w:rPr>
            <w:lang w:val="tr-TR"/>
          </w:rPr>
          <w:id w:val="1607078895"/>
          <w:citation/>
        </w:sdtPr>
        <w:sdtEndPr/>
        <w:sdtContent>
          <w:r w:rsidR="009C3C1B" w:rsidRPr="00CF336B">
            <w:rPr>
              <w:lang w:val="tr-TR"/>
            </w:rPr>
            <w:fldChar w:fldCharType="begin"/>
          </w:r>
          <w:r w:rsidR="009C3C1B" w:rsidRPr="00CF336B">
            <w:rPr>
              <w:lang w:val="tr-TR"/>
            </w:rPr>
            <w:instrText xml:space="preserve"> CITATION Eur17 \l 1033 </w:instrText>
          </w:r>
          <w:r w:rsidR="009C3C1B" w:rsidRPr="00CF336B">
            <w:rPr>
              <w:lang w:val="tr-TR"/>
            </w:rPr>
            <w:fldChar w:fldCharType="separate"/>
          </w:r>
          <w:r w:rsidR="00D95FF7" w:rsidRPr="00D95FF7">
            <w:rPr>
              <w:noProof/>
              <w:lang w:val="tr-TR"/>
            </w:rPr>
            <w:t>(European Parliament, 2017)</w:t>
          </w:r>
          <w:r w:rsidR="009C3C1B" w:rsidRPr="00CF336B">
            <w:rPr>
              <w:lang w:val="tr-TR"/>
            </w:rPr>
            <w:fldChar w:fldCharType="end"/>
          </w:r>
        </w:sdtContent>
      </w:sdt>
      <w:r w:rsidR="00BA18F0" w:rsidRPr="00CF336B">
        <w:rPr>
          <w:lang w:val="tr-TR"/>
        </w:rPr>
        <w:t>:</w:t>
      </w:r>
    </w:p>
    <w:p w14:paraId="08EBB53E" w14:textId="58FDAE7E" w:rsidR="00522FC4" w:rsidRPr="00CF336B" w:rsidRDefault="00CE7536" w:rsidP="004D4361">
      <w:pPr>
        <w:pStyle w:val="ListParagraph"/>
        <w:numPr>
          <w:ilvl w:val="0"/>
          <w:numId w:val="5"/>
        </w:numPr>
        <w:spacing w:line="360" w:lineRule="auto"/>
        <w:ind w:left="714" w:hanging="357"/>
        <w:contextualSpacing w:val="0"/>
        <w:jc w:val="both"/>
        <w:rPr>
          <w:lang w:val="tr-TR"/>
        </w:rPr>
      </w:pPr>
      <w:r w:rsidRPr="00CF336B">
        <w:rPr>
          <w:b/>
          <w:bCs/>
          <w:lang w:val="tr-TR"/>
        </w:rPr>
        <w:t>Stratejik Rezerv</w:t>
      </w:r>
      <w:r w:rsidRPr="00CF336B">
        <w:rPr>
          <w:lang w:val="tr-TR"/>
        </w:rPr>
        <w:t xml:space="preserve">: </w:t>
      </w:r>
      <w:r w:rsidR="0068792D" w:rsidRPr="00CF336B">
        <w:rPr>
          <w:lang w:val="tr-TR"/>
        </w:rPr>
        <w:t>Bu uygulama altında ü</w:t>
      </w:r>
      <w:r w:rsidR="00FE3438" w:rsidRPr="00CF336B">
        <w:rPr>
          <w:lang w:val="tr-TR"/>
        </w:rPr>
        <w:t xml:space="preserve">lkede </w:t>
      </w:r>
      <w:r w:rsidR="0068792D" w:rsidRPr="00CF336B">
        <w:rPr>
          <w:lang w:val="tr-TR"/>
        </w:rPr>
        <w:t>arz güvenliği konularıyla ilgilenen merkezi kurum tarafından</w:t>
      </w:r>
      <w:r w:rsidR="006730D7" w:rsidRPr="00CF336B">
        <w:rPr>
          <w:lang w:val="tr-TR"/>
        </w:rPr>
        <w:t xml:space="preserve"> </w:t>
      </w:r>
      <w:r w:rsidR="0068792D" w:rsidRPr="00CF336B">
        <w:rPr>
          <w:lang w:val="tr-TR"/>
        </w:rPr>
        <w:t xml:space="preserve">gelecek dönemler için ihtiyaç duyulacak kapasite belirlenmekte ve </w:t>
      </w:r>
      <w:r w:rsidR="004071F1" w:rsidRPr="00CF336B">
        <w:rPr>
          <w:lang w:val="tr-TR"/>
        </w:rPr>
        <w:t>bu kapasite</w:t>
      </w:r>
      <w:r w:rsidR="006730D7" w:rsidRPr="00CF336B">
        <w:rPr>
          <w:lang w:val="tr-TR"/>
        </w:rPr>
        <w:t xml:space="preserve"> ihtiyacının </w:t>
      </w:r>
      <w:r w:rsidR="00845D89" w:rsidRPr="00CF336B">
        <w:rPr>
          <w:lang w:val="tr-TR"/>
        </w:rPr>
        <w:t>giderilmesi</w:t>
      </w:r>
      <w:r w:rsidR="006730D7" w:rsidRPr="00CF336B">
        <w:rPr>
          <w:lang w:val="tr-TR"/>
        </w:rPr>
        <w:t xml:space="preserve"> için</w:t>
      </w:r>
      <w:r w:rsidR="00C74955" w:rsidRPr="00CF336B">
        <w:rPr>
          <w:lang w:val="tr-TR"/>
        </w:rPr>
        <w:t xml:space="preserve"> ilgili kurum tarafından</w:t>
      </w:r>
      <w:r w:rsidR="006730D7" w:rsidRPr="00CF336B">
        <w:rPr>
          <w:lang w:val="tr-TR"/>
        </w:rPr>
        <w:t xml:space="preserve"> ihale yapılmaktadır</w:t>
      </w:r>
      <w:r w:rsidR="00C74955" w:rsidRPr="00CF336B">
        <w:rPr>
          <w:lang w:val="tr-TR"/>
        </w:rPr>
        <w:t xml:space="preserve">. </w:t>
      </w:r>
      <w:r w:rsidR="00645C1C" w:rsidRPr="00CF336B">
        <w:rPr>
          <w:lang w:val="tr-TR"/>
        </w:rPr>
        <w:t>İhale sonucu yapılan kapasite sözleşmesinin tarafı olan elektrik santrali</w:t>
      </w:r>
      <w:r w:rsidR="00054259" w:rsidRPr="00CF336B">
        <w:rPr>
          <w:lang w:val="tr-TR"/>
        </w:rPr>
        <w:t>,</w:t>
      </w:r>
      <w:r w:rsidR="00645C1C" w:rsidRPr="00CF336B">
        <w:rPr>
          <w:lang w:val="tr-TR"/>
        </w:rPr>
        <w:t xml:space="preserve"> </w:t>
      </w:r>
      <w:r w:rsidR="0024682E" w:rsidRPr="00CF336B">
        <w:rPr>
          <w:lang w:val="tr-TR"/>
        </w:rPr>
        <w:t xml:space="preserve">piyasada elektrik ticareti yapamamakta </w:t>
      </w:r>
      <w:r w:rsidR="00384F85" w:rsidRPr="00CF336B">
        <w:rPr>
          <w:lang w:val="tr-TR"/>
        </w:rPr>
        <w:t xml:space="preserve">ve </w:t>
      </w:r>
      <w:r w:rsidR="00054259" w:rsidRPr="00CF336B">
        <w:rPr>
          <w:lang w:val="tr-TR"/>
        </w:rPr>
        <w:t>yalnızca</w:t>
      </w:r>
      <w:r w:rsidR="00384F85" w:rsidRPr="00CF336B">
        <w:rPr>
          <w:lang w:val="tr-TR"/>
        </w:rPr>
        <w:t xml:space="preserve"> </w:t>
      </w:r>
      <w:r w:rsidR="00054259" w:rsidRPr="00CF336B">
        <w:rPr>
          <w:lang w:val="tr-TR"/>
        </w:rPr>
        <w:t>arz</w:t>
      </w:r>
      <w:r w:rsidR="00384F85" w:rsidRPr="00CF336B">
        <w:rPr>
          <w:lang w:val="tr-TR"/>
        </w:rPr>
        <w:t xml:space="preserve"> açığı olması durumunda önceden belirlenen kriterlere göre </w:t>
      </w:r>
      <w:r w:rsidR="00DD19E7" w:rsidRPr="00CF336B">
        <w:rPr>
          <w:lang w:val="tr-TR"/>
        </w:rPr>
        <w:t>üretim yapmaktadır</w:t>
      </w:r>
      <w:r w:rsidR="00054259" w:rsidRPr="00CF336B">
        <w:rPr>
          <w:lang w:val="tr-TR"/>
        </w:rPr>
        <w:t>.</w:t>
      </w:r>
      <w:r w:rsidR="00384F85" w:rsidRPr="00CF336B" w:rsidDel="0024682E">
        <w:rPr>
          <w:lang w:val="tr-TR"/>
        </w:rPr>
        <w:t xml:space="preserve"> </w:t>
      </w:r>
      <w:r w:rsidR="00077A7A" w:rsidRPr="00CF336B">
        <w:rPr>
          <w:lang w:val="tr-TR"/>
        </w:rPr>
        <w:t>Stratejik rezerv uygulamasında temel amaç</w:t>
      </w:r>
      <w:r w:rsidR="00DD19E7" w:rsidRPr="00CF336B">
        <w:rPr>
          <w:lang w:val="tr-TR"/>
        </w:rPr>
        <w:t>,</w:t>
      </w:r>
      <w:r w:rsidR="00077A7A" w:rsidRPr="00CF336B">
        <w:rPr>
          <w:lang w:val="tr-TR"/>
        </w:rPr>
        <w:t xml:space="preserve"> mev</w:t>
      </w:r>
      <w:r w:rsidR="00DD19E7" w:rsidRPr="00CF336B">
        <w:rPr>
          <w:lang w:val="tr-TR"/>
        </w:rPr>
        <w:t>c</w:t>
      </w:r>
      <w:r w:rsidR="00077A7A" w:rsidRPr="00CF336B">
        <w:rPr>
          <w:lang w:val="tr-TR"/>
        </w:rPr>
        <w:t xml:space="preserve">ut kapasitenin korunmasıdır ve yeni santral yatırımları için bir teşvik yaratma hedefi yoktur. </w:t>
      </w:r>
      <w:r w:rsidRPr="00CF336B">
        <w:rPr>
          <w:lang w:val="tr-TR"/>
        </w:rPr>
        <w:t>Stratejik rezerv uygulaması Almanya, Belçika, Polonya ve İsveç’te uygulanmaktadır.</w:t>
      </w:r>
      <w:r w:rsidR="00077A7A" w:rsidRPr="00CF336B">
        <w:rPr>
          <w:lang w:val="tr-TR"/>
        </w:rPr>
        <w:t xml:space="preserve"> </w:t>
      </w:r>
    </w:p>
    <w:p w14:paraId="352E7DBA" w14:textId="7F550335" w:rsidR="00C6719C" w:rsidRPr="00CF336B" w:rsidRDefault="007B6424" w:rsidP="004D4361">
      <w:pPr>
        <w:pStyle w:val="ListParagraph"/>
        <w:numPr>
          <w:ilvl w:val="0"/>
          <w:numId w:val="5"/>
        </w:numPr>
        <w:spacing w:line="360" w:lineRule="auto"/>
        <w:ind w:left="714" w:hanging="357"/>
        <w:contextualSpacing w:val="0"/>
        <w:jc w:val="both"/>
        <w:rPr>
          <w:b/>
          <w:bCs/>
          <w:lang w:val="tr-TR"/>
        </w:rPr>
      </w:pPr>
      <w:r w:rsidRPr="00CF336B">
        <w:rPr>
          <w:b/>
          <w:bCs/>
          <w:lang w:val="tr-TR"/>
        </w:rPr>
        <w:t>Zorunlu</w:t>
      </w:r>
      <w:r w:rsidR="008D69D5">
        <w:rPr>
          <w:b/>
          <w:bCs/>
          <w:lang w:val="tr-TR"/>
        </w:rPr>
        <w:t xml:space="preserve"> Kapasite: </w:t>
      </w:r>
      <w:r w:rsidR="00CE7536" w:rsidRPr="00CF336B">
        <w:rPr>
          <w:lang w:val="tr-TR"/>
        </w:rPr>
        <w:t>Büyük çaplı elektrik tüketicilerinin</w:t>
      </w:r>
      <w:r w:rsidR="00A2768D" w:rsidRPr="00CF336B">
        <w:rPr>
          <w:lang w:val="tr-TR"/>
        </w:rPr>
        <w:t>/</w:t>
      </w:r>
      <w:r w:rsidR="00CE7536" w:rsidRPr="00CF336B">
        <w:rPr>
          <w:lang w:val="tr-TR"/>
        </w:rPr>
        <w:t>elektrik tedarikçileri</w:t>
      </w:r>
      <w:r w:rsidR="00A2768D" w:rsidRPr="00CF336B">
        <w:rPr>
          <w:lang w:val="tr-TR"/>
        </w:rPr>
        <w:t>nin</w:t>
      </w:r>
      <w:r w:rsidR="00CE7536" w:rsidRPr="00CF336B">
        <w:rPr>
          <w:lang w:val="tr-TR"/>
        </w:rPr>
        <w:t xml:space="preserve"> uzun vadeli tüketimi/tedarikleri</w:t>
      </w:r>
      <w:r w:rsidR="00B7678C" w:rsidRPr="00CF336B">
        <w:rPr>
          <w:lang w:val="tr-TR"/>
        </w:rPr>
        <w:t xml:space="preserve">ni öngörerek önceden ilave rezerv oluşturmaları için </w:t>
      </w:r>
      <w:r w:rsidR="00C861F9" w:rsidRPr="00CF336B">
        <w:rPr>
          <w:lang w:val="tr-TR"/>
        </w:rPr>
        <w:t xml:space="preserve">uygulanan bir mekanizmadır. </w:t>
      </w:r>
      <w:r w:rsidR="000279B0" w:rsidRPr="00CF336B">
        <w:rPr>
          <w:lang w:val="tr-TR"/>
        </w:rPr>
        <w:t>Bu mekanizmad</w:t>
      </w:r>
      <w:r w:rsidR="008D4636" w:rsidRPr="00CF336B">
        <w:rPr>
          <w:lang w:val="tr-TR"/>
        </w:rPr>
        <w:t>a</w:t>
      </w:r>
      <w:r w:rsidR="000279B0" w:rsidRPr="00CF336B">
        <w:rPr>
          <w:lang w:val="tr-TR"/>
        </w:rPr>
        <w:t xml:space="preserve"> büyük elektrik tüketicileri/tedarikçiler</w:t>
      </w:r>
      <w:r w:rsidR="00DD19E7" w:rsidRPr="00CF336B">
        <w:rPr>
          <w:lang w:val="tr-TR"/>
        </w:rPr>
        <w:t>i</w:t>
      </w:r>
      <w:r w:rsidR="000279B0" w:rsidRPr="00CF336B">
        <w:rPr>
          <w:lang w:val="tr-TR"/>
        </w:rPr>
        <w:t xml:space="preserve"> bir </w:t>
      </w:r>
      <w:r w:rsidR="008D4636" w:rsidRPr="00CF336B">
        <w:rPr>
          <w:lang w:val="tr-TR"/>
        </w:rPr>
        <w:t xml:space="preserve">resmi </w:t>
      </w:r>
      <w:r w:rsidR="000279B0" w:rsidRPr="00CF336B">
        <w:rPr>
          <w:lang w:val="tr-TR"/>
        </w:rPr>
        <w:t xml:space="preserve">yükümlülük altında </w:t>
      </w:r>
      <w:r w:rsidR="008D4636" w:rsidRPr="00CF336B">
        <w:rPr>
          <w:lang w:val="tr-TR"/>
        </w:rPr>
        <w:t>sözleşmeler yapmakta</w:t>
      </w:r>
      <w:r w:rsidR="00D3407B" w:rsidRPr="00CF336B">
        <w:rPr>
          <w:lang w:val="tr-TR"/>
        </w:rPr>
        <w:t>, aksi takdirde mali olarak cezalandırılmaktadırlar.</w:t>
      </w:r>
      <w:r w:rsidR="008D69D5">
        <w:rPr>
          <w:lang w:val="tr-TR"/>
        </w:rPr>
        <w:t xml:space="preserve"> </w:t>
      </w:r>
      <w:r w:rsidR="00CE7536" w:rsidRPr="00CF336B">
        <w:rPr>
          <w:lang w:val="tr-TR"/>
        </w:rPr>
        <w:t>Fransa’da uygulanan kapasite mekanizmaları kapasite zorunluluğu esasına dayanmaktadır.</w:t>
      </w:r>
    </w:p>
    <w:p w14:paraId="1BD836B0" w14:textId="04572635" w:rsidR="005B25AF" w:rsidRPr="00CF336B" w:rsidRDefault="00CE7536" w:rsidP="004D4361">
      <w:pPr>
        <w:pStyle w:val="ListParagraph"/>
        <w:numPr>
          <w:ilvl w:val="0"/>
          <w:numId w:val="5"/>
        </w:numPr>
        <w:spacing w:line="360" w:lineRule="auto"/>
        <w:ind w:left="714" w:hanging="357"/>
        <w:contextualSpacing w:val="0"/>
        <w:jc w:val="both"/>
        <w:rPr>
          <w:b/>
          <w:bCs/>
          <w:lang w:val="tr-TR"/>
        </w:rPr>
      </w:pPr>
      <w:r w:rsidRPr="00CF336B">
        <w:rPr>
          <w:b/>
          <w:bCs/>
          <w:lang w:val="tr-TR"/>
        </w:rPr>
        <w:t xml:space="preserve">Kapasite </w:t>
      </w:r>
      <w:r w:rsidR="00302AD6" w:rsidRPr="00CF336B">
        <w:rPr>
          <w:b/>
          <w:bCs/>
          <w:lang w:val="tr-TR"/>
        </w:rPr>
        <w:t>İhalele</w:t>
      </w:r>
      <w:r w:rsidR="008D69D5">
        <w:rPr>
          <w:b/>
          <w:bCs/>
          <w:lang w:val="tr-TR"/>
        </w:rPr>
        <w:t xml:space="preserve">ri: </w:t>
      </w:r>
      <w:r w:rsidRPr="00CF336B">
        <w:rPr>
          <w:lang w:val="tr-TR"/>
        </w:rPr>
        <w:t>Gelecek dönem</w:t>
      </w:r>
      <w:r w:rsidR="005D013A" w:rsidRPr="00CF336B">
        <w:rPr>
          <w:lang w:val="tr-TR"/>
        </w:rPr>
        <w:t xml:space="preserve"> için </w:t>
      </w:r>
      <w:r w:rsidRPr="00CF336B">
        <w:rPr>
          <w:lang w:val="tr-TR"/>
        </w:rPr>
        <w:t>ihtiya</w:t>
      </w:r>
      <w:r w:rsidR="005D013A" w:rsidRPr="00CF336B">
        <w:rPr>
          <w:lang w:val="tr-TR"/>
        </w:rPr>
        <w:t xml:space="preserve">ç duyulacak </w:t>
      </w:r>
      <w:r w:rsidRPr="00CF336B">
        <w:rPr>
          <w:lang w:val="tr-TR"/>
        </w:rPr>
        <w:t>kapasite birkaç yıl önceden belirlen</w:t>
      </w:r>
      <w:r w:rsidR="005D013A" w:rsidRPr="00CF336B">
        <w:rPr>
          <w:lang w:val="tr-TR"/>
        </w:rPr>
        <w:t>mekte</w:t>
      </w:r>
      <w:r w:rsidRPr="00CF336B">
        <w:rPr>
          <w:lang w:val="tr-TR"/>
        </w:rPr>
        <w:t xml:space="preserve"> ve </w:t>
      </w:r>
      <w:r w:rsidR="005D013A" w:rsidRPr="00CF336B">
        <w:rPr>
          <w:lang w:val="tr-TR"/>
        </w:rPr>
        <w:t xml:space="preserve">ihale yoluyla </w:t>
      </w:r>
      <w:r w:rsidR="00C5584B" w:rsidRPr="00CF336B">
        <w:rPr>
          <w:lang w:val="tr-TR"/>
        </w:rPr>
        <w:t>dağıtılmaktadır</w:t>
      </w:r>
      <w:r w:rsidRPr="00CF336B">
        <w:rPr>
          <w:lang w:val="tr-TR"/>
        </w:rPr>
        <w:t>.</w:t>
      </w:r>
      <w:r w:rsidR="00E73175" w:rsidRPr="00CF336B">
        <w:rPr>
          <w:lang w:val="tr-TR"/>
        </w:rPr>
        <w:t xml:space="preserve"> </w:t>
      </w:r>
      <w:r w:rsidR="003F1341" w:rsidRPr="00CF336B">
        <w:rPr>
          <w:lang w:val="tr-TR"/>
        </w:rPr>
        <w:t>Bu mekanizma altında yatırımcılar,</w:t>
      </w:r>
      <w:r w:rsidRPr="00CF336B">
        <w:rPr>
          <w:lang w:val="tr-TR"/>
        </w:rPr>
        <w:t xml:space="preserve"> </w:t>
      </w:r>
      <w:r w:rsidR="00E73175" w:rsidRPr="00CF336B">
        <w:rPr>
          <w:lang w:val="tr-TR"/>
        </w:rPr>
        <w:t xml:space="preserve">yeni bir santral kurmanın maliyetini yansıtacak şekilde bir ihale teklifi belirlemektedirler. </w:t>
      </w:r>
      <w:r w:rsidR="00251436" w:rsidRPr="00CF336B">
        <w:rPr>
          <w:lang w:val="tr-TR"/>
        </w:rPr>
        <w:t>İhale sonucunda oluşacak</w:t>
      </w:r>
      <w:r w:rsidRPr="00CF336B">
        <w:rPr>
          <w:lang w:val="tr-TR"/>
        </w:rPr>
        <w:t xml:space="preserve"> yeni kapasite, üretilen elektrik enerjisinin baz alındığı “</w:t>
      </w:r>
      <w:proofErr w:type="spellStart"/>
      <w:r w:rsidRPr="00CF336B">
        <w:rPr>
          <w:lang w:val="tr-TR"/>
        </w:rPr>
        <w:t>energy-only</w:t>
      </w:r>
      <w:proofErr w:type="spellEnd"/>
      <w:r w:rsidRPr="00CF336B">
        <w:rPr>
          <w:lang w:val="tr-TR"/>
        </w:rPr>
        <w:t>” piyasasına tabii ol</w:t>
      </w:r>
      <w:r w:rsidR="00251436" w:rsidRPr="00CF336B">
        <w:rPr>
          <w:lang w:val="tr-TR"/>
        </w:rPr>
        <w:t>maktadır</w:t>
      </w:r>
      <w:r w:rsidRPr="00CF336B">
        <w:rPr>
          <w:lang w:val="tr-TR"/>
        </w:rPr>
        <w:t>.</w:t>
      </w:r>
      <w:r w:rsidR="00C6719C" w:rsidRPr="00CF336B">
        <w:rPr>
          <w:lang w:val="tr-TR"/>
        </w:rPr>
        <w:t xml:space="preserve"> Kapasite ihaleleri yöntemi İngiltere’de kullanılmaktadır. </w:t>
      </w:r>
    </w:p>
    <w:p w14:paraId="701C113E" w14:textId="19CAF84B" w:rsidR="005B25AF" w:rsidRPr="00CF336B" w:rsidRDefault="00173140" w:rsidP="004D4361">
      <w:pPr>
        <w:pStyle w:val="ListParagraph"/>
        <w:numPr>
          <w:ilvl w:val="0"/>
          <w:numId w:val="5"/>
        </w:numPr>
        <w:spacing w:line="360" w:lineRule="auto"/>
        <w:ind w:left="714" w:hanging="357"/>
        <w:contextualSpacing w:val="0"/>
        <w:jc w:val="both"/>
        <w:rPr>
          <w:b/>
          <w:bCs/>
          <w:lang w:val="tr-TR"/>
        </w:rPr>
      </w:pPr>
      <w:r w:rsidRPr="00CF336B">
        <w:rPr>
          <w:b/>
          <w:bCs/>
          <w:lang w:val="tr-TR"/>
        </w:rPr>
        <w:t>Güvenilir Kapasite</w:t>
      </w:r>
      <w:r w:rsidR="00CE7536" w:rsidRPr="00CF336B">
        <w:rPr>
          <w:b/>
          <w:bCs/>
          <w:lang w:val="tr-TR"/>
        </w:rPr>
        <w:t>:</w:t>
      </w:r>
      <w:r w:rsidR="008D69D5">
        <w:rPr>
          <w:b/>
          <w:bCs/>
          <w:lang w:val="tr-TR"/>
        </w:rPr>
        <w:t xml:space="preserve"> </w:t>
      </w:r>
      <w:r w:rsidR="00CE7536" w:rsidRPr="00CF336B">
        <w:rPr>
          <w:lang w:val="tr-TR"/>
        </w:rPr>
        <w:t>Kapasite sağlayıcısı</w:t>
      </w:r>
      <w:r w:rsidR="003A0D7C" w:rsidRPr="00CF336B">
        <w:rPr>
          <w:lang w:val="tr-TR"/>
        </w:rPr>
        <w:t xml:space="preserve"> </w:t>
      </w:r>
      <w:r w:rsidR="00DD19E7" w:rsidRPr="00CF336B">
        <w:rPr>
          <w:lang w:val="tr-TR"/>
        </w:rPr>
        <w:t xml:space="preserve">ve </w:t>
      </w:r>
      <w:r w:rsidR="003A0D7C" w:rsidRPr="00CF336B">
        <w:rPr>
          <w:lang w:val="tr-TR"/>
        </w:rPr>
        <w:t xml:space="preserve">elektrik tüketicisi/tedarikçisi </w:t>
      </w:r>
      <w:r w:rsidR="00DD19E7" w:rsidRPr="00CF336B">
        <w:rPr>
          <w:lang w:val="tr-TR"/>
        </w:rPr>
        <w:t xml:space="preserve">arasında </w:t>
      </w:r>
      <w:r w:rsidR="003A0D7C" w:rsidRPr="00CF336B">
        <w:rPr>
          <w:lang w:val="tr-TR"/>
        </w:rPr>
        <w:t>yap</w:t>
      </w:r>
      <w:r w:rsidR="00DD19E7" w:rsidRPr="00CF336B">
        <w:rPr>
          <w:lang w:val="tr-TR"/>
        </w:rPr>
        <w:t>ılan</w:t>
      </w:r>
      <w:r w:rsidR="003A0D7C" w:rsidRPr="00CF336B">
        <w:rPr>
          <w:lang w:val="tr-TR"/>
        </w:rPr>
        <w:t xml:space="preserve"> bir sözleşmeye dayanmaktadır. Bu sözleşmede </w:t>
      </w:r>
      <w:r w:rsidR="0020519A" w:rsidRPr="00CF336B">
        <w:rPr>
          <w:lang w:val="tr-TR"/>
        </w:rPr>
        <w:t xml:space="preserve">tüketici/tedarikçi </w:t>
      </w:r>
      <w:r w:rsidR="00CE7536" w:rsidRPr="00CF336B">
        <w:rPr>
          <w:lang w:val="tr-TR"/>
        </w:rPr>
        <w:t xml:space="preserve">elektriği daha önceden belirlenmiş olan kullanım fiyatı üzerinden tedarik edebilme </w:t>
      </w:r>
      <w:r w:rsidR="0020519A" w:rsidRPr="00CF336B">
        <w:rPr>
          <w:lang w:val="tr-TR"/>
        </w:rPr>
        <w:t>şansı elde etmektedir.</w:t>
      </w:r>
      <w:r w:rsidR="00C24705" w:rsidRPr="00CF336B">
        <w:rPr>
          <w:lang w:val="tr-TR"/>
        </w:rPr>
        <w:t xml:space="preserve"> Özellikle kıtlık fiyatlarının yaşandığı dönemlerde </w:t>
      </w:r>
      <w:r w:rsidR="00F86866" w:rsidRPr="00CF336B">
        <w:rPr>
          <w:lang w:val="tr-TR"/>
        </w:rPr>
        <w:t>tarafların korunması açısından önem arz etmektedir.</w:t>
      </w:r>
      <w:r w:rsidR="005B25AF" w:rsidRPr="00CF336B">
        <w:rPr>
          <w:lang w:val="tr-TR"/>
        </w:rPr>
        <w:t xml:space="preserve"> </w:t>
      </w:r>
      <w:r w:rsidR="004D4361" w:rsidRPr="004D4361">
        <w:rPr>
          <w:lang w:val="tr-TR"/>
        </w:rPr>
        <w:t>Bu esasa dayanan bir kapasite piyasası İtalya’da planlanmaktadır.</w:t>
      </w:r>
    </w:p>
    <w:p w14:paraId="005EE48C" w14:textId="4F02A0F3" w:rsidR="00CE7536" w:rsidRPr="00CF336B" w:rsidRDefault="00CE7536" w:rsidP="004D4361">
      <w:pPr>
        <w:pStyle w:val="ListParagraph"/>
        <w:numPr>
          <w:ilvl w:val="0"/>
          <w:numId w:val="5"/>
        </w:numPr>
        <w:spacing w:line="360" w:lineRule="auto"/>
        <w:ind w:left="714" w:hanging="357"/>
        <w:contextualSpacing w:val="0"/>
        <w:jc w:val="both"/>
        <w:rPr>
          <w:b/>
          <w:bCs/>
          <w:lang w:val="tr-TR"/>
        </w:rPr>
      </w:pPr>
      <w:r w:rsidRPr="00CF336B">
        <w:rPr>
          <w:b/>
          <w:bCs/>
          <w:lang w:val="tr-TR"/>
        </w:rPr>
        <w:t xml:space="preserve">Kapasite Ödemesi: </w:t>
      </w:r>
      <w:r w:rsidR="00D0352A" w:rsidRPr="00CF336B">
        <w:rPr>
          <w:lang w:val="tr-TR"/>
        </w:rPr>
        <w:t xml:space="preserve">Bu kapsamda </w:t>
      </w:r>
      <w:r w:rsidR="0024058D" w:rsidRPr="00CF336B">
        <w:rPr>
          <w:lang w:val="tr-TR"/>
        </w:rPr>
        <w:t xml:space="preserve">ilgili politika yapıcılar </w:t>
      </w:r>
      <w:r w:rsidRPr="00CF336B">
        <w:rPr>
          <w:lang w:val="tr-TR"/>
        </w:rPr>
        <w:t>daha önceden belirlenmiş fiyatlar</w:t>
      </w:r>
      <w:r w:rsidR="0024058D" w:rsidRPr="00CF336B">
        <w:rPr>
          <w:lang w:val="tr-TR"/>
        </w:rPr>
        <w:t>ı</w:t>
      </w:r>
      <w:r w:rsidRPr="00CF336B">
        <w:rPr>
          <w:lang w:val="tr-TR"/>
        </w:rPr>
        <w:t xml:space="preserve"> kapasite sağlayıcılarına</w:t>
      </w:r>
      <w:r w:rsidR="0024058D" w:rsidRPr="00CF336B">
        <w:rPr>
          <w:lang w:val="tr-TR"/>
        </w:rPr>
        <w:t xml:space="preserve"> ödemektedir.</w:t>
      </w:r>
      <w:r w:rsidRPr="00CF336B">
        <w:rPr>
          <w:lang w:val="tr-TR"/>
        </w:rPr>
        <w:t xml:space="preserve"> Ödeme alan santraller “</w:t>
      </w:r>
      <w:proofErr w:type="spellStart"/>
      <w:r w:rsidRPr="00CF336B">
        <w:rPr>
          <w:lang w:val="tr-TR"/>
        </w:rPr>
        <w:t>energy-only</w:t>
      </w:r>
      <w:proofErr w:type="spellEnd"/>
      <w:r w:rsidRPr="00CF336B">
        <w:rPr>
          <w:lang w:val="tr-TR"/>
        </w:rPr>
        <w:t>” piyasaya katılmayı sürdür</w:t>
      </w:r>
      <w:r w:rsidR="00734F03" w:rsidRPr="00CF336B">
        <w:rPr>
          <w:lang w:val="tr-TR"/>
        </w:rPr>
        <w:t>mektedirler</w:t>
      </w:r>
      <w:r w:rsidRPr="00CF336B">
        <w:rPr>
          <w:lang w:val="tr-TR"/>
        </w:rPr>
        <w:t>. Öncesinden belirlenen ve doğrudan yapılan kapasite ödemelerine dayalı kapasite mekanizması uygulaması Türkiye</w:t>
      </w:r>
      <w:r w:rsidR="00734F03" w:rsidRPr="00CF336B">
        <w:rPr>
          <w:lang w:val="tr-TR"/>
        </w:rPr>
        <w:t xml:space="preserve">, </w:t>
      </w:r>
      <w:r w:rsidRPr="00CF336B">
        <w:rPr>
          <w:lang w:val="tr-TR"/>
        </w:rPr>
        <w:t>İtalya</w:t>
      </w:r>
      <w:r w:rsidR="00734F03" w:rsidRPr="00CF336B">
        <w:rPr>
          <w:lang w:val="tr-TR"/>
        </w:rPr>
        <w:t>,</w:t>
      </w:r>
      <w:r w:rsidRPr="00CF336B">
        <w:rPr>
          <w:lang w:val="tr-TR"/>
        </w:rPr>
        <w:t xml:space="preserve"> Portekiz</w:t>
      </w:r>
      <w:r w:rsidR="00734F03" w:rsidRPr="00CF336B">
        <w:rPr>
          <w:lang w:val="tr-TR"/>
        </w:rPr>
        <w:t xml:space="preserve"> ve</w:t>
      </w:r>
      <w:r w:rsidRPr="00CF336B">
        <w:rPr>
          <w:lang w:val="tr-TR"/>
        </w:rPr>
        <w:t xml:space="preserve"> İspa</w:t>
      </w:r>
      <w:r w:rsidR="00734F03" w:rsidRPr="00CF336B">
        <w:rPr>
          <w:lang w:val="tr-TR"/>
        </w:rPr>
        <w:t>n</w:t>
      </w:r>
      <w:r w:rsidRPr="00CF336B">
        <w:rPr>
          <w:lang w:val="tr-TR"/>
        </w:rPr>
        <w:t>ya gibi ülkelerde uygulanmaktadır.</w:t>
      </w:r>
    </w:p>
    <w:p w14:paraId="30080E19" w14:textId="530DBEBE" w:rsidR="00DD1AE0" w:rsidRPr="00CF336B" w:rsidRDefault="00DD1AE0" w:rsidP="004D4361">
      <w:pPr>
        <w:spacing w:line="360" w:lineRule="auto"/>
        <w:jc w:val="both"/>
        <w:rPr>
          <w:lang w:val="tr-TR"/>
        </w:rPr>
      </w:pPr>
      <w:r w:rsidRPr="00CF336B">
        <w:rPr>
          <w:lang w:val="tr-TR"/>
        </w:rPr>
        <w:br w:type="page"/>
      </w:r>
    </w:p>
    <w:p w14:paraId="0486B277" w14:textId="05DA5655" w:rsidR="0093494B" w:rsidRPr="00CF336B" w:rsidRDefault="00905501" w:rsidP="004D4361">
      <w:pPr>
        <w:pStyle w:val="Heading1"/>
        <w:numPr>
          <w:ilvl w:val="0"/>
          <w:numId w:val="12"/>
        </w:numPr>
        <w:spacing w:before="160" w:line="360" w:lineRule="auto"/>
        <w:rPr>
          <w:sz w:val="22"/>
          <w:szCs w:val="22"/>
          <w:lang w:val="tr-TR"/>
        </w:rPr>
      </w:pPr>
      <w:bookmarkStart w:id="12" w:name="_Toc156210436"/>
      <w:r w:rsidRPr="00CF336B">
        <w:rPr>
          <w:sz w:val="22"/>
          <w:szCs w:val="22"/>
          <w:lang w:val="tr-TR"/>
        </w:rPr>
        <w:t xml:space="preserve">Türkiye’de </w:t>
      </w:r>
      <w:r w:rsidR="00646960" w:rsidRPr="00CF336B">
        <w:rPr>
          <w:sz w:val="22"/>
          <w:szCs w:val="22"/>
          <w:lang w:val="tr-TR"/>
        </w:rPr>
        <w:t>Kapasite Mekanizması</w:t>
      </w:r>
      <w:bookmarkEnd w:id="12"/>
      <w:r w:rsidRPr="00CF336B">
        <w:rPr>
          <w:sz w:val="22"/>
          <w:szCs w:val="22"/>
          <w:lang w:val="tr-TR"/>
        </w:rPr>
        <w:t xml:space="preserve"> </w:t>
      </w:r>
    </w:p>
    <w:p w14:paraId="0D234A8B" w14:textId="77777777" w:rsidR="001476A2" w:rsidRPr="00CF336B" w:rsidRDefault="001476A2" w:rsidP="004D4361">
      <w:pPr>
        <w:spacing w:line="360" w:lineRule="auto"/>
        <w:rPr>
          <w:lang w:val="tr-TR"/>
        </w:rPr>
      </w:pPr>
    </w:p>
    <w:p w14:paraId="60023BCF" w14:textId="63F14D78" w:rsidR="00905501" w:rsidRPr="00CF336B" w:rsidRDefault="00905501" w:rsidP="004D4361">
      <w:pPr>
        <w:spacing w:line="360" w:lineRule="auto"/>
        <w:jc w:val="both"/>
        <w:rPr>
          <w:lang w:val="tr-TR"/>
        </w:rPr>
      </w:pPr>
      <w:r w:rsidRPr="00CF336B">
        <w:rPr>
          <w:lang w:val="tr-TR"/>
        </w:rPr>
        <w:t xml:space="preserve">Türkiye’de </w:t>
      </w:r>
      <w:r w:rsidR="002448F7" w:rsidRPr="00CF336B">
        <w:rPr>
          <w:lang w:val="tr-TR"/>
        </w:rPr>
        <w:t>k</w:t>
      </w:r>
      <w:r w:rsidRPr="00CF336B">
        <w:rPr>
          <w:lang w:val="tr-TR"/>
        </w:rPr>
        <w:t xml:space="preserve">apasite mekanizmalarının oluşturulması konusu 20 Ağustos 2016 tarihli Resmî </w:t>
      </w:r>
      <w:proofErr w:type="spellStart"/>
      <w:r w:rsidRPr="00CF336B">
        <w:rPr>
          <w:lang w:val="tr-TR"/>
        </w:rPr>
        <w:t>Gazete’de</w:t>
      </w:r>
      <w:proofErr w:type="spellEnd"/>
      <w:r w:rsidRPr="00CF336B">
        <w:rPr>
          <w:lang w:val="tr-TR"/>
        </w:rPr>
        <w:t xml:space="preserve"> Elektrik Piyasası Kanunu’nda ‘Arz Güvenliği’ kapsamında yapılan düzenleme ile Türkiye Elektrik Piyasası gündemine alınmıştır </w:t>
      </w:r>
      <w:sdt>
        <w:sdtPr>
          <w:rPr>
            <w:lang w:val="tr-TR"/>
          </w:rPr>
          <w:id w:val="1655410801"/>
          <w:citation/>
        </w:sdtPr>
        <w:sdtEndPr/>
        <w:sdtContent>
          <w:r w:rsidRPr="00CF336B">
            <w:rPr>
              <w:lang w:val="tr-TR"/>
            </w:rPr>
            <w:fldChar w:fldCharType="begin"/>
          </w:r>
          <w:r w:rsidRPr="00CF336B">
            <w:rPr>
              <w:lang w:val="tr-TR"/>
            </w:rPr>
            <w:instrText xml:space="preserve">CITATION Res16 \l 1033 </w:instrText>
          </w:r>
          <w:r w:rsidRPr="00CF336B">
            <w:rPr>
              <w:lang w:val="tr-TR"/>
            </w:rPr>
            <w:fldChar w:fldCharType="separate"/>
          </w:r>
          <w:r w:rsidR="00D95FF7" w:rsidRPr="00D95FF7">
            <w:rPr>
              <w:noProof/>
              <w:lang w:val="tr-TR"/>
            </w:rPr>
            <w:t>(Resmi Gazete, 2016)</w:t>
          </w:r>
          <w:r w:rsidRPr="00CF336B">
            <w:rPr>
              <w:lang w:val="tr-TR"/>
            </w:rPr>
            <w:fldChar w:fldCharType="end"/>
          </w:r>
        </w:sdtContent>
      </w:sdt>
      <w:r w:rsidRPr="00CF336B">
        <w:rPr>
          <w:lang w:val="tr-TR"/>
        </w:rPr>
        <w:t>.</w:t>
      </w:r>
    </w:p>
    <w:p w14:paraId="50BD6378" w14:textId="77777777" w:rsidR="00905501" w:rsidRPr="00CF336B" w:rsidRDefault="00905501" w:rsidP="004D4361">
      <w:pPr>
        <w:spacing w:line="360" w:lineRule="auto"/>
        <w:jc w:val="both"/>
        <w:rPr>
          <w:i/>
          <w:iCs/>
          <w:lang w:val="tr-TR"/>
        </w:rPr>
      </w:pPr>
      <w:r w:rsidRPr="00CF336B">
        <w:rPr>
          <w:i/>
          <w:iCs/>
          <w:noProof/>
          <w:lang w:val="tr-TR"/>
        </w:rPr>
        <mc:AlternateContent>
          <mc:Choice Requires="wps">
            <w:drawing>
              <wp:anchor distT="0" distB="0" distL="114300" distR="114300" simplePos="0" relativeHeight="251658243" behindDoc="1" locked="0" layoutInCell="1" allowOverlap="1" wp14:anchorId="515DB35F" wp14:editId="588E2D47">
                <wp:simplePos x="0" y="0"/>
                <wp:positionH relativeFrom="column">
                  <wp:posOffset>-39757</wp:posOffset>
                </wp:positionH>
                <wp:positionV relativeFrom="paragraph">
                  <wp:posOffset>4499</wp:posOffset>
                </wp:positionV>
                <wp:extent cx="6057900" cy="2393343"/>
                <wp:effectExtent l="0" t="0" r="19050" b="26035"/>
                <wp:wrapNone/>
                <wp:docPr id="1773016087" name="Rectangle 1773016087"/>
                <wp:cNvGraphicFramePr/>
                <a:graphic xmlns:a="http://schemas.openxmlformats.org/drawingml/2006/main">
                  <a:graphicData uri="http://schemas.microsoft.com/office/word/2010/wordprocessingShape">
                    <wps:wsp>
                      <wps:cNvSpPr/>
                      <wps:spPr>
                        <a:xfrm>
                          <a:off x="0" y="0"/>
                          <a:ext cx="6057900" cy="2393343"/>
                        </a:xfrm>
                        <a:prstGeom prst="rect">
                          <a:avLst/>
                        </a:prstGeom>
                        <a:solidFill>
                          <a:srgbClr val="4472C4">
                            <a:alpha val="10196"/>
                          </a:srgbClr>
                        </a:solid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2A3EB" id="Rectangle 1773016087" o:spid="_x0000_s1026" style="position:absolute;margin-left:-3.15pt;margin-top:.35pt;width:477pt;height:188.4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" fillcolor="#4472c4" strokecolor="#09101d [484]" strokeweight="1pt">
                <v:fill opacity="6682f"/>
                <v:stroke dashstyle="longDash"/>
              </v:rect>
            </w:pict>
          </mc:Fallback>
        </mc:AlternateContent>
      </w:r>
      <w:r w:rsidRPr="00CF336B">
        <w:rPr>
          <w:i/>
          <w:iCs/>
          <w:lang w:val="tr-TR"/>
        </w:rPr>
        <w:t xml:space="preserve">6446 Sayılı Elektrik Piyasası Kanunu MADDE 20-2: Arz Güvenliği </w:t>
      </w:r>
    </w:p>
    <w:p w14:paraId="0C9DC252" w14:textId="585C0D9C" w:rsidR="00905501" w:rsidRPr="00CF336B" w:rsidRDefault="00905501" w:rsidP="004D4361">
      <w:pPr>
        <w:spacing w:line="360" w:lineRule="auto"/>
        <w:jc w:val="both"/>
        <w:rPr>
          <w:i/>
          <w:iCs/>
          <w:lang w:val="tr-TR"/>
        </w:rPr>
      </w:pPr>
      <w:r w:rsidRPr="00CF336B">
        <w:rPr>
          <w:i/>
          <w:iCs/>
          <w:lang w:val="tr-TR"/>
        </w:rPr>
        <w:t xml:space="preserve">Arz güvenliğinin temini için gerekli yedek kapasite de dâhil olmak üzere yeterli kurulu güç kapasitesinin oluşturulması ve/veya sistem güvenliğinin temini için güvenilir kurulu güç kapasitesinin korunması amacıyla yerli kaynaklara öncelik veren kapasite mekanizmaları oluşturulur. Bu mekanizmalar kapsamında </w:t>
      </w:r>
      <w:r w:rsidR="00862F3C" w:rsidRPr="00862F3C">
        <w:rPr>
          <w:i/>
          <w:iCs/>
          <w:lang w:val="tr-TR"/>
        </w:rPr>
        <w:t xml:space="preserve">Türkiye Elektrik İletim A.Ş. </w:t>
      </w:r>
      <w:r w:rsidR="00862F3C">
        <w:rPr>
          <w:i/>
          <w:iCs/>
          <w:lang w:val="tr-TR"/>
        </w:rPr>
        <w:t>(</w:t>
      </w:r>
      <w:r w:rsidRPr="00CF336B">
        <w:rPr>
          <w:i/>
          <w:iCs/>
          <w:lang w:val="tr-TR"/>
        </w:rPr>
        <w:t>TEİAŞ</w:t>
      </w:r>
      <w:r w:rsidR="00862F3C">
        <w:rPr>
          <w:i/>
          <w:iCs/>
          <w:lang w:val="tr-TR"/>
        </w:rPr>
        <w:t>)</w:t>
      </w:r>
      <w:r w:rsidRPr="00CF336B">
        <w:rPr>
          <w:i/>
          <w:iCs/>
          <w:lang w:val="tr-TR"/>
        </w:rPr>
        <w:t xml:space="preserve"> tarafından yapılması gerekecek ödemeler iletim tarifesi hesaplamalarında dikkate alınır. Kapasite mekanizmalarının oluşturulmasına ilişkin usul ve esaslar Bakanlık görüşü alınarak Kurum tarafından düzenlenir. Bu mekanizmalar kapsamında TEİAŞ tarafından yapılması gerekecek ödemeler iletim tarifesi hesaplamalarında dikkate alınır. Kapasite mekanizmalarının oluşturulmasına ilişkin usul ve esaslar Bakanlık görüşü alınarak Kurum tarafından düzenlenir.</w:t>
      </w:r>
    </w:p>
    <w:p w14:paraId="1B348175" w14:textId="125746B6" w:rsidR="00905501" w:rsidRPr="00CF336B" w:rsidRDefault="00905501" w:rsidP="004D4361">
      <w:pPr>
        <w:spacing w:line="360" w:lineRule="auto"/>
        <w:jc w:val="both"/>
        <w:rPr>
          <w:lang w:val="tr-TR"/>
        </w:rPr>
      </w:pPr>
      <w:r w:rsidRPr="00CF336B">
        <w:rPr>
          <w:lang w:val="tr-TR"/>
        </w:rPr>
        <w:t xml:space="preserve">2016 yılında gündeme alınan kapasite mekanizmasına ilişkin nihai regülasyon 20 Ocak 2018 tarihinde yayımlanarak yürürlüğe girmiştir </w:t>
      </w:r>
      <w:sdt>
        <w:sdtPr>
          <w:rPr>
            <w:lang w:val="tr-TR"/>
          </w:rPr>
          <w:id w:val="-1625066414"/>
          <w:citation/>
        </w:sdtPr>
        <w:sdtEndPr/>
        <w:sdtContent>
          <w:r w:rsidRPr="00CF336B">
            <w:rPr>
              <w:lang w:val="tr-TR"/>
            </w:rPr>
            <w:fldChar w:fldCharType="begin"/>
          </w:r>
          <w:r w:rsidRPr="00CF336B">
            <w:rPr>
              <w:lang w:val="tr-TR"/>
            </w:rPr>
            <w:instrText xml:space="preserve"> CITATION Res18 \l 1033 </w:instrText>
          </w:r>
          <w:r w:rsidRPr="00CF336B">
            <w:rPr>
              <w:lang w:val="tr-TR"/>
            </w:rPr>
            <w:fldChar w:fldCharType="separate"/>
          </w:r>
          <w:r w:rsidR="00D95FF7" w:rsidRPr="00D95FF7">
            <w:rPr>
              <w:noProof/>
              <w:lang w:val="tr-TR"/>
            </w:rPr>
            <w:t>(Resmi Gazete, 2018)</w:t>
          </w:r>
          <w:r w:rsidRPr="00CF336B">
            <w:rPr>
              <w:lang w:val="tr-TR"/>
            </w:rPr>
            <w:fldChar w:fldCharType="end"/>
          </w:r>
        </w:sdtContent>
      </w:sdt>
      <w:r w:rsidRPr="00CF336B">
        <w:rPr>
          <w:lang w:val="tr-TR"/>
        </w:rPr>
        <w:t xml:space="preserve">. İlk duyurulduğu tarihten itibaren üzerinde birçok değişiklik yapılan Elektrik Piyasası Kapasite Mekanizması Yönetmeliği mevcut halini 2021 yılında almıştır. Bu yılda yapılan düzenlemeler ile 20/1/2018 tarihli ve 30307 sayılı Resmî </w:t>
      </w:r>
      <w:proofErr w:type="spellStart"/>
      <w:r w:rsidRPr="00CF336B">
        <w:rPr>
          <w:lang w:val="tr-TR"/>
        </w:rPr>
        <w:t>Gazete’de</w:t>
      </w:r>
      <w:proofErr w:type="spellEnd"/>
      <w:r w:rsidRPr="00CF336B">
        <w:rPr>
          <w:lang w:val="tr-TR"/>
        </w:rPr>
        <w:t xml:space="preserve"> yayımlanan Elektrik Piyasası Kapasite Mekanizması Yönetmeliği yürürlükten kaldırılmış, bunun yerine yeni Elektrik Piyasası Kapasite Mekanizması Yönetmeliği yürürlüğe koyulmuştur </w:t>
      </w:r>
      <w:sdt>
        <w:sdtPr>
          <w:rPr>
            <w:lang w:val="tr-TR"/>
          </w:rPr>
          <w:id w:val="-897979428"/>
          <w:citation/>
        </w:sdtPr>
        <w:sdtEndPr/>
        <w:sdtContent>
          <w:r w:rsidRPr="00CF336B">
            <w:rPr>
              <w:lang w:val="tr-TR"/>
            </w:rPr>
            <w:fldChar w:fldCharType="begin"/>
          </w:r>
          <w:r w:rsidRPr="00CF336B">
            <w:rPr>
              <w:lang w:val="tr-TR"/>
            </w:rPr>
            <w:instrText xml:space="preserve"> CITATION Res21 \l 1033 </w:instrText>
          </w:r>
          <w:r w:rsidRPr="00CF336B">
            <w:rPr>
              <w:lang w:val="tr-TR"/>
            </w:rPr>
            <w:fldChar w:fldCharType="separate"/>
          </w:r>
          <w:r w:rsidR="00D95FF7" w:rsidRPr="00D95FF7">
            <w:rPr>
              <w:noProof/>
              <w:lang w:val="tr-TR"/>
            </w:rPr>
            <w:t>(Resmi Gazete, 2021)</w:t>
          </w:r>
          <w:r w:rsidRPr="00CF336B">
            <w:rPr>
              <w:lang w:val="tr-TR"/>
            </w:rPr>
            <w:fldChar w:fldCharType="end"/>
          </w:r>
        </w:sdtContent>
      </w:sdt>
      <w:r w:rsidRPr="00CF336B">
        <w:rPr>
          <w:lang w:val="tr-TR"/>
        </w:rPr>
        <w:t>.</w:t>
      </w:r>
    </w:p>
    <w:p w14:paraId="7E3402E4" w14:textId="437E2F6C" w:rsidR="00905501" w:rsidRPr="00CF336B" w:rsidRDefault="00905501" w:rsidP="004D4361">
      <w:pPr>
        <w:spacing w:line="360" w:lineRule="auto"/>
        <w:jc w:val="both"/>
        <w:rPr>
          <w:lang w:val="tr-TR"/>
        </w:rPr>
      </w:pPr>
      <w:r w:rsidRPr="00CF336B">
        <w:rPr>
          <w:i/>
          <w:iCs/>
          <w:noProof/>
          <w:lang w:val="tr-TR"/>
        </w:rPr>
        <mc:AlternateContent>
          <mc:Choice Requires="wps">
            <w:drawing>
              <wp:anchor distT="0" distB="0" distL="114300" distR="114300" simplePos="0" relativeHeight="251658244" behindDoc="1" locked="0" layoutInCell="1" allowOverlap="1" wp14:anchorId="166691F0" wp14:editId="40DCD61F">
                <wp:simplePos x="0" y="0"/>
                <wp:positionH relativeFrom="margin">
                  <wp:posOffset>-47708</wp:posOffset>
                </wp:positionH>
                <wp:positionV relativeFrom="paragraph">
                  <wp:posOffset>-2430</wp:posOffset>
                </wp:positionV>
                <wp:extent cx="6057900" cy="2146853"/>
                <wp:effectExtent l="0" t="0" r="19050" b="25400"/>
                <wp:wrapNone/>
                <wp:docPr id="867174487" name="Rectangle 867174487"/>
                <wp:cNvGraphicFramePr/>
                <a:graphic xmlns:a="http://schemas.openxmlformats.org/drawingml/2006/main">
                  <a:graphicData uri="http://schemas.microsoft.com/office/word/2010/wordprocessingShape">
                    <wps:wsp>
                      <wps:cNvSpPr/>
                      <wps:spPr>
                        <a:xfrm>
                          <a:off x="0" y="0"/>
                          <a:ext cx="6057900" cy="2146853"/>
                        </a:xfrm>
                        <a:prstGeom prst="rect">
                          <a:avLst/>
                        </a:prstGeom>
                        <a:solidFill>
                          <a:srgbClr val="4472C4">
                            <a:alpha val="10196"/>
                          </a:srgbClr>
                        </a:solid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4A39C" id="Rectangle 867174487" o:spid="_x0000_s1026" style="position:absolute;margin-left:-3.75pt;margin-top:-.2pt;width:477pt;height:169.05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" fillcolor="#4472c4" strokecolor="#09101d [484]" strokeweight="1pt">
                <v:fill opacity="6682f"/>
                <v:stroke dashstyle="longDash"/>
                <w10:wrap anchorx="margin"/>
              </v:rect>
            </w:pict>
          </mc:Fallback>
        </mc:AlternateContent>
      </w:r>
      <w:r w:rsidRPr="00CF336B">
        <w:rPr>
          <w:lang w:val="tr-TR"/>
        </w:rPr>
        <w:t xml:space="preserve">Kapasite Mekanizması Yönetmeliği altında bu mekanizmadan yararlanacak santraller için bazı teknik kısıtlar tanımlanmaktadır. Buna göre aşağıdaki listede </w:t>
      </w:r>
      <w:r w:rsidR="005A7284">
        <w:rPr>
          <w:lang w:val="tr-TR"/>
        </w:rPr>
        <w:t>yer alan</w:t>
      </w:r>
      <w:r w:rsidRPr="00CF336B">
        <w:rPr>
          <w:lang w:val="tr-TR"/>
        </w:rPr>
        <w:t xml:space="preserve"> santraller, kapasite mekanizmasında yer </w:t>
      </w:r>
      <w:r w:rsidRPr="00CF336B">
        <w:rPr>
          <w:b/>
          <w:bCs/>
          <w:lang w:val="tr-TR"/>
        </w:rPr>
        <w:t>alamamaktadırlar</w:t>
      </w:r>
      <w:r w:rsidRPr="00CF336B">
        <w:rPr>
          <w:lang w:val="tr-TR"/>
        </w:rPr>
        <w:t>:</w:t>
      </w:r>
    </w:p>
    <w:p w14:paraId="2C5FCF87" w14:textId="51F47D9E" w:rsidR="00905501" w:rsidRPr="00CF336B" w:rsidRDefault="000E4270" w:rsidP="004D4361">
      <w:pPr>
        <w:pStyle w:val="ListParagraph"/>
        <w:numPr>
          <w:ilvl w:val="0"/>
          <w:numId w:val="5"/>
        </w:numPr>
        <w:spacing w:line="360" w:lineRule="auto"/>
        <w:jc w:val="both"/>
        <w:rPr>
          <w:lang w:val="tr-TR"/>
        </w:rPr>
      </w:pPr>
      <w:r w:rsidRPr="00CF336B">
        <w:rPr>
          <w:lang w:val="tr-TR"/>
        </w:rPr>
        <w:t xml:space="preserve">Kamu payının </w:t>
      </w:r>
      <w:proofErr w:type="gramStart"/>
      <w:r w:rsidR="00905501" w:rsidRPr="00CF336B">
        <w:rPr>
          <w:lang w:val="tr-TR"/>
        </w:rPr>
        <w:t>%50</w:t>
      </w:r>
      <w:proofErr w:type="gramEnd"/>
      <w:r w:rsidR="00905501" w:rsidRPr="00CF336B">
        <w:rPr>
          <w:lang w:val="tr-TR"/>
        </w:rPr>
        <w:t>'den fazla olduğu santraller</w:t>
      </w:r>
    </w:p>
    <w:p w14:paraId="72A93AB1" w14:textId="0E493CCB" w:rsidR="00905501" w:rsidRPr="00CF336B" w:rsidRDefault="00905501" w:rsidP="004D4361">
      <w:pPr>
        <w:pStyle w:val="ListParagraph"/>
        <w:numPr>
          <w:ilvl w:val="0"/>
          <w:numId w:val="5"/>
        </w:numPr>
        <w:spacing w:line="360" w:lineRule="auto"/>
        <w:jc w:val="both"/>
        <w:rPr>
          <w:lang w:val="tr-TR"/>
        </w:rPr>
      </w:pPr>
      <w:r w:rsidRPr="00CF336B">
        <w:rPr>
          <w:lang w:val="tr-TR"/>
        </w:rPr>
        <w:t>Yap İşlet Devret sözleşmesi bulunan ve anlaşma süresi dolmuş olsa da bu anlaşmalar kapsamında faaliyette bulunan/bulunmuş olan santraller</w:t>
      </w:r>
      <w:r w:rsidRPr="00CF336B">
        <w:rPr>
          <w:rStyle w:val="FootnoteReference"/>
          <w:b/>
          <w:bCs/>
          <w:lang w:val="tr-TR"/>
        </w:rPr>
        <w:footnoteReference w:id="2"/>
      </w:r>
    </w:p>
    <w:p w14:paraId="613D9188" w14:textId="60A3D7A0" w:rsidR="00905501" w:rsidRPr="00CF336B" w:rsidRDefault="00B676C9" w:rsidP="004D4361">
      <w:pPr>
        <w:pStyle w:val="ListParagraph"/>
        <w:numPr>
          <w:ilvl w:val="0"/>
          <w:numId w:val="5"/>
        </w:numPr>
        <w:spacing w:line="360" w:lineRule="auto"/>
        <w:jc w:val="both"/>
        <w:rPr>
          <w:lang w:val="tr-TR"/>
        </w:rPr>
      </w:pPr>
      <w:r w:rsidRPr="00CF336B">
        <w:rPr>
          <w:i/>
          <w:iCs/>
          <w:noProof/>
          <w:lang w:val="tr-TR"/>
        </w:rPr>
        <mc:AlternateContent>
          <mc:Choice Requires="wps">
            <w:drawing>
              <wp:anchor distT="0" distB="0" distL="114300" distR="114300" simplePos="0" relativeHeight="251658251" behindDoc="1" locked="0" layoutInCell="1" allowOverlap="1" wp14:anchorId="24692AD0" wp14:editId="29D272FC">
                <wp:simplePos x="0" y="0"/>
                <wp:positionH relativeFrom="margin">
                  <wp:posOffset>-63610</wp:posOffset>
                </wp:positionH>
                <wp:positionV relativeFrom="paragraph">
                  <wp:posOffset>7951</wp:posOffset>
                </wp:positionV>
                <wp:extent cx="6057900" cy="3012992"/>
                <wp:effectExtent l="0" t="0" r="19050" b="16510"/>
                <wp:wrapNone/>
                <wp:docPr id="1901671586" name="Rectangle 1901671586"/>
                <wp:cNvGraphicFramePr/>
                <a:graphic xmlns:a="http://schemas.openxmlformats.org/drawingml/2006/main">
                  <a:graphicData uri="http://schemas.microsoft.com/office/word/2010/wordprocessingShape">
                    <wps:wsp>
                      <wps:cNvSpPr/>
                      <wps:spPr>
                        <a:xfrm>
                          <a:off x="0" y="0"/>
                          <a:ext cx="6057900" cy="3012992"/>
                        </a:xfrm>
                        <a:prstGeom prst="rect">
                          <a:avLst/>
                        </a:prstGeom>
                        <a:solidFill>
                          <a:srgbClr val="4472C4">
                            <a:alpha val="10196"/>
                          </a:srgbClr>
                        </a:solid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D5E2D" id="Rectangle 1901671586" o:spid="_x0000_s1026" style="position:absolute;margin-left:-5pt;margin-top:.65pt;width:477pt;height:237.25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" fillcolor="#4472c4" strokecolor="#09101d [484]" strokeweight="1pt">
                <v:fill opacity="6682f"/>
                <v:stroke dashstyle="longDash"/>
                <w10:wrap anchorx="margin"/>
              </v:rect>
            </w:pict>
          </mc:Fallback>
        </mc:AlternateContent>
      </w:r>
      <w:r w:rsidR="00905501" w:rsidRPr="00CF336B">
        <w:rPr>
          <w:lang w:val="tr-TR"/>
        </w:rPr>
        <w:t>Kanunun 18 inci maddesinin beşinci fıkrası kapsamında yapılan özelleştirme ihalesini kazanmak suretiyle kurulan santraller</w:t>
      </w:r>
    </w:p>
    <w:p w14:paraId="12050AB7" w14:textId="1460CCF7" w:rsidR="00905501" w:rsidRPr="00CF336B" w:rsidRDefault="00905501" w:rsidP="004D4361">
      <w:pPr>
        <w:pStyle w:val="ListParagraph"/>
        <w:numPr>
          <w:ilvl w:val="0"/>
          <w:numId w:val="5"/>
        </w:numPr>
        <w:spacing w:line="360" w:lineRule="auto"/>
        <w:jc w:val="both"/>
        <w:rPr>
          <w:lang w:val="tr-TR"/>
        </w:rPr>
      </w:pPr>
      <w:r w:rsidRPr="00CF336B">
        <w:rPr>
          <w:lang w:val="tr-TR"/>
        </w:rPr>
        <w:t>Nükleer güç santralleri</w:t>
      </w:r>
    </w:p>
    <w:p w14:paraId="6678CF11" w14:textId="2AB9D024" w:rsidR="00905501" w:rsidRPr="00CF336B" w:rsidRDefault="00905501" w:rsidP="004D4361">
      <w:pPr>
        <w:pStyle w:val="ListParagraph"/>
        <w:numPr>
          <w:ilvl w:val="0"/>
          <w:numId w:val="5"/>
        </w:numPr>
        <w:spacing w:line="360" w:lineRule="auto"/>
        <w:jc w:val="both"/>
        <w:rPr>
          <w:lang w:val="tr-TR"/>
        </w:rPr>
      </w:pPr>
      <w:r w:rsidRPr="00CF336B">
        <w:rPr>
          <w:lang w:val="tr-TR"/>
        </w:rPr>
        <w:t>Yenilenebilir Enerji Destek Mekanizmasına katılan veya katılma hakkı bulunan santraller</w:t>
      </w:r>
    </w:p>
    <w:p w14:paraId="43ACAF0B"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20 Ocak 2018 tarihinden sonra özelleştirme ihalesi yapılan santraller</w:t>
      </w:r>
    </w:p>
    <w:p w14:paraId="52C41A1A"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 xml:space="preserve">Yerli kaynaklar için (linyit, taşkömürü vb.), 50 </w:t>
      </w:r>
      <w:proofErr w:type="spellStart"/>
      <w:r w:rsidRPr="00CF336B">
        <w:rPr>
          <w:lang w:val="tr-TR"/>
        </w:rPr>
        <w:t>MW</w:t>
      </w:r>
      <w:r w:rsidRPr="008A77BA">
        <w:rPr>
          <w:vertAlign w:val="subscript"/>
          <w:lang w:val="tr-TR"/>
        </w:rPr>
        <w:t>e</w:t>
      </w:r>
      <w:r w:rsidRPr="00CF336B">
        <w:rPr>
          <w:lang w:val="tr-TR"/>
        </w:rPr>
        <w:t>'nin</w:t>
      </w:r>
      <w:proofErr w:type="spellEnd"/>
      <w:r w:rsidRPr="00CF336B">
        <w:rPr>
          <w:lang w:val="tr-TR"/>
        </w:rPr>
        <w:t xml:space="preserve"> altında kapasiteye sahip olanlar</w:t>
      </w:r>
    </w:p>
    <w:p w14:paraId="482A40DF"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 xml:space="preserve">İthal kaynaklar (ithal, doğal gaz), kapasitesi 100 </w:t>
      </w:r>
      <w:proofErr w:type="spellStart"/>
      <w:r w:rsidRPr="00CF336B">
        <w:rPr>
          <w:lang w:val="tr-TR"/>
        </w:rPr>
        <w:t>MW</w:t>
      </w:r>
      <w:r w:rsidRPr="008A77BA">
        <w:rPr>
          <w:vertAlign w:val="subscript"/>
          <w:lang w:val="tr-TR"/>
        </w:rPr>
        <w:t>e</w:t>
      </w:r>
      <w:r w:rsidRPr="00CF336B">
        <w:rPr>
          <w:lang w:val="tr-TR"/>
        </w:rPr>
        <w:t>'nin</w:t>
      </w:r>
      <w:proofErr w:type="spellEnd"/>
      <w:r w:rsidRPr="00CF336B">
        <w:rPr>
          <w:lang w:val="tr-TR"/>
        </w:rPr>
        <w:t xml:space="preserve"> altında olanlar</w:t>
      </w:r>
      <w:r w:rsidRPr="00CF336B">
        <w:rPr>
          <w:rStyle w:val="FootnoteReference"/>
          <w:lang w:val="tr-TR"/>
        </w:rPr>
        <w:footnoteReference w:id="3"/>
      </w:r>
      <w:r w:rsidRPr="00CF336B">
        <w:rPr>
          <w:lang w:val="tr-TR"/>
        </w:rPr>
        <w:t xml:space="preserve"> </w:t>
      </w:r>
    </w:p>
    <w:p w14:paraId="1807744B" w14:textId="26B25CF6" w:rsidR="00905501" w:rsidRPr="00CF336B" w:rsidRDefault="00905501" w:rsidP="004D4361">
      <w:pPr>
        <w:pStyle w:val="ListParagraph"/>
        <w:numPr>
          <w:ilvl w:val="0"/>
          <w:numId w:val="5"/>
        </w:numPr>
        <w:spacing w:line="360" w:lineRule="auto"/>
        <w:jc w:val="both"/>
        <w:rPr>
          <w:lang w:val="tr-TR"/>
        </w:rPr>
      </w:pPr>
      <w:r w:rsidRPr="00CF336B">
        <w:rPr>
          <w:lang w:val="tr-TR"/>
        </w:rPr>
        <w:t xml:space="preserve">Kabul kapsamında, verimlilik performans testine ilişkin tevsik edici belgede veya Bakanlığa başvurularak tekrarlanan verimlilik performans testi sonuçlarında verimlilik oranı </w:t>
      </w:r>
      <w:proofErr w:type="gramStart"/>
      <w:r w:rsidRPr="00CF336B">
        <w:rPr>
          <w:lang w:val="tr-TR"/>
        </w:rPr>
        <w:t>%50</w:t>
      </w:r>
      <w:proofErr w:type="gramEnd"/>
      <w:r w:rsidRPr="00CF336B">
        <w:rPr>
          <w:lang w:val="tr-TR"/>
        </w:rPr>
        <w:t>’nin altında olduğu belirlenen, yerli kaynaklara dayalı olmayan santraller (doğal</w:t>
      </w:r>
      <w:r w:rsidR="00570A9E">
        <w:rPr>
          <w:lang w:val="tr-TR"/>
        </w:rPr>
        <w:t xml:space="preserve"> </w:t>
      </w:r>
      <w:r w:rsidRPr="00CF336B">
        <w:rPr>
          <w:lang w:val="tr-TR"/>
        </w:rPr>
        <w:t>gaz santrallerinin verimlilik şartı hesaplamasında doğal</w:t>
      </w:r>
      <w:r w:rsidR="00570A9E">
        <w:rPr>
          <w:lang w:val="tr-TR"/>
        </w:rPr>
        <w:t xml:space="preserve"> </w:t>
      </w:r>
      <w:r w:rsidRPr="00CF336B">
        <w:rPr>
          <w:lang w:val="tr-TR"/>
        </w:rPr>
        <w:t>gazın 9.155 </w:t>
      </w:r>
      <w:proofErr w:type="spellStart"/>
      <w:r w:rsidRPr="00CF336B">
        <w:rPr>
          <w:lang w:val="tr-TR"/>
        </w:rPr>
        <w:t>kCal</w:t>
      </w:r>
      <w:proofErr w:type="spellEnd"/>
      <w:r w:rsidRPr="00CF336B">
        <w:rPr>
          <w:lang w:val="tr-TR"/>
        </w:rPr>
        <w:t>/Sm</w:t>
      </w:r>
      <w:r w:rsidRPr="008A77BA">
        <w:rPr>
          <w:vertAlign w:val="superscript"/>
          <w:lang w:val="tr-TR"/>
        </w:rPr>
        <w:t>3</w:t>
      </w:r>
      <w:r w:rsidRPr="00CF336B">
        <w:rPr>
          <w:lang w:val="tr-TR"/>
        </w:rPr>
        <w:t> üst ısıl değeri baz alınır)</w:t>
      </w:r>
    </w:p>
    <w:p w14:paraId="71052D72" w14:textId="524DD3CC" w:rsidR="00905501" w:rsidRPr="00CF336B" w:rsidRDefault="004A0B09" w:rsidP="004D4361">
      <w:pPr>
        <w:pStyle w:val="ListParagraph"/>
        <w:numPr>
          <w:ilvl w:val="0"/>
          <w:numId w:val="5"/>
        </w:numPr>
        <w:spacing w:line="360" w:lineRule="auto"/>
        <w:jc w:val="both"/>
        <w:rPr>
          <w:lang w:val="tr-TR"/>
        </w:rPr>
      </w:pPr>
      <w:r>
        <w:rPr>
          <w:lang w:val="tr-TR"/>
        </w:rPr>
        <w:t>R</w:t>
      </w:r>
      <w:r w:rsidR="00905501" w:rsidRPr="00CF336B">
        <w:rPr>
          <w:lang w:val="tr-TR"/>
        </w:rPr>
        <w:t>üzgâr</w:t>
      </w:r>
      <w:r>
        <w:rPr>
          <w:lang w:val="tr-TR"/>
        </w:rPr>
        <w:t>, h</w:t>
      </w:r>
      <w:r w:rsidRPr="004A0B09">
        <w:rPr>
          <w:lang w:val="tr-TR"/>
        </w:rPr>
        <w:t>idroelektrik</w:t>
      </w:r>
      <w:r>
        <w:rPr>
          <w:lang w:val="tr-TR"/>
        </w:rPr>
        <w:t xml:space="preserve"> </w:t>
      </w:r>
      <w:r w:rsidR="00905501" w:rsidRPr="00CF336B">
        <w:rPr>
          <w:lang w:val="tr-TR"/>
        </w:rPr>
        <w:t>ve güneş enerjisi santralleri</w:t>
      </w:r>
      <w:r w:rsidR="00905501" w:rsidRPr="00CF336B">
        <w:rPr>
          <w:rStyle w:val="FootnoteReference"/>
          <w:lang w:val="tr-TR"/>
        </w:rPr>
        <w:footnoteReference w:id="4"/>
      </w:r>
    </w:p>
    <w:p w14:paraId="6EAD6433" w14:textId="6CC8C0B3" w:rsidR="00905501" w:rsidRPr="00CF336B" w:rsidRDefault="00905501" w:rsidP="004D4361">
      <w:pPr>
        <w:spacing w:line="360" w:lineRule="auto"/>
        <w:jc w:val="both"/>
        <w:rPr>
          <w:rFonts w:ascii="Calibri" w:hAnsi="Calibri" w:cs="Calibri"/>
          <w:lang w:val="tr-TR"/>
        </w:rPr>
      </w:pPr>
      <w:proofErr w:type="gramStart"/>
      <w:r w:rsidRPr="00CF336B">
        <w:rPr>
          <w:rFonts w:ascii="Calibri" w:hAnsi="Calibri" w:cs="Calibri"/>
          <w:lang w:val="tr-TR"/>
        </w:rPr>
        <w:t>İthal</w:t>
      </w:r>
      <w:r w:rsidR="00570A9E">
        <w:rPr>
          <w:rFonts w:ascii="Calibri" w:hAnsi="Calibri" w:cs="Calibri"/>
          <w:lang w:val="tr-TR"/>
        </w:rPr>
        <w:t xml:space="preserve"> </w:t>
      </w:r>
      <w:r w:rsidR="002448F7" w:rsidRPr="00CF336B">
        <w:rPr>
          <w:rFonts w:ascii="Calibri" w:hAnsi="Calibri" w:cs="Calibri"/>
          <w:lang w:val="tr-TR"/>
        </w:rPr>
        <w:t>-</w:t>
      </w:r>
      <w:proofErr w:type="gramEnd"/>
      <w:r w:rsidR="002448F7" w:rsidRPr="00CF336B">
        <w:rPr>
          <w:rFonts w:ascii="Calibri" w:hAnsi="Calibri" w:cs="Calibri"/>
          <w:lang w:val="tr-TR"/>
        </w:rPr>
        <w:t xml:space="preserve"> </w:t>
      </w:r>
      <w:r w:rsidRPr="00CF336B">
        <w:rPr>
          <w:rFonts w:ascii="Calibri" w:hAnsi="Calibri" w:cs="Calibri"/>
          <w:lang w:val="tr-TR"/>
        </w:rPr>
        <w:t>yerli kömür ya da ithal</w:t>
      </w:r>
      <w:r w:rsidR="00570A9E">
        <w:rPr>
          <w:rFonts w:ascii="Calibri" w:hAnsi="Calibri" w:cs="Calibri"/>
          <w:lang w:val="tr-TR"/>
        </w:rPr>
        <w:t xml:space="preserve"> </w:t>
      </w:r>
      <w:r w:rsidR="002448F7" w:rsidRPr="00CF336B">
        <w:rPr>
          <w:rFonts w:ascii="Calibri" w:hAnsi="Calibri" w:cs="Calibri"/>
          <w:lang w:val="tr-TR"/>
        </w:rPr>
        <w:t xml:space="preserve">- </w:t>
      </w:r>
      <w:r w:rsidRPr="00CF336B">
        <w:rPr>
          <w:rFonts w:ascii="Calibri" w:hAnsi="Calibri" w:cs="Calibri"/>
          <w:lang w:val="tr-TR"/>
        </w:rPr>
        <w:t xml:space="preserve">yerli doğal gazı birlikte kullanarak üretim yapılan santraller, oransal olarak yerli kömür ya da yerli doğal gaz kullanarak yaptıkları üretimlerine karşılık gelen kurulu güçleri bakımından; elektrik kurulu gücü 50 </w:t>
      </w:r>
      <w:proofErr w:type="spellStart"/>
      <w:r w:rsidRPr="00CF336B">
        <w:rPr>
          <w:rFonts w:ascii="Calibri" w:hAnsi="Calibri" w:cs="Calibri"/>
          <w:lang w:val="tr-TR"/>
        </w:rPr>
        <w:t>MW</w:t>
      </w:r>
      <w:r w:rsidRPr="008A77BA">
        <w:rPr>
          <w:rFonts w:ascii="Calibri" w:hAnsi="Calibri" w:cs="Calibri"/>
          <w:vertAlign w:val="subscript"/>
          <w:lang w:val="tr-TR"/>
        </w:rPr>
        <w:t>e</w:t>
      </w:r>
      <w:r w:rsidRPr="00CF336B">
        <w:rPr>
          <w:rFonts w:ascii="Calibri" w:hAnsi="Calibri" w:cs="Calibri"/>
          <w:lang w:val="tr-TR"/>
        </w:rPr>
        <w:t>’nin</w:t>
      </w:r>
      <w:proofErr w:type="spellEnd"/>
      <w:r w:rsidRPr="00CF336B">
        <w:rPr>
          <w:rFonts w:ascii="Calibri" w:hAnsi="Calibri" w:cs="Calibri"/>
          <w:lang w:val="tr-TR"/>
        </w:rPr>
        <w:t xml:space="preserve"> altında olması veya verimlilik test sonucunun %50’nin altında olması kriterlerini taşısalar dahi kapasite mekanizmasına katılabil</w:t>
      </w:r>
      <w:r w:rsidR="002448F7" w:rsidRPr="00CF336B">
        <w:rPr>
          <w:rFonts w:ascii="Calibri" w:hAnsi="Calibri" w:cs="Calibri"/>
          <w:lang w:val="tr-TR"/>
        </w:rPr>
        <w:t>mektedir</w:t>
      </w:r>
      <w:r w:rsidRPr="00CF336B">
        <w:rPr>
          <w:rFonts w:ascii="Calibri" w:hAnsi="Calibri" w:cs="Calibri"/>
          <w:lang w:val="tr-TR"/>
        </w:rPr>
        <w:t>ler.</w:t>
      </w:r>
      <w:r w:rsidR="00570A9E">
        <w:rPr>
          <w:rFonts w:ascii="Calibri" w:hAnsi="Calibri" w:cs="Calibri"/>
          <w:lang w:val="tr-TR"/>
        </w:rPr>
        <w:t xml:space="preserve"> </w:t>
      </w:r>
      <w:r w:rsidRPr="00CF336B">
        <w:rPr>
          <w:rFonts w:ascii="Calibri" w:hAnsi="Calibri" w:cs="Calibri"/>
          <w:lang w:val="tr-TR"/>
        </w:rPr>
        <w:t>Ayrıca yerli kömür ve yerli doğal</w:t>
      </w:r>
      <w:r w:rsidR="002448F7" w:rsidRPr="00CF336B">
        <w:rPr>
          <w:rFonts w:ascii="Calibri" w:hAnsi="Calibri" w:cs="Calibri"/>
          <w:lang w:val="tr-TR"/>
        </w:rPr>
        <w:t xml:space="preserve"> </w:t>
      </w:r>
      <w:r w:rsidRPr="00CF336B">
        <w:rPr>
          <w:rFonts w:ascii="Calibri" w:hAnsi="Calibri" w:cs="Calibri"/>
          <w:lang w:val="tr-TR"/>
        </w:rPr>
        <w:t xml:space="preserve">gaz kullanan ve kurulu gücü </w:t>
      </w:r>
      <w:proofErr w:type="gramStart"/>
      <w:r w:rsidRPr="00CF336B">
        <w:rPr>
          <w:rFonts w:ascii="Calibri" w:hAnsi="Calibri" w:cs="Calibri"/>
          <w:lang w:val="tr-TR"/>
        </w:rPr>
        <w:t>50</w:t>
      </w:r>
      <w:r w:rsidR="00570A9E">
        <w:rPr>
          <w:rFonts w:ascii="Calibri" w:hAnsi="Calibri" w:cs="Calibri"/>
          <w:lang w:val="tr-TR"/>
        </w:rPr>
        <w:t xml:space="preserve"> </w:t>
      </w:r>
      <w:r w:rsidRPr="00CF336B">
        <w:rPr>
          <w:rFonts w:ascii="Calibri" w:hAnsi="Calibri" w:cs="Calibri"/>
          <w:lang w:val="tr-TR"/>
        </w:rPr>
        <w:t>-</w:t>
      </w:r>
      <w:proofErr w:type="gramEnd"/>
      <w:r w:rsidR="00570A9E">
        <w:rPr>
          <w:rFonts w:ascii="Calibri" w:hAnsi="Calibri" w:cs="Calibri"/>
          <w:lang w:val="tr-TR"/>
        </w:rPr>
        <w:t xml:space="preserve"> </w:t>
      </w:r>
      <w:r w:rsidRPr="00CF336B">
        <w:rPr>
          <w:rFonts w:ascii="Calibri" w:hAnsi="Calibri" w:cs="Calibri"/>
          <w:lang w:val="tr-TR"/>
        </w:rPr>
        <w:t xml:space="preserve">100 </w:t>
      </w:r>
      <w:proofErr w:type="spellStart"/>
      <w:r w:rsidRPr="00CF336B">
        <w:rPr>
          <w:rFonts w:ascii="Calibri" w:hAnsi="Calibri" w:cs="Calibri"/>
          <w:lang w:val="tr-TR"/>
        </w:rPr>
        <w:t>MW</w:t>
      </w:r>
      <w:r w:rsidRPr="008A77BA">
        <w:rPr>
          <w:rFonts w:ascii="Calibri" w:hAnsi="Calibri" w:cs="Calibri"/>
          <w:vertAlign w:val="subscript"/>
          <w:lang w:val="tr-TR"/>
        </w:rPr>
        <w:t>e</w:t>
      </w:r>
      <w:proofErr w:type="spellEnd"/>
      <w:r w:rsidRPr="00CF336B">
        <w:rPr>
          <w:rFonts w:ascii="Calibri" w:hAnsi="Calibri" w:cs="Calibri"/>
          <w:lang w:val="tr-TR"/>
        </w:rPr>
        <w:t xml:space="preserve"> arasında olan ithal kömür ve ithal doğal gaz kullanan santraller de kapasite mekanizmasından yararlanabil</w:t>
      </w:r>
      <w:r w:rsidR="002448F7" w:rsidRPr="00CF336B">
        <w:rPr>
          <w:rFonts w:ascii="Calibri" w:hAnsi="Calibri" w:cs="Calibri"/>
          <w:lang w:val="tr-TR"/>
        </w:rPr>
        <w:t>mektedir</w:t>
      </w:r>
      <w:r w:rsidRPr="00CF336B">
        <w:rPr>
          <w:rFonts w:ascii="Calibri" w:hAnsi="Calibri" w:cs="Calibri"/>
          <w:lang w:val="tr-TR"/>
        </w:rPr>
        <w:t>ler.</w:t>
      </w:r>
    </w:p>
    <w:p w14:paraId="0CE9E70D" w14:textId="5C03B9E7" w:rsidR="00905501" w:rsidRPr="00CF336B" w:rsidRDefault="00905501" w:rsidP="004D4361">
      <w:pPr>
        <w:spacing w:line="360" w:lineRule="auto"/>
        <w:jc w:val="both"/>
        <w:rPr>
          <w:lang w:val="tr-TR"/>
        </w:rPr>
      </w:pPr>
      <w:r w:rsidRPr="00CF336B">
        <w:rPr>
          <w:lang w:val="tr-TR"/>
        </w:rPr>
        <w:t>Kapasite mekanizması kapsamında santrallere ödenecek toplam tutar her yılın başında belirlenmekte</w:t>
      </w:r>
      <w:r w:rsidR="0092709D" w:rsidRPr="00CF336B">
        <w:rPr>
          <w:lang w:val="tr-TR"/>
        </w:rPr>
        <w:t xml:space="preserve"> </w:t>
      </w:r>
      <w:r w:rsidRPr="00CF336B">
        <w:rPr>
          <w:lang w:val="tr-TR"/>
        </w:rPr>
        <w:t>ve sistem işletmecisi TEİAŞ tarafından aylık olarak santrallere ödenmektedir. Uygulamanın temel odağı yerli kaynaklar olduğundan</w:t>
      </w:r>
      <w:r w:rsidR="002448F7" w:rsidRPr="00CF336B">
        <w:rPr>
          <w:lang w:val="tr-TR"/>
        </w:rPr>
        <w:t xml:space="preserve"> dolayı</w:t>
      </w:r>
      <w:r w:rsidRPr="00CF336B">
        <w:rPr>
          <w:lang w:val="tr-TR"/>
        </w:rPr>
        <w:t xml:space="preserve"> ödemelerde öncelik yerli kaynaklara verilmektedir. Diğer bir deyişle, santrallere ödenmesi gereken toplam tutarın belirlenen bütçeden fazla olması durumunda, önce yerli kaynakları kullanan santrallere ödeme yapılmakta</w:t>
      </w:r>
      <w:r w:rsidR="002448F7" w:rsidRPr="00CF336B">
        <w:rPr>
          <w:lang w:val="tr-TR"/>
        </w:rPr>
        <w:t>,</w:t>
      </w:r>
      <w:r w:rsidRPr="00CF336B">
        <w:rPr>
          <w:lang w:val="tr-TR"/>
        </w:rPr>
        <w:t xml:space="preserve"> ardından kalan bütçe diğer kaynaklara paylaştırılmaktadır. Aylık ödemeler için dikkate alınan metodoloji </w:t>
      </w:r>
      <w:r w:rsidR="004C4E73">
        <w:rPr>
          <w:lang w:val="tr-TR"/>
        </w:rPr>
        <w:t>üç</w:t>
      </w:r>
      <w:r w:rsidR="004C4E73" w:rsidRPr="00CF336B">
        <w:rPr>
          <w:lang w:val="tr-TR"/>
        </w:rPr>
        <w:t xml:space="preserve"> </w:t>
      </w:r>
      <w:r w:rsidRPr="00CF336B">
        <w:rPr>
          <w:lang w:val="tr-TR"/>
        </w:rPr>
        <w:t xml:space="preserve">defa değiştirilmiş ve son halini </w:t>
      </w:r>
      <w:r w:rsidR="004C4E73">
        <w:rPr>
          <w:lang w:val="tr-TR"/>
        </w:rPr>
        <w:t>31 Aralık 2023</w:t>
      </w:r>
      <w:r w:rsidRPr="00CF336B">
        <w:rPr>
          <w:lang w:val="tr-TR"/>
        </w:rPr>
        <w:t xml:space="preserve"> tarihli Resmî </w:t>
      </w:r>
      <w:proofErr w:type="spellStart"/>
      <w:r w:rsidRPr="00CF336B">
        <w:rPr>
          <w:lang w:val="tr-TR"/>
        </w:rPr>
        <w:t>Gazete'de</w:t>
      </w:r>
      <w:proofErr w:type="spellEnd"/>
      <w:r w:rsidRPr="00CF336B">
        <w:rPr>
          <w:lang w:val="tr-TR"/>
        </w:rPr>
        <w:t xml:space="preserve"> yayımlanan yönetmelik ile almıştır. Buna göre </w:t>
      </w:r>
      <w:r w:rsidR="002448F7" w:rsidRPr="00CF336B">
        <w:rPr>
          <w:lang w:val="tr-TR"/>
        </w:rPr>
        <w:t xml:space="preserve">kapasite mekanizması </w:t>
      </w:r>
      <w:r w:rsidRPr="00CF336B">
        <w:rPr>
          <w:lang w:val="tr-TR"/>
        </w:rPr>
        <w:t>ödemeleri kaynak için hesaplanan sabit ve değişken maliyetleri ile Gün Öncesi Piyasası</w:t>
      </w:r>
      <w:r w:rsidR="003C2125">
        <w:rPr>
          <w:lang w:val="tr-TR"/>
        </w:rPr>
        <w:t xml:space="preserve"> (GÖP)</w:t>
      </w:r>
      <w:r w:rsidRPr="00CF336B">
        <w:rPr>
          <w:lang w:val="tr-TR"/>
        </w:rPr>
        <w:t xml:space="preserve"> </w:t>
      </w:r>
      <w:r w:rsidR="002448F7" w:rsidRPr="00CF336B">
        <w:rPr>
          <w:lang w:val="tr-TR"/>
        </w:rPr>
        <w:t xml:space="preserve">piyasa takas fiyatından </w:t>
      </w:r>
      <w:r w:rsidRPr="00CF336B">
        <w:rPr>
          <w:lang w:val="tr-TR"/>
        </w:rPr>
        <w:t xml:space="preserve">etkilenecektir. Son değişiklikle uyumlu olarak, mekanizma ödemeleri piyasa fiyatı sinyallerine bağlı olarak değişmektedir. </w:t>
      </w:r>
    </w:p>
    <w:p w14:paraId="04518E35" w14:textId="5CBC03CB" w:rsidR="00905501" w:rsidRPr="00CF336B" w:rsidRDefault="00905501" w:rsidP="004D4361">
      <w:pPr>
        <w:spacing w:line="360" w:lineRule="auto"/>
        <w:jc w:val="both"/>
        <w:rPr>
          <w:lang w:val="tr-TR"/>
        </w:rPr>
      </w:pPr>
      <w:r w:rsidRPr="00CF336B">
        <w:rPr>
          <w:lang w:val="tr-TR"/>
        </w:rPr>
        <w:t xml:space="preserve">Kapasite mekanizması TEİAŞ tarafından </w:t>
      </w:r>
      <w:r w:rsidR="002448F7" w:rsidRPr="00CF336B">
        <w:rPr>
          <w:lang w:val="tr-TR"/>
        </w:rPr>
        <w:t xml:space="preserve">işletilen </w:t>
      </w:r>
      <w:r w:rsidRPr="00CF336B">
        <w:rPr>
          <w:lang w:val="tr-TR"/>
        </w:rPr>
        <w:t xml:space="preserve">bir </w:t>
      </w:r>
      <w:r w:rsidR="002448F7" w:rsidRPr="00CF336B">
        <w:rPr>
          <w:lang w:val="tr-TR"/>
        </w:rPr>
        <w:t>mekanizma</w:t>
      </w:r>
      <w:r w:rsidRPr="00CF336B">
        <w:rPr>
          <w:lang w:val="tr-TR"/>
        </w:rPr>
        <w:t xml:space="preserve"> olup süreçler tüzel kişi ile TEİAŞ arasında yürütülmektedir.</w:t>
      </w:r>
      <w:r w:rsidR="00570A9E">
        <w:rPr>
          <w:lang w:val="tr-TR"/>
        </w:rPr>
        <w:t xml:space="preserve"> </w:t>
      </w:r>
      <w:r w:rsidRPr="00CF336B">
        <w:rPr>
          <w:lang w:val="tr-TR"/>
        </w:rPr>
        <w:t>Bir sonraki takvim yılında kapasite mekanizmasından yararlanmak isteyen tüzel kişilerin</w:t>
      </w:r>
      <w:r w:rsidR="002448F7" w:rsidRPr="00CF336B">
        <w:rPr>
          <w:lang w:val="tr-TR"/>
        </w:rPr>
        <w:t>,</w:t>
      </w:r>
      <w:r w:rsidRPr="00CF336B">
        <w:rPr>
          <w:lang w:val="tr-TR"/>
        </w:rPr>
        <w:t xml:space="preserve"> aday başvuru formu ile en geç Ekim ayının on beşinci gününe kadar TEİAŞ’a başvuruda bulunmaları gerekmektedir. Başvuruda</w:t>
      </w:r>
      <w:r w:rsidR="002448F7" w:rsidRPr="00CF336B">
        <w:rPr>
          <w:lang w:val="tr-TR"/>
        </w:rPr>
        <w:t>,</w:t>
      </w:r>
      <w:r w:rsidRPr="00CF336B">
        <w:rPr>
          <w:lang w:val="tr-TR"/>
        </w:rPr>
        <w:t xml:space="preserve"> santralin kapasite mekanizmasından yararlanabilmesi için gereken şartları sağladığını gösteren belgeler, başvuru formu ile TEİAŞ’a sunulmalıdır. TEİAŞ, yapılan başvuruların Elektrik Piyasası Kapasite Mekanizması Yönetmeliği çerçevesinde uygunluklarını değerlendirerek bir sonraki takvim yılında kapasite mekanizmasından yararlanacak santralleri</w:t>
      </w:r>
      <w:r w:rsidR="002448F7" w:rsidRPr="00CF336B">
        <w:rPr>
          <w:lang w:val="tr-TR"/>
        </w:rPr>
        <w:t>,</w:t>
      </w:r>
      <w:r w:rsidRPr="00CF336B">
        <w:rPr>
          <w:lang w:val="tr-TR"/>
        </w:rPr>
        <w:t xml:space="preserve"> en geç Ekim ayının son günü internet sitesinden duyurup </w:t>
      </w:r>
      <w:r w:rsidR="00862F3C" w:rsidRPr="00862F3C">
        <w:rPr>
          <w:lang w:val="tr-TR"/>
        </w:rPr>
        <w:t>Enerji Piyasası Düzenleme Kurumu</w:t>
      </w:r>
      <w:r w:rsidR="00862F3C">
        <w:rPr>
          <w:lang w:val="tr-TR"/>
        </w:rPr>
        <w:t>’na (</w:t>
      </w:r>
      <w:r w:rsidRPr="00CF336B">
        <w:rPr>
          <w:lang w:val="tr-TR"/>
        </w:rPr>
        <w:t>EPDK</w:t>
      </w:r>
      <w:r w:rsidR="00862F3C">
        <w:rPr>
          <w:lang w:val="tr-TR"/>
        </w:rPr>
        <w:t>)</w:t>
      </w:r>
      <w:r w:rsidRPr="00CF336B">
        <w:rPr>
          <w:lang w:val="tr-TR"/>
        </w:rPr>
        <w:t xml:space="preserve"> bildirmektedir.</w:t>
      </w:r>
    </w:p>
    <w:p w14:paraId="47C9285F" w14:textId="77777777" w:rsidR="00905501" w:rsidRPr="00CF336B" w:rsidRDefault="00905501" w:rsidP="004D4361">
      <w:pPr>
        <w:spacing w:line="360" w:lineRule="auto"/>
        <w:jc w:val="both"/>
        <w:rPr>
          <w:lang w:val="tr-TR"/>
        </w:rPr>
      </w:pPr>
      <w:r w:rsidRPr="00CF336B">
        <w:rPr>
          <w:lang w:val="tr-TR"/>
        </w:rPr>
        <w:t xml:space="preserve">Uygulamanın hayata geçirdiği dönemden bugüne kadar kapasite mekanizmasından yararlanacak santrallerin listesinin yayımlanma tarihleri </w:t>
      </w:r>
      <w:r w:rsidRPr="00CF336B">
        <w:rPr>
          <w:lang w:val="tr-TR"/>
        </w:rPr>
        <w:fldChar w:fldCharType="begin"/>
      </w:r>
      <w:r w:rsidRPr="00CF336B">
        <w:rPr>
          <w:lang w:val="tr-TR"/>
        </w:rPr>
        <w:instrText xml:space="preserve"> REF _Ref146277866 \h  \* MERGEFORMAT </w:instrText>
      </w:r>
      <w:r w:rsidRPr="00CF336B">
        <w:rPr>
          <w:lang w:val="tr-TR"/>
        </w:rPr>
      </w:r>
      <w:r w:rsidRPr="00CF336B">
        <w:rPr>
          <w:lang w:val="tr-TR"/>
        </w:rPr>
        <w:fldChar w:fldCharType="separate"/>
      </w:r>
      <w:r w:rsidRPr="00CF336B">
        <w:rPr>
          <w:lang w:val="tr-TR"/>
        </w:rPr>
        <w:t xml:space="preserve">Tablo </w:t>
      </w:r>
      <w:r w:rsidRPr="00CF336B">
        <w:rPr>
          <w:noProof/>
          <w:lang w:val="tr-TR"/>
        </w:rPr>
        <w:t>1</w:t>
      </w:r>
      <w:r w:rsidRPr="00CF336B">
        <w:rPr>
          <w:lang w:val="tr-TR"/>
        </w:rPr>
        <w:fldChar w:fldCharType="end"/>
      </w:r>
      <w:r w:rsidRPr="00CF336B">
        <w:rPr>
          <w:lang w:val="tr-TR"/>
        </w:rPr>
        <w:t>’de gösterilmektedir.</w:t>
      </w:r>
    </w:p>
    <w:p w14:paraId="0B1EA94B" w14:textId="7355C123" w:rsidR="00905501" w:rsidRPr="00CF336B" w:rsidRDefault="00905501" w:rsidP="004D4361">
      <w:pPr>
        <w:pStyle w:val="Caption"/>
        <w:keepNext/>
        <w:spacing w:line="360" w:lineRule="auto"/>
        <w:jc w:val="center"/>
        <w:rPr>
          <w:color w:val="auto"/>
          <w:sz w:val="22"/>
          <w:szCs w:val="22"/>
          <w:lang w:val="tr-TR"/>
        </w:rPr>
      </w:pPr>
      <w:bookmarkStart w:id="13" w:name="_Ref146277866"/>
      <w:bookmarkStart w:id="14" w:name="_Toc156210496"/>
      <w:r w:rsidRPr="00CF336B">
        <w:rPr>
          <w:color w:val="auto"/>
          <w:sz w:val="22"/>
          <w:szCs w:val="22"/>
          <w:lang w:val="tr-TR"/>
        </w:rPr>
        <w:t xml:space="preserve">Tablo </w:t>
      </w:r>
      <w:r w:rsidR="002F257A" w:rsidRPr="00CF336B">
        <w:rPr>
          <w:color w:val="auto"/>
          <w:sz w:val="22"/>
          <w:szCs w:val="22"/>
          <w:lang w:val="tr-TR"/>
        </w:rPr>
        <w:fldChar w:fldCharType="begin"/>
      </w:r>
      <w:r w:rsidR="002F257A" w:rsidRPr="00CF336B">
        <w:rPr>
          <w:color w:val="auto"/>
          <w:sz w:val="22"/>
          <w:szCs w:val="22"/>
          <w:lang w:val="tr-TR"/>
        </w:rPr>
        <w:instrText xml:space="preserve"> SEQ Tablo \* ARABIC </w:instrText>
      </w:r>
      <w:r w:rsidR="002F257A" w:rsidRPr="00CF336B">
        <w:rPr>
          <w:color w:val="auto"/>
          <w:sz w:val="22"/>
          <w:szCs w:val="22"/>
          <w:lang w:val="tr-TR"/>
        </w:rPr>
        <w:fldChar w:fldCharType="separate"/>
      </w:r>
      <w:r w:rsidR="00A22AF1" w:rsidRPr="00CF336B">
        <w:rPr>
          <w:noProof/>
          <w:color w:val="auto"/>
          <w:sz w:val="22"/>
          <w:szCs w:val="22"/>
          <w:lang w:val="tr-TR"/>
        </w:rPr>
        <w:t>1</w:t>
      </w:r>
      <w:r w:rsidR="002F257A" w:rsidRPr="00CF336B">
        <w:rPr>
          <w:color w:val="auto"/>
          <w:sz w:val="22"/>
          <w:szCs w:val="22"/>
          <w:lang w:val="tr-TR"/>
        </w:rPr>
        <w:fldChar w:fldCharType="end"/>
      </w:r>
      <w:bookmarkEnd w:id="13"/>
      <w:r w:rsidRPr="00CF336B">
        <w:rPr>
          <w:color w:val="auto"/>
          <w:sz w:val="22"/>
          <w:szCs w:val="22"/>
          <w:lang w:val="tr-TR"/>
        </w:rPr>
        <w:t>. Kapasite Mekanizmasından Yararlanacak Santrallerin Açıklanma Tarihleri</w:t>
      </w:r>
      <w:bookmarkEnd w:id="14"/>
    </w:p>
    <w:tbl>
      <w:tblPr>
        <w:tblStyle w:val="TableGrid"/>
        <w:tblW w:w="0" w:type="auto"/>
        <w:tblLook w:val="04A0" w:firstRow="1" w:lastRow="0" w:firstColumn="1" w:lastColumn="0" w:noHBand="0" w:noVBand="1"/>
      </w:tblPr>
      <w:tblGrid>
        <w:gridCol w:w="4675"/>
        <w:gridCol w:w="4675"/>
      </w:tblGrid>
      <w:tr w:rsidR="00905501" w:rsidRPr="00CF336B" w14:paraId="173060F7" w14:textId="77777777" w:rsidTr="003D7F1C">
        <w:tc>
          <w:tcPr>
            <w:tcW w:w="4675" w:type="dxa"/>
            <w:shd w:val="clear" w:color="auto" w:fill="1F4E79" w:themeFill="accent5" w:themeFillShade="80"/>
          </w:tcPr>
          <w:p w14:paraId="3251617D" w14:textId="77777777" w:rsidR="00905501" w:rsidRPr="00CF336B" w:rsidRDefault="00905501" w:rsidP="004D4361">
            <w:pPr>
              <w:spacing w:line="360" w:lineRule="auto"/>
              <w:jc w:val="center"/>
              <w:rPr>
                <w:b/>
                <w:bCs/>
                <w:color w:val="FFFFFF" w:themeColor="background1"/>
                <w:lang w:val="tr-TR"/>
              </w:rPr>
            </w:pPr>
            <w:r w:rsidRPr="00CF336B">
              <w:rPr>
                <w:b/>
                <w:bCs/>
                <w:color w:val="FFFFFF" w:themeColor="background1"/>
                <w:lang w:val="tr-TR"/>
              </w:rPr>
              <w:t>Kapasite Mekanizmasından Yararlanılacak Yıl</w:t>
            </w:r>
          </w:p>
        </w:tc>
        <w:tc>
          <w:tcPr>
            <w:tcW w:w="4675" w:type="dxa"/>
            <w:shd w:val="clear" w:color="auto" w:fill="1F4E79" w:themeFill="accent5" w:themeFillShade="80"/>
          </w:tcPr>
          <w:p w14:paraId="7715B792" w14:textId="77777777" w:rsidR="00905501" w:rsidRPr="00CF336B" w:rsidRDefault="00905501" w:rsidP="004D4361">
            <w:pPr>
              <w:spacing w:line="360" w:lineRule="auto"/>
              <w:jc w:val="center"/>
              <w:rPr>
                <w:b/>
                <w:bCs/>
                <w:color w:val="FFFFFF" w:themeColor="background1"/>
                <w:lang w:val="tr-TR"/>
              </w:rPr>
            </w:pPr>
            <w:r w:rsidRPr="00CF336B">
              <w:rPr>
                <w:b/>
                <w:bCs/>
                <w:color w:val="FFFFFF" w:themeColor="background1"/>
                <w:lang w:val="tr-TR"/>
              </w:rPr>
              <w:t>Açıklanma Tarihi</w:t>
            </w:r>
          </w:p>
        </w:tc>
      </w:tr>
      <w:tr w:rsidR="00905501" w:rsidRPr="00CF336B" w14:paraId="2D9E095E" w14:textId="77777777">
        <w:tc>
          <w:tcPr>
            <w:tcW w:w="4675" w:type="dxa"/>
          </w:tcPr>
          <w:p w14:paraId="3604A033" w14:textId="77777777" w:rsidR="00905501" w:rsidRPr="00CF336B" w:rsidRDefault="00905501" w:rsidP="004D4361">
            <w:pPr>
              <w:spacing w:line="360" w:lineRule="auto"/>
              <w:jc w:val="center"/>
              <w:rPr>
                <w:lang w:val="tr-TR"/>
              </w:rPr>
            </w:pPr>
            <w:r w:rsidRPr="00CF336B">
              <w:rPr>
                <w:lang w:val="tr-TR"/>
              </w:rPr>
              <w:t>2018</w:t>
            </w:r>
          </w:p>
        </w:tc>
        <w:tc>
          <w:tcPr>
            <w:tcW w:w="4675" w:type="dxa"/>
          </w:tcPr>
          <w:p w14:paraId="6A828E68" w14:textId="77777777" w:rsidR="00905501" w:rsidRPr="00CF336B" w:rsidRDefault="00905501" w:rsidP="004D4361">
            <w:pPr>
              <w:spacing w:line="360" w:lineRule="auto"/>
              <w:jc w:val="center"/>
              <w:rPr>
                <w:lang w:val="tr-TR"/>
              </w:rPr>
            </w:pPr>
            <w:r w:rsidRPr="00CF336B">
              <w:rPr>
                <w:lang w:val="tr-TR"/>
              </w:rPr>
              <w:t>15 Şubat 2018</w:t>
            </w:r>
            <w:r w:rsidRPr="00CF336B">
              <w:rPr>
                <w:rStyle w:val="FootnoteReference"/>
                <w:lang w:val="tr-TR"/>
              </w:rPr>
              <w:footnoteReference w:id="5"/>
            </w:r>
          </w:p>
        </w:tc>
      </w:tr>
      <w:tr w:rsidR="00905501" w:rsidRPr="00CF336B" w14:paraId="699C39D7" w14:textId="77777777">
        <w:tc>
          <w:tcPr>
            <w:tcW w:w="4675" w:type="dxa"/>
          </w:tcPr>
          <w:p w14:paraId="22DA2FF8" w14:textId="77777777" w:rsidR="00905501" w:rsidRPr="00CF336B" w:rsidRDefault="00905501" w:rsidP="004D4361">
            <w:pPr>
              <w:spacing w:line="360" w:lineRule="auto"/>
              <w:jc w:val="center"/>
              <w:rPr>
                <w:lang w:val="tr-TR"/>
              </w:rPr>
            </w:pPr>
            <w:r w:rsidRPr="00CF336B">
              <w:rPr>
                <w:lang w:val="tr-TR"/>
              </w:rPr>
              <w:t>2019</w:t>
            </w:r>
          </w:p>
        </w:tc>
        <w:tc>
          <w:tcPr>
            <w:tcW w:w="4675" w:type="dxa"/>
          </w:tcPr>
          <w:p w14:paraId="276F0840" w14:textId="77777777" w:rsidR="00905501" w:rsidRPr="00CF336B" w:rsidRDefault="00905501" w:rsidP="004D4361">
            <w:pPr>
              <w:spacing w:line="360" w:lineRule="auto"/>
              <w:jc w:val="center"/>
              <w:rPr>
                <w:lang w:val="tr-TR"/>
              </w:rPr>
            </w:pPr>
            <w:r w:rsidRPr="00CF336B">
              <w:rPr>
                <w:lang w:val="tr-TR"/>
              </w:rPr>
              <w:t>14 Kasım 2018</w:t>
            </w:r>
          </w:p>
        </w:tc>
      </w:tr>
      <w:tr w:rsidR="00905501" w:rsidRPr="00CF336B" w14:paraId="2E7B4C7F" w14:textId="77777777">
        <w:tc>
          <w:tcPr>
            <w:tcW w:w="4675" w:type="dxa"/>
          </w:tcPr>
          <w:p w14:paraId="2963EEF5" w14:textId="77777777" w:rsidR="00905501" w:rsidRPr="00CF336B" w:rsidRDefault="00905501" w:rsidP="004D4361">
            <w:pPr>
              <w:spacing w:line="360" w:lineRule="auto"/>
              <w:jc w:val="center"/>
              <w:rPr>
                <w:lang w:val="tr-TR"/>
              </w:rPr>
            </w:pPr>
            <w:r w:rsidRPr="00CF336B">
              <w:rPr>
                <w:lang w:val="tr-TR"/>
              </w:rPr>
              <w:t>2020</w:t>
            </w:r>
          </w:p>
        </w:tc>
        <w:tc>
          <w:tcPr>
            <w:tcW w:w="4675" w:type="dxa"/>
          </w:tcPr>
          <w:p w14:paraId="79D2FE86" w14:textId="77777777" w:rsidR="00905501" w:rsidRPr="00CF336B" w:rsidRDefault="00905501" w:rsidP="004D4361">
            <w:pPr>
              <w:spacing w:line="360" w:lineRule="auto"/>
              <w:jc w:val="center"/>
              <w:rPr>
                <w:lang w:val="tr-TR"/>
              </w:rPr>
            </w:pPr>
            <w:r w:rsidRPr="00CF336B">
              <w:rPr>
                <w:lang w:val="tr-TR"/>
              </w:rPr>
              <w:t>12 Aralık 2019</w:t>
            </w:r>
          </w:p>
        </w:tc>
      </w:tr>
      <w:tr w:rsidR="00905501" w:rsidRPr="00CF336B" w14:paraId="12E6D4FA" w14:textId="77777777">
        <w:tc>
          <w:tcPr>
            <w:tcW w:w="4675" w:type="dxa"/>
          </w:tcPr>
          <w:p w14:paraId="4B327AAE" w14:textId="77777777" w:rsidR="00905501" w:rsidRPr="00CF336B" w:rsidRDefault="00905501" w:rsidP="004D4361">
            <w:pPr>
              <w:spacing w:line="360" w:lineRule="auto"/>
              <w:jc w:val="center"/>
              <w:rPr>
                <w:lang w:val="tr-TR"/>
              </w:rPr>
            </w:pPr>
            <w:r w:rsidRPr="00CF336B">
              <w:rPr>
                <w:lang w:val="tr-TR"/>
              </w:rPr>
              <w:t>2021</w:t>
            </w:r>
          </w:p>
        </w:tc>
        <w:tc>
          <w:tcPr>
            <w:tcW w:w="4675" w:type="dxa"/>
          </w:tcPr>
          <w:p w14:paraId="6A99372E" w14:textId="77777777" w:rsidR="00905501" w:rsidRPr="00CF336B" w:rsidRDefault="00905501" w:rsidP="004D4361">
            <w:pPr>
              <w:spacing w:line="360" w:lineRule="auto"/>
              <w:jc w:val="center"/>
              <w:rPr>
                <w:lang w:val="tr-TR"/>
              </w:rPr>
            </w:pPr>
            <w:r w:rsidRPr="00CF336B">
              <w:rPr>
                <w:lang w:val="tr-TR"/>
              </w:rPr>
              <w:t>30 Ekim 2020</w:t>
            </w:r>
          </w:p>
        </w:tc>
      </w:tr>
      <w:tr w:rsidR="00905501" w:rsidRPr="00CF336B" w14:paraId="37F6AD91" w14:textId="77777777">
        <w:tc>
          <w:tcPr>
            <w:tcW w:w="4675" w:type="dxa"/>
          </w:tcPr>
          <w:p w14:paraId="3C853890" w14:textId="77777777" w:rsidR="00905501" w:rsidRPr="00CF336B" w:rsidRDefault="00905501" w:rsidP="004D4361">
            <w:pPr>
              <w:spacing w:line="360" w:lineRule="auto"/>
              <w:jc w:val="center"/>
              <w:rPr>
                <w:lang w:val="tr-TR"/>
              </w:rPr>
            </w:pPr>
            <w:r w:rsidRPr="00CF336B">
              <w:rPr>
                <w:lang w:val="tr-TR"/>
              </w:rPr>
              <w:t>2022</w:t>
            </w:r>
          </w:p>
        </w:tc>
        <w:tc>
          <w:tcPr>
            <w:tcW w:w="4675" w:type="dxa"/>
          </w:tcPr>
          <w:p w14:paraId="5DD7B990" w14:textId="77777777" w:rsidR="00905501" w:rsidRPr="00CF336B" w:rsidRDefault="00905501" w:rsidP="004D4361">
            <w:pPr>
              <w:spacing w:line="360" w:lineRule="auto"/>
              <w:jc w:val="center"/>
              <w:rPr>
                <w:lang w:val="tr-TR"/>
              </w:rPr>
            </w:pPr>
            <w:r w:rsidRPr="00CF336B">
              <w:rPr>
                <w:lang w:val="tr-TR"/>
              </w:rPr>
              <w:t>28 Ekim 2021</w:t>
            </w:r>
          </w:p>
        </w:tc>
      </w:tr>
      <w:tr w:rsidR="00905501" w:rsidRPr="00CF336B" w14:paraId="35096F8C" w14:textId="77777777">
        <w:tc>
          <w:tcPr>
            <w:tcW w:w="4675" w:type="dxa"/>
          </w:tcPr>
          <w:p w14:paraId="0D6D6EDE" w14:textId="77777777" w:rsidR="00905501" w:rsidRPr="00CF336B" w:rsidRDefault="00905501" w:rsidP="004D4361">
            <w:pPr>
              <w:spacing w:line="360" w:lineRule="auto"/>
              <w:jc w:val="center"/>
              <w:rPr>
                <w:lang w:val="tr-TR"/>
              </w:rPr>
            </w:pPr>
            <w:r w:rsidRPr="00CF336B">
              <w:rPr>
                <w:lang w:val="tr-TR"/>
              </w:rPr>
              <w:t>2023</w:t>
            </w:r>
          </w:p>
        </w:tc>
        <w:tc>
          <w:tcPr>
            <w:tcW w:w="4675" w:type="dxa"/>
          </w:tcPr>
          <w:p w14:paraId="3A42F04C" w14:textId="77777777" w:rsidR="00905501" w:rsidRPr="00CF336B" w:rsidRDefault="00905501" w:rsidP="004D4361">
            <w:pPr>
              <w:spacing w:line="360" w:lineRule="auto"/>
              <w:jc w:val="center"/>
              <w:rPr>
                <w:lang w:val="tr-TR"/>
              </w:rPr>
            </w:pPr>
            <w:r w:rsidRPr="00CF336B">
              <w:rPr>
                <w:lang w:val="tr-TR"/>
              </w:rPr>
              <w:t>1 Kasım 2022</w:t>
            </w:r>
          </w:p>
        </w:tc>
      </w:tr>
      <w:tr w:rsidR="00032CA5" w:rsidRPr="00CF336B" w14:paraId="3E34A5B5" w14:textId="77777777">
        <w:tc>
          <w:tcPr>
            <w:tcW w:w="4675" w:type="dxa"/>
          </w:tcPr>
          <w:p w14:paraId="5355F841" w14:textId="287F7B72" w:rsidR="00032CA5" w:rsidRPr="00CF336B" w:rsidRDefault="00032CA5" w:rsidP="004D4361">
            <w:pPr>
              <w:spacing w:line="360" w:lineRule="auto"/>
              <w:jc w:val="center"/>
              <w:rPr>
                <w:lang w:val="tr-TR"/>
              </w:rPr>
            </w:pPr>
            <w:r>
              <w:rPr>
                <w:lang w:val="tr-TR"/>
              </w:rPr>
              <w:t>2024</w:t>
            </w:r>
          </w:p>
        </w:tc>
        <w:tc>
          <w:tcPr>
            <w:tcW w:w="4675" w:type="dxa"/>
          </w:tcPr>
          <w:p w14:paraId="2421C2A3" w14:textId="7F67C28C" w:rsidR="00032CA5" w:rsidRPr="00CF336B" w:rsidRDefault="00032CA5" w:rsidP="004D4361">
            <w:pPr>
              <w:spacing w:line="360" w:lineRule="auto"/>
              <w:jc w:val="center"/>
              <w:rPr>
                <w:lang w:val="tr-TR"/>
              </w:rPr>
            </w:pPr>
            <w:r>
              <w:rPr>
                <w:lang w:val="tr-TR"/>
              </w:rPr>
              <w:t>6 Ocak 2024</w:t>
            </w:r>
          </w:p>
        </w:tc>
      </w:tr>
    </w:tbl>
    <w:p w14:paraId="460922D4" w14:textId="77777777" w:rsidR="00905501" w:rsidRPr="00CF336B" w:rsidRDefault="00905501" w:rsidP="004D4361">
      <w:pPr>
        <w:spacing w:line="360" w:lineRule="auto"/>
        <w:rPr>
          <w:lang w:val="tr-TR"/>
        </w:rPr>
      </w:pPr>
    </w:p>
    <w:p w14:paraId="6789F81A" w14:textId="5A4324EA" w:rsidR="00905501" w:rsidRPr="00CF336B" w:rsidRDefault="00905501" w:rsidP="004D4361">
      <w:pPr>
        <w:spacing w:line="360" w:lineRule="auto"/>
        <w:jc w:val="both"/>
        <w:rPr>
          <w:lang w:val="tr-TR"/>
        </w:rPr>
      </w:pPr>
      <w:r w:rsidRPr="00CF336B">
        <w:rPr>
          <w:lang w:val="tr-TR"/>
        </w:rPr>
        <w:t>Mekanizmadan yararlanacak santrallerin listesinin yayımlanmasının ardından</w:t>
      </w:r>
      <w:r w:rsidR="002448F7" w:rsidRPr="00CF336B">
        <w:rPr>
          <w:lang w:val="tr-TR"/>
        </w:rPr>
        <w:t>,</w:t>
      </w:r>
      <w:r w:rsidRPr="00CF336B">
        <w:rPr>
          <w:lang w:val="tr-TR"/>
        </w:rPr>
        <w:t xml:space="preserve"> bu yıl santrallere ödenecek bütçe ve bu bütçenin aylara göre dağılımına dair öneri, </w:t>
      </w:r>
      <w:proofErr w:type="gramStart"/>
      <w:r w:rsidRPr="00CF336B">
        <w:rPr>
          <w:lang w:val="tr-TR"/>
        </w:rPr>
        <w:t>Aralık</w:t>
      </w:r>
      <w:proofErr w:type="gramEnd"/>
      <w:r w:rsidRPr="00CF336B">
        <w:rPr>
          <w:lang w:val="tr-TR"/>
        </w:rPr>
        <w:t xml:space="preserve"> ayının sonuna kadar TEİAŞ tarafından EPDK onayına sunulmaktadır. EPDK nihai kararı </w:t>
      </w:r>
      <w:r w:rsidR="002448F7" w:rsidRPr="00CF336B">
        <w:rPr>
          <w:lang w:val="tr-TR"/>
        </w:rPr>
        <w:t xml:space="preserve">bir sonraki yılın </w:t>
      </w:r>
      <w:proofErr w:type="gramStart"/>
      <w:r w:rsidRPr="00CF336B">
        <w:rPr>
          <w:lang w:val="tr-TR"/>
        </w:rPr>
        <w:t>Ocak</w:t>
      </w:r>
      <w:proofErr w:type="gramEnd"/>
      <w:r w:rsidRPr="00CF336B">
        <w:rPr>
          <w:lang w:val="tr-TR"/>
        </w:rPr>
        <w:t xml:space="preserve"> ayı içinde vererek Kurul Kararı ile duyurmaktadır. Bütçenin ve bütçenin ay bazında dağılımının belirlenmesinde aşağıdaki hususlar dikkate alınmaktadır:</w:t>
      </w:r>
    </w:p>
    <w:p w14:paraId="32FFFC86"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Kapasite mekanizmasından yararlanacak kapasite miktarı,</w:t>
      </w:r>
    </w:p>
    <w:p w14:paraId="21877CEB"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Santrallerin yatırım ve finansman maliyetleri,</w:t>
      </w:r>
    </w:p>
    <w:p w14:paraId="65D00DD9"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Bütçenin iletim tarifeleri üzerindeki etkisi,</w:t>
      </w:r>
    </w:p>
    <w:p w14:paraId="79B02CCC"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Gün öncesi piyasasında oluşan piyasa takas fiyatları,</w:t>
      </w:r>
    </w:p>
    <w:p w14:paraId="76B38EAF"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Aylık bazda oluşacak destekleme tutarı ihtiyacı,</w:t>
      </w:r>
    </w:p>
    <w:p w14:paraId="6175C416" w14:textId="77777777" w:rsidR="00905501" w:rsidRPr="00CF336B" w:rsidRDefault="00905501" w:rsidP="004D4361">
      <w:pPr>
        <w:pStyle w:val="ListParagraph"/>
        <w:numPr>
          <w:ilvl w:val="0"/>
          <w:numId w:val="5"/>
        </w:numPr>
        <w:spacing w:line="360" w:lineRule="auto"/>
        <w:jc w:val="both"/>
        <w:rPr>
          <w:lang w:val="tr-TR"/>
        </w:rPr>
      </w:pPr>
      <w:r w:rsidRPr="00CF336B">
        <w:rPr>
          <w:lang w:val="tr-TR"/>
        </w:rPr>
        <w:t>Elektrik üretim sektörünün mali sürdürülebilirliği.</w:t>
      </w:r>
    </w:p>
    <w:p w14:paraId="7DF06B36" w14:textId="322AD869" w:rsidR="00905501" w:rsidRPr="00CF336B" w:rsidRDefault="00905501" w:rsidP="004D4361">
      <w:pPr>
        <w:spacing w:line="360" w:lineRule="auto"/>
        <w:jc w:val="both"/>
        <w:rPr>
          <w:lang w:val="tr-TR"/>
        </w:rPr>
      </w:pPr>
      <w:r w:rsidRPr="00CF336B">
        <w:rPr>
          <w:lang w:val="tr-TR"/>
        </w:rPr>
        <w:t xml:space="preserve">Yönetmelikte ilgili yıl içinde yapılacak ödemelerin o yıl için belirlenen bütçeyi geçemeyeceği belirtilmektedir. </w:t>
      </w:r>
      <w:r w:rsidR="002448F7" w:rsidRPr="00CF336B">
        <w:rPr>
          <w:lang w:val="tr-TR"/>
        </w:rPr>
        <w:t>Y</w:t>
      </w:r>
      <w:r w:rsidRPr="00CF336B">
        <w:rPr>
          <w:lang w:val="tr-TR"/>
        </w:rPr>
        <w:t>apılacak ödemelerin belirlenen bütçeden düşük olması durumunda</w:t>
      </w:r>
      <w:r w:rsidR="002448F7" w:rsidRPr="00CF336B">
        <w:rPr>
          <w:lang w:val="tr-TR"/>
        </w:rPr>
        <w:t xml:space="preserve"> ise</w:t>
      </w:r>
      <w:r w:rsidRPr="00CF336B">
        <w:rPr>
          <w:lang w:val="tr-TR"/>
        </w:rPr>
        <w:t xml:space="preserve"> kalan tutar</w:t>
      </w:r>
      <w:r w:rsidR="002448F7" w:rsidRPr="00CF336B">
        <w:rPr>
          <w:lang w:val="tr-TR"/>
        </w:rPr>
        <w:t>ın</w:t>
      </w:r>
      <w:r w:rsidRPr="00CF336B">
        <w:rPr>
          <w:lang w:val="tr-TR"/>
        </w:rPr>
        <w:t xml:space="preserve"> bir sonraki yıla aktarılma</w:t>
      </w:r>
      <w:r w:rsidR="002448F7" w:rsidRPr="00CF336B">
        <w:rPr>
          <w:lang w:val="tr-TR"/>
        </w:rPr>
        <w:t>yacağı vurgulan</w:t>
      </w:r>
      <w:r w:rsidRPr="00CF336B">
        <w:rPr>
          <w:lang w:val="tr-TR"/>
        </w:rPr>
        <w:t xml:space="preserve">maktadır </w:t>
      </w:r>
      <w:r w:rsidRPr="00CF336B">
        <w:rPr>
          <w:rStyle w:val="FootnoteReference"/>
          <w:lang w:val="tr-TR"/>
        </w:rPr>
        <w:footnoteReference w:id="6"/>
      </w:r>
      <w:r w:rsidRPr="00CF336B">
        <w:rPr>
          <w:lang w:val="tr-TR"/>
        </w:rPr>
        <w:t>. Bütçe ile ilgili diğer maddede ise aylık bütçenin o ay içinde dağıtılmasının esas olduğu belirtilmektedir. Fakat burada, yıllık bütçenin aksine, aylık bütçenin o ay yapılacak ödemeden yüksek olması durumunda, kalan bütçe sonraki aya aktarılabilmektedir</w:t>
      </w:r>
      <w:r w:rsidRPr="00CF336B">
        <w:rPr>
          <w:rStyle w:val="FootnoteReference"/>
          <w:lang w:val="tr-TR"/>
        </w:rPr>
        <w:footnoteReference w:id="7"/>
      </w:r>
      <w:r w:rsidRPr="00CF336B">
        <w:rPr>
          <w:lang w:val="tr-TR"/>
        </w:rPr>
        <w:t>.</w:t>
      </w:r>
    </w:p>
    <w:p w14:paraId="0B4DF40D" w14:textId="7B76CEB3" w:rsidR="00905501" w:rsidRPr="00CF336B" w:rsidRDefault="00905501" w:rsidP="004D4361">
      <w:pPr>
        <w:spacing w:line="360" w:lineRule="auto"/>
        <w:jc w:val="both"/>
        <w:rPr>
          <w:lang w:val="tr-TR"/>
        </w:rPr>
      </w:pPr>
      <w:r w:rsidRPr="00CF336B">
        <w:rPr>
          <w:lang w:val="tr-TR"/>
        </w:rPr>
        <w:t xml:space="preserve">Her yıl içinde belirlenen kapasite mekanizması bütçesi ve bu bütçenin açıklanma tarihi </w:t>
      </w:r>
      <w:r w:rsidRPr="00CF336B">
        <w:rPr>
          <w:lang w:val="tr-TR"/>
        </w:rPr>
        <w:fldChar w:fldCharType="begin"/>
      </w:r>
      <w:r w:rsidRPr="00CF336B">
        <w:rPr>
          <w:lang w:val="tr-TR"/>
        </w:rPr>
        <w:instrText xml:space="preserve"> REF _Ref146280941 \h  \* MERGEFORMAT </w:instrText>
      </w:r>
      <w:r w:rsidRPr="00CF336B">
        <w:rPr>
          <w:lang w:val="tr-TR"/>
        </w:rPr>
      </w:r>
      <w:r w:rsidRPr="00CF336B">
        <w:rPr>
          <w:lang w:val="tr-TR"/>
        </w:rPr>
        <w:fldChar w:fldCharType="separate"/>
      </w:r>
      <w:r w:rsidRPr="00CF336B">
        <w:rPr>
          <w:lang w:val="tr-TR"/>
        </w:rPr>
        <w:t xml:space="preserve">Tablo </w:t>
      </w:r>
      <w:r w:rsidRPr="00CF336B">
        <w:rPr>
          <w:noProof/>
          <w:lang w:val="tr-TR"/>
        </w:rPr>
        <w:t>2</w:t>
      </w:r>
      <w:r w:rsidRPr="00CF336B">
        <w:rPr>
          <w:lang w:val="tr-TR"/>
        </w:rPr>
        <w:fldChar w:fldCharType="end"/>
      </w:r>
      <w:r w:rsidRPr="00CF336B">
        <w:rPr>
          <w:lang w:val="tr-TR"/>
        </w:rPr>
        <w:t>’de gösterilmektedir.</w:t>
      </w:r>
    </w:p>
    <w:p w14:paraId="48984CE5" w14:textId="535FA300" w:rsidR="00905501" w:rsidRPr="00CF336B" w:rsidRDefault="00905501" w:rsidP="004D4361">
      <w:pPr>
        <w:pStyle w:val="Caption"/>
        <w:keepNext/>
        <w:spacing w:line="360" w:lineRule="auto"/>
        <w:jc w:val="center"/>
        <w:rPr>
          <w:color w:val="auto"/>
          <w:sz w:val="22"/>
          <w:szCs w:val="22"/>
          <w:lang w:val="tr-TR"/>
        </w:rPr>
      </w:pPr>
      <w:bookmarkStart w:id="15" w:name="_Ref146280941"/>
      <w:bookmarkStart w:id="16" w:name="_Toc156210497"/>
      <w:r w:rsidRPr="00CF336B">
        <w:rPr>
          <w:color w:val="auto"/>
          <w:sz w:val="22"/>
          <w:szCs w:val="22"/>
          <w:lang w:val="tr-TR"/>
        </w:rPr>
        <w:t xml:space="preserve">Tablo </w:t>
      </w:r>
      <w:r w:rsidR="002F257A" w:rsidRPr="00CF336B">
        <w:rPr>
          <w:color w:val="auto"/>
          <w:sz w:val="22"/>
          <w:szCs w:val="22"/>
          <w:lang w:val="tr-TR"/>
        </w:rPr>
        <w:fldChar w:fldCharType="begin"/>
      </w:r>
      <w:r w:rsidR="002F257A" w:rsidRPr="00CF336B">
        <w:rPr>
          <w:color w:val="auto"/>
          <w:sz w:val="22"/>
          <w:szCs w:val="22"/>
          <w:lang w:val="tr-TR"/>
        </w:rPr>
        <w:instrText xml:space="preserve"> SEQ Tablo \* ARABIC </w:instrText>
      </w:r>
      <w:r w:rsidR="002F257A" w:rsidRPr="00CF336B">
        <w:rPr>
          <w:color w:val="auto"/>
          <w:sz w:val="22"/>
          <w:szCs w:val="22"/>
          <w:lang w:val="tr-TR"/>
        </w:rPr>
        <w:fldChar w:fldCharType="separate"/>
      </w:r>
      <w:r w:rsidR="00A22AF1" w:rsidRPr="00CF336B">
        <w:rPr>
          <w:noProof/>
          <w:color w:val="auto"/>
          <w:sz w:val="22"/>
          <w:szCs w:val="22"/>
          <w:lang w:val="tr-TR"/>
        </w:rPr>
        <w:t>2</w:t>
      </w:r>
      <w:r w:rsidR="002F257A" w:rsidRPr="00CF336B">
        <w:rPr>
          <w:color w:val="auto"/>
          <w:sz w:val="22"/>
          <w:szCs w:val="22"/>
          <w:lang w:val="tr-TR"/>
        </w:rPr>
        <w:fldChar w:fldCharType="end"/>
      </w:r>
      <w:bookmarkEnd w:id="15"/>
      <w:r w:rsidRPr="00CF336B">
        <w:rPr>
          <w:color w:val="auto"/>
          <w:sz w:val="22"/>
          <w:szCs w:val="22"/>
          <w:lang w:val="tr-TR"/>
        </w:rPr>
        <w:t>. Kapasite Mekanizması Bütçesi</w:t>
      </w:r>
      <w:bookmarkEnd w:id="16"/>
    </w:p>
    <w:tbl>
      <w:tblPr>
        <w:tblStyle w:val="TableGrid"/>
        <w:tblW w:w="0" w:type="auto"/>
        <w:tblLook w:val="04A0" w:firstRow="1" w:lastRow="0" w:firstColumn="1" w:lastColumn="0" w:noHBand="0" w:noVBand="1"/>
      </w:tblPr>
      <w:tblGrid>
        <w:gridCol w:w="2872"/>
        <w:gridCol w:w="2369"/>
        <w:gridCol w:w="2290"/>
        <w:gridCol w:w="1819"/>
      </w:tblGrid>
      <w:tr w:rsidR="00F27275" w:rsidRPr="00CF336B" w14:paraId="4101B09E" w14:textId="07A84145" w:rsidTr="008A77BA">
        <w:tc>
          <w:tcPr>
            <w:tcW w:w="2872" w:type="dxa"/>
            <w:shd w:val="clear" w:color="auto" w:fill="1F4E79" w:themeFill="accent5" w:themeFillShade="80"/>
          </w:tcPr>
          <w:p w14:paraId="15CAD38C" w14:textId="77777777" w:rsidR="00F27275" w:rsidRPr="00CF336B" w:rsidRDefault="00F27275" w:rsidP="004D4361">
            <w:pPr>
              <w:spacing w:line="360" w:lineRule="auto"/>
              <w:jc w:val="center"/>
              <w:rPr>
                <w:b/>
                <w:bCs/>
                <w:color w:val="FFFFFF" w:themeColor="background1"/>
                <w:lang w:val="tr-TR"/>
              </w:rPr>
            </w:pPr>
            <w:r w:rsidRPr="00CF336B">
              <w:rPr>
                <w:b/>
                <w:bCs/>
                <w:color w:val="FFFFFF" w:themeColor="background1"/>
                <w:lang w:val="tr-TR"/>
              </w:rPr>
              <w:t>Kapasite Mekanizmasından Yararlanılacak Yıl</w:t>
            </w:r>
          </w:p>
        </w:tc>
        <w:tc>
          <w:tcPr>
            <w:tcW w:w="2369" w:type="dxa"/>
            <w:shd w:val="clear" w:color="auto" w:fill="1F4E79" w:themeFill="accent5" w:themeFillShade="80"/>
          </w:tcPr>
          <w:p w14:paraId="212259FC" w14:textId="77777777" w:rsidR="00F27275" w:rsidRPr="00CF336B" w:rsidRDefault="00F27275" w:rsidP="004D4361">
            <w:pPr>
              <w:spacing w:line="360" w:lineRule="auto"/>
              <w:jc w:val="center"/>
              <w:rPr>
                <w:b/>
                <w:bCs/>
                <w:color w:val="FFFFFF" w:themeColor="background1"/>
                <w:lang w:val="tr-TR"/>
              </w:rPr>
            </w:pPr>
            <w:r w:rsidRPr="00CF336B">
              <w:rPr>
                <w:b/>
                <w:bCs/>
                <w:color w:val="FFFFFF" w:themeColor="background1"/>
                <w:lang w:val="tr-TR"/>
              </w:rPr>
              <w:t>EPDK Toplantı Tarihi ve Karar No</w:t>
            </w:r>
          </w:p>
        </w:tc>
        <w:tc>
          <w:tcPr>
            <w:tcW w:w="2290" w:type="dxa"/>
            <w:shd w:val="clear" w:color="auto" w:fill="1F4E79" w:themeFill="accent5" w:themeFillShade="80"/>
          </w:tcPr>
          <w:p w14:paraId="3DE2CDE5" w14:textId="77777777" w:rsidR="00F27275" w:rsidRPr="00CF336B" w:rsidRDefault="00F27275" w:rsidP="004D4361">
            <w:pPr>
              <w:spacing w:line="360" w:lineRule="auto"/>
              <w:jc w:val="center"/>
              <w:rPr>
                <w:b/>
                <w:bCs/>
                <w:color w:val="FFFFFF" w:themeColor="background1"/>
                <w:lang w:val="tr-TR"/>
              </w:rPr>
            </w:pPr>
            <w:r w:rsidRPr="00CF336B">
              <w:rPr>
                <w:b/>
                <w:bCs/>
                <w:color w:val="FFFFFF" w:themeColor="background1"/>
                <w:lang w:val="tr-TR"/>
              </w:rPr>
              <w:t>Bütçe (TL)</w:t>
            </w:r>
          </w:p>
        </w:tc>
        <w:tc>
          <w:tcPr>
            <w:tcW w:w="1819" w:type="dxa"/>
            <w:shd w:val="clear" w:color="auto" w:fill="1F4E79" w:themeFill="accent5" w:themeFillShade="80"/>
          </w:tcPr>
          <w:p w14:paraId="5CDCA3F2" w14:textId="7F0F11CB" w:rsidR="00F27275" w:rsidRPr="00CF336B" w:rsidRDefault="00F27275" w:rsidP="004D4361">
            <w:pPr>
              <w:spacing w:line="360" w:lineRule="auto"/>
              <w:jc w:val="center"/>
              <w:rPr>
                <w:b/>
                <w:bCs/>
                <w:color w:val="FFFFFF" w:themeColor="background1"/>
                <w:lang w:val="tr-TR"/>
              </w:rPr>
            </w:pPr>
            <w:r w:rsidRPr="00CF336B">
              <w:rPr>
                <w:b/>
                <w:bCs/>
                <w:color w:val="FFFFFF" w:themeColor="background1"/>
                <w:lang w:val="tr-TR"/>
              </w:rPr>
              <w:t>Bütçe (USD)</w:t>
            </w:r>
          </w:p>
        </w:tc>
      </w:tr>
      <w:tr w:rsidR="00F27275" w:rsidRPr="00CF336B" w14:paraId="7A3AA72A" w14:textId="06A30F96" w:rsidTr="008A77BA">
        <w:tc>
          <w:tcPr>
            <w:tcW w:w="2872" w:type="dxa"/>
          </w:tcPr>
          <w:p w14:paraId="78E182D9" w14:textId="77777777" w:rsidR="00F27275" w:rsidRPr="00CF336B" w:rsidRDefault="00F27275" w:rsidP="004D4361">
            <w:pPr>
              <w:spacing w:line="360" w:lineRule="auto"/>
              <w:jc w:val="center"/>
              <w:rPr>
                <w:lang w:val="tr-TR"/>
              </w:rPr>
            </w:pPr>
            <w:r w:rsidRPr="00CF336B">
              <w:rPr>
                <w:lang w:val="tr-TR"/>
              </w:rPr>
              <w:t>2018</w:t>
            </w:r>
          </w:p>
        </w:tc>
        <w:tc>
          <w:tcPr>
            <w:tcW w:w="2369" w:type="dxa"/>
          </w:tcPr>
          <w:p w14:paraId="7E65BCC8" w14:textId="77777777" w:rsidR="00F27275" w:rsidRPr="00CF336B" w:rsidRDefault="00F27275" w:rsidP="004D4361">
            <w:pPr>
              <w:spacing w:line="360" w:lineRule="auto"/>
              <w:rPr>
                <w:lang w:val="tr-TR"/>
              </w:rPr>
            </w:pPr>
          </w:p>
        </w:tc>
        <w:tc>
          <w:tcPr>
            <w:tcW w:w="2290" w:type="dxa"/>
            <w:vAlign w:val="center"/>
          </w:tcPr>
          <w:p w14:paraId="200851E6" w14:textId="77777777" w:rsidR="00F27275" w:rsidRPr="00CF336B" w:rsidRDefault="00F27275" w:rsidP="004D4361">
            <w:pPr>
              <w:spacing w:line="360" w:lineRule="auto"/>
              <w:jc w:val="center"/>
              <w:rPr>
                <w:lang w:val="tr-TR"/>
              </w:rPr>
            </w:pPr>
            <w:r w:rsidRPr="00CF336B">
              <w:rPr>
                <w:lang w:val="tr-TR"/>
              </w:rPr>
              <w:t>1.407.116.257</w:t>
            </w:r>
          </w:p>
        </w:tc>
        <w:tc>
          <w:tcPr>
            <w:tcW w:w="1819" w:type="dxa"/>
            <w:vAlign w:val="center"/>
          </w:tcPr>
          <w:p w14:paraId="3899A278" w14:textId="3CC557CC" w:rsidR="00F27275" w:rsidRPr="00CF336B" w:rsidRDefault="00F27275" w:rsidP="004D4361">
            <w:pPr>
              <w:spacing w:line="360" w:lineRule="auto"/>
              <w:jc w:val="center"/>
              <w:rPr>
                <w:lang w:val="tr-TR"/>
              </w:rPr>
            </w:pPr>
            <w:r w:rsidRPr="00CF336B">
              <w:rPr>
                <w:lang w:val="tr-TR"/>
              </w:rPr>
              <w:t>302.213.613</w:t>
            </w:r>
          </w:p>
        </w:tc>
      </w:tr>
      <w:tr w:rsidR="00F27275" w:rsidRPr="00CF336B" w14:paraId="7D3F95C3" w14:textId="054D6494" w:rsidTr="008A77BA">
        <w:tc>
          <w:tcPr>
            <w:tcW w:w="2872" w:type="dxa"/>
          </w:tcPr>
          <w:p w14:paraId="372BE275" w14:textId="77777777" w:rsidR="00F27275" w:rsidRPr="00CF336B" w:rsidRDefault="00F27275" w:rsidP="004D4361">
            <w:pPr>
              <w:spacing w:line="360" w:lineRule="auto"/>
              <w:jc w:val="center"/>
              <w:rPr>
                <w:lang w:val="tr-TR"/>
              </w:rPr>
            </w:pPr>
            <w:r w:rsidRPr="00CF336B">
              <w:rPr>
                <w:lang w:val="tr-TR"/>
              </w:rPr>
              <w:t>2019</w:t>
            </w:r>
          </w:p>
        </w:tc>
        <w:tc>
          <w:tcPr>
            <w:tcW w:w="2369" w:type="dxa"/>
          </w:tcPr>
          <w:p w14:paraId="299B6112" w14:textId="77777777" w:rsidR="00F27275" w:rsidRPr="00CF336B" w:rsidRDefault="00F27275" w:rsidP="004D4361">
            <w:pPr>
              <w:spacing w:line="360" w:lineRule="auto"/>
              <w:ind w:left="260" w:hanging="260"/>
              <w:rPr>
                <w:lang w:val="tr-TR"/>
              </w:rPr>
            </w:pPr>
            <w:r w:rsidRPr="00CF336B">
              <w:rPr>
                <w:lang w:val="tr-TR"/>
              </w:rPr>
              <w:t>27 Aralık 2018 – 8290-1</w:t>
            </w:r>
          </w:p>
        </w:tc>
        <w:tc>
          <w:tcPr>
            <w:tcW w:w="2290" w:type="dxa"/>
            <w:vAlign w:val="center"/>
          </w:tcPr>
          <w:p w14:paraId="48E7BCB7" w14:textId="77777777" w:rsidR="00F27275" w:rsidRPr="00CF336B" w:rsidRDefault="00F27275" w:rsidP="004D4361">
            <w:pPr>
              <w:spacing w:line="360" w:lineRule="auto"/>
              <w:jc w:val="center"/>
              <w:rPr>
                <w:lang w:val="tr-TR"/>
              </w:rPr>
            </w:pPr>
            <w:r w:rsidRPr="00CF336B">
              <w:rPr>
                <w:lang w:val="tr-TR"/>
              </w:rPr>
              <w:t>2.000.000.000</w:t>
            </w:r>
          </w:p>
        </w:tc>
        <w:tc>
          <w:tcPr>
            <w:tcW w:w="1819" w:type="dxa"/>
            <w:vAlign w:val="center"/>
          </w:tcPr>
          <w:p w14:paraId="0518346C" w14:textId="4D5871A6" w:rsidR="00F27275" w:rsidRPr="00CF336B" w:rsidRDefault="00F27275" w:rsidP="004D4361">
            <w:pPr>
              <w:spacing w:line="360" w:lineRule="auto"/>
              <w:jc w:val="center"/>
              <w:rPr>
                <w:lang w:val="tr-TR"/>
              </w:rPr>
            </w:pPr>
            <w:r w:rsidRPr="00CF336B">
              <w:rPr>
                <w:lang w:val="tr-TR"/>
              </w:rPr>
              <w:t>349.848.810</w:t>
            </w:r>
          </w:p>
        </w:tc>
      </w:tr>
      <w:tr w:rsidR="00F27275" w:rsidRPr="00CF336B" w14:paraId="4940749E" w14:textId="7F114394" w:rsidTr="008A77BA">
        <w:tc>
          <w:tcPr>
            <w:tcW w:w="2872" w:type="dxa"/>
          </w:tcPr>
          <w:p w14:paraId="0B615F84" w14:textId="77777777" w:rsidR="00F27275" w:rsidRPr="00CF336B" w:rsidRDefault="00F27275" w:rsidP="004D4361">
            <w:pPr>
              <w:spacing w:line="360" w:lineRule="auto"/>
              <w:jc w:val="center"/>
              <w:rPr>
                <w:lang w:val="tr-TR"/>
              </w:rPr>
            </w:pPr>
            <w:r w:rsidRPr="00CF336B">
              <w:rPr>
                <w:lang w:val="tr-TR"/>
              </w:rPr>
              <w:t>2020</w:t>
            </w:r>
          </w:p>
        </w:tc>
        <w:tc>
          <w:tcPr>
            <w:tcW w:w="2369" w:type="dxa"/>
          </w:tcPr>
          <w:p w14:paraId="319A003A" w14:textId="77777777" w:rsidR="00F27275" w:rsidRPr="00CF336B" w:rsidRDefault="00F27275" w:rsidP="004D4361">
            <w:pPr>
              <w:spacing w:line="360" w:lineRule="auto"/>
              <w:ind w:left="260" w:hanging="260"/>
              <w:rPr>
                <w:lang w:val="tr-TR"/>
              </w:rPr>
            </w:pPr>
            <w:r w:rsidRPr="00CF336B">
              <w:rPr>
                <w:lang w:val="tr-TR"/>
              </w:rPr>
              <w:t>16 Ocak 2020 – 9124</w:t>
            </w:r>
          </w:p>
        </w:tc>
        <w:tc>
          <w:tcPr>
            <w:tcW w:w="2290" w:type="dxa"/>
            <w:vAlign w:val="center"/>
          </w:tcPr>
          <w:p w14:paraId="7C079087" w14:textId="77777777" w:rsidR="00F27275" w:rsidRPr="00CF336B" w:rsidRDefault="00F27275" w:rsidP="004D4361">
            <w:pPr>
              <w:spacing w:line="360" w:lineRule="auto"/>
              <w:jc w:val="center"/>
              <w:rPr>
                <w:lang w:val="tr-TR"/>
              </w:rPr>
            </w:pPr>
            <w:r w:rsidRPr="00CF336B">
              <w:rPr>
                <w:lang w:val="tr-TR"/>
              </w:rPr>
              <w:t>2.200.000.000</w:t>
            </w:r>
          </w:p>
        </w:tc>
        <w:tc>
          <w:tcPr>
            <w:tcW w:w="1819" w:type="dxa"/>
            <w:vAlign w:val="center"/>
          </w:tcPr>
          <w:p w14:paraId="545A7741" w14:textId="4F054204" w:rsidR="00F27275" w:rsidRPr="00CF336B" w:rsidRDefault="00F27275" w:rsidP="004D4361">
            <w:pPr>
              <w:spacing w:line="360" w:lineRule="auto"/>
              <w:jc w:val="center"/>
              <w:rPr>
                <w:lang w:val="tr-TR"/>
              </w:rPr>
            </w:pPr>
            <w:r w:rsidRPr="00CF336B">
              <w:rPr>
                <w:lang w:val="tr-TR"/>
              </w:rPr>
              <w:t>314.353.949</w:t>
            </w:r>
          </w:p>
        </w:tc>
      </w:tr>
      <w:tr w:rsidR="00F27275" w:rsidRPr="00CF336B" w14:paraId="06FA94E7" w14:textId="10AE3F57" w:rsidTr="008A77BA">
        <w:tc>
          <w:tcPr>
            <w:tcW w:w="2872" w:type="dxa"/>
          </w:tcPr>
          <w:p w14:paraId="48C6A8B1" w14:textId="3CC66C30" w:rsidR="00F27275" w:rsidRPr="00CF336B" w:rsidRDefault="00F27275" w:rsidP="004D4361">
            <w:pPr>
              <w:spacing w:line="360" w:lineRule="auto"/>
              <w:jc w:val="center"/>
              <w:rPr>
                <w:lang w:val="tr-TR"/>
              </w:rPr>
            </w:pPr>
            <w:r w:rsidRPr="00CF336B">
              <w:rPr>
                <w:lang w:val="tr-TR"/>
              </w:rPr>
              <w:t>2021</w:t>
            </w:r>
            <w:r w:rsidRPr="00CF336B">
              <w:rPr>
                <w:rStyle w:val="FootnoteReference"/>
                <w:lang w:val="tr-TR"/>
              </w:rPr>
              <w:footnoteReference w:id="8"/>
            </w:r>
          </w:p>
        </w:tc>
        <w:tc>
          <w:tcPr>
            <w:tcW w:w="2369" w:type="dxa"/>
          </w:tcPr>
          <w:p w14:paraId="0842593C" w14:textId="77777777" w:rsidR="00F27275" w:rsidRPr="00CF336B" w:rsidRDefault="00F27275" w:rsidP="004D4361">
            <w:pPr>
              <w:spacing w:line="360" w:lineRule="auto"/>
              <w:ind w:left="260" w:hanging="260"/>
              <w:rPr>
                <w:lang w:val="tr-TR"/>
              </w:rPr>
            </w:pPr>
            <w:r w:rsidRPr="00CF336B">
              <w:rPr>
                <w:lang w:val="tr-TR"/>
              </w:rPr>
              <w:t>14 Ocak 2021 – 9970</w:t>
            </w:r>
          </w:p>
        </w:tc>
        <w:tc>
          <w:tcPr>
            <w:tcW w:w="2290" w:type="dxa"/>
            <w:vAlign w:val="center"/>
          </w:tcPr>
          <w:p w14:paraId="7465F87C" w14:textId="77777777" w:rsidR="00F27275" w:rsidRPr="00CF336B" w:rsidRDefault="00F27275" w:rsidP="004D4361">
            <w:pPr>
              <w:spacing w:line="360" w:lineRule="auto"/>
              <w:jc w:val="center"/>
              <w:rPr>
                <w:lang w:val="tr-TR"/>
              </w:rPr>
            </w:pPr>
            <w:r w:rsidRPr="00CF336B">
              <w:rPr>
                <w:lang w:val="tr-TR"/>
              </w:rPr>
              <w:t>2.600.000.000</w:t>
            </w:r>
          </w:p>
        </w:tc>
        <w:tc>
          <w:tcPr>
            <w:tcW w:w="1819" w:type="dxa"/>
            <w:vAlign w:val="center"/>
          </w:tcPr>
          <w:p w14:paraId="07C0B0A5" w14:textId="2785C9B1" w:rsidR="00F27275" w:rsidRPr="00CF336B" w:rsidRDefault="00F27275" w:rsidP="004D4361">
            <w:pPr>
              <w:spacing w:line="360" w:lineRule="auto"/>
              <w:jc w:val="center"/>
              <w:rPr>
                <w:lang w:val="tr-TR"/>
              </w:rPr>
            </w:pPr>
            <w:r w:rsidRPr="00CF336B">
              <w:rPr>
                <w:lang w:val="tr-TR"/>
              </w:rPr>
              <w:t>297.211.753</w:t>
            </w:r>
          </w:p>
        </w:tc>
      </w:tr>
      <w:tr w:rsidR="00F27275" w:rsidRPr="00CF336B" w14:paraId="1317B56F" w14:textId="403100D2" w:rsidTr="00BA4994">
        <w:tc>
          <w:tcPr>
            <w:tcW w:w="2872" w:type="dxa"/>
          </w:tcPr>
          <w:p w14:paraId="562F0C1A" w14:textId="77777777" w:rsidR="00F27275" w:rsidRPr="00CF336B" w:rsidRDefault="00F27275" w:rsidP="004D4361">
            <w:pPr>
              <w:spacing w:line="360" w:lineRule="auto"/>
              <w:jc w:val="center"/>
              <w:rPr>
                <w:lang w:val="tr-TR"/>
              </w:rPr>
            </w:pPr>
            <w:r w:rsidRPr="00CF336B">
              <w:rPr>
                <w:lang w:val="tr-TR"/>
              </w:rPr>
              <w:t>2022</w:t>
            </w:r>
          </w:p>
        </w:tc>
        <w:tc>
          <w:tcPr>
            <w:tcW w:w="2369" w:type="dxa"/>
          </w:tcPr>
          <w:p w14:paraId="65F02566" w14:textId="77777777" w:rsidR="00F27275" w:rsidRPr="00CF336B" w:rsidRDefault="00F27275" w:rsidP="004D4361">
            <w:pPr>
              <w:spacing w:line="360" w:lineRule="auto"/>
              <w:ind w:left="260" w:hanging="260"/>
              <w:rPr>
                <w:lang w:val="tr-TR"/>
              </w:rPr>
            </w:pPr>
            <w:r w:rsidRPr="00CF336B">
              <w:rPr>
                <w:lang w:val="tr-TR"/>
              </w:rPr>
              <w:t>13 Ocak 2022 – 10723</w:t>
            </w:r>
          </w:p>
        </w:tc>
        <w:tc>
          <w:tcPr>
            <w:tcW w:w="2290" w:type="dxa"/>
            <w:vAlign w:val="center"/>
          </w:tcPr>
          <w:p w14:paraId="48D79FBB" w14:textId="77777777" w:rsidR="00F27275" w:rsidRPr="00CF336B" w:rsidRDefault="00F27275" w:rsidP="004D4361">
            <w:pPr>
              <w:spacing w:line="360" w:lineRule="auto"/>
              <w:jc w:val="center"/>
              <w:rPr>
                <w:lang w:val="tr-TR"/>
              </w:rPr>
            </w:pPr>
            <w:r w:rsidRPr="00CF336B">
              <w:rPr>
                <w:lang w:val="tr-TR"/>
              </w:rPr>
              <w:t>3.000.000.000</w:t>
            </w:r>
          </w:p>
        </w:tc>
        <w:tc>
          <w:tcPr>
            <w:tcW w:w="1819" w:type="dxa"/>
            <w:vAlign w:val="center"/>
          </w:tcPr>
          <w:p w14:paraId="32F95F64" w14:textId="3275124B" w:rsidR="00F27275" w:rsidRPr="00CF336B" w:rsidRDefault="00F27275" w:rsidP="004D4361">
            <w:pPr>
              <w:spacing w:line="360" w:lineRule="auto"/>
              <w:jc w:val="center"/>
              <w:rPr>
                <w:lang w:val="tr-TR"/>
              </w:rPr>
            </w:pPr>
            <w:r w:rsidRPr="00CF336B">
              <w:rPr>
                <w:lang w:val="tr-TR"/>
              </w:rPr>
              <w:t>181.598.936</w:t>
            </w:r>
          </w:p>
        </w:tc>
      </w:tr>
      <w:tr w:rsidR="00F27275" w:rsidRPr="00CF336B" w14:paraId="774F5739" w14:textId="222C1223" w:rsidTr="00BA4994">
        <w:tc>
          <w:tcPr>
            <w:tcW w:w="2872" w:type="dxa"/>
          </w:tcPr>
          <w:p w14:paraId="0F981767" w14:textId="77777777" w:rsidR="00F27275" w:rsidRPr="00CF336B" w:rsidRDefault="00F27275" w:rsidP="004D4361">
            <w:pPr>
              <w:spacing w:line="360" w:lineRule="auto"/>
              <w:jc w:val="center"/>
              <w:rPr>
                <w:lang w:val="tr-TR"/>
              </w:rPr>
            </w:pPr>
            <w:r w:rsidRPr="00CF336B">
              <w:rPr>
                <w:lang w:val="tr-TR"/>
              </w:rPr>
              <w:t>2023</w:t>
            </w:r>
          </w:p>
        </w:tc>
        <w:tc>
          <w:tcPr>
            <w:tcW w:w="2369" w:type="dxa"/>
          </w:tcPr>
          <w:p w14:paraId="58C6871C" w14:textId="77777777" w:rsidR="00F27275" w:rsidRPr="00CF336B" w:rsidRDefault="00F27275" w:rsidP="004D4361">
            <w:pPr>
              <w:spacing w:line="360" w:lineRule="auto"/>
              <w:ind w:left="260" w:hanging="260"/>
              <w:rPr>
                <w:lang w:val="tr-TR"/>
              </w:rPr>
            </w:pPr>
            <w:r w:rsidRPr="00CF336B">
              <w:rPr>
                <w:lang w:val="tr-TR"/>
              </w:rPr>
              <w:t>12 Ocak 2023 – 11553</w:t>
            </w:r>
          </w:p>
        </w:tc>
        <w:tc>
          <w:tcPr>
            <w:tcW w:w="2290" w:type="dxa"/>
            <w:vAlign w:val="center"/>
          </w:tcPr>
          <w:p w14:paraId="533A1BF5" w14:textId="77777777" w:rsidR="00F27275" w:rsidRPr="00CF336B" w:rsidRDefault="00F27275" w:rsidP="004D4361">
            <w:pPr>
              <w:spacing w:line="360" w:lineRule="auto"/>
              <w:jc w:val="center"/>
              <w:rPr>
                <w:lang w:val="tr-TR"/>
              </w:rPr>
            </w:pPr>
            <w:r w:rsidRPr="00CF336B">
              <w:rPr>
                <w:lang w:val="tr-TR"/>
              </w:rPr>
              <w:t>4.000.000.000</w:t>
            </w:r>
          </w:p>
        </w:tc>
        <w:tc>
          <w:tcPr>
            <w:tcW w:w="1819" w:type="dxa"/>
            <w:vAlign w:val="center"/>
          </w:tcPr>
          <w:p w14:paraId="0FC08AF4" w14:textId="77777777" w:rsidR="00F27275" w:rsidRPr="00CF336B" w:rsidRDefault="00F27275" w:rsidP="004D4361">
            <w:pPr>
              <w:spacing w:line="360" w:lineRule="auto"/>
              <w:jc w:val="center"/>
              <w:rPr>
                <w:lang w:val="tr-TR"/>
              </w:rPr>
            </w:pPr>
          </w:p>
        </w:tc>
      </w:tr>
    </w:tbl>
    <w:p w14:paraId="39D22204" w14:textId="77777777" w:rsidR="00905501" w:rsidRPr="00CF336B" w:rsidRDefault="00905501" w:rsidP="004D4361">
      <w:pPr>
        <w:spacing w:line="360" w:lineRule="auto"/>
        <w:jc w:val="both"/>
        <w:rPr>
          <w:lang w:val="tr-TR"/>
        </w:rPr>
      </w:pPr>
    </w:p>
    <w:p w14:paraId="78099B95" w14:textId="6B4324CE" w:rsidR="003D7F1C" w:rsidRPr="00CF336B" w:rsidRDefault="00016021" w:rsidP="004D4361">
      <w:pPr>
        <w:spacing w:before="160" w:line="360" w:lineRule="auto"/>
        <w:jc w:val="both"/>
        <w:rPr>
          <w:lang w:val="tr-TR"/>
        </w:rPr>
      </w:pPr>
      <w:r w:rsidRPr="00CF336B">
        <w:rPr>
          <w:lang w:val="tr-TR"/>
        </w:rPr>
        <w:t>Yürürlüğe</w:t>
      </w:r>
      <w:r w:rsidR="002448F7" w:rsidRPr="00CF336B">
        <w:rPr>
          <w:lang w:val="tr-TR"/>
        </w:rPr>
        <w:t xml:space="preserve"> alındığı </w:t>
      </w:r>
      <w:r w:rsidR="00017B69" w:rsidRPr="00CF336B">
        <w:rPr>
          <w:lang w:val="tr-TR"/>
        </w:rPr>
        <w:t xml:space="preserve">ilk dönem yalnızca termik santrallere yönelik bir destek </w:t>
      </w:r>
      <w:r w:rsidR="002448F7" w:rsidRPr="00CF336B">
        <w:rPr>
          <w:lang w:val="tr-TR"/>
        </w:rPr>
        <w:t>olarak görülen</w:t>
      </w:r>
      <w:r w:rsidR="009D210C">
        <w:rPr>
          <w:lang w:val="tr-TR"/>
        </w:rPr>
        <w:t xml:space="preserve"> </w:t>
      </w:r>
      <w:r w:rsidR="00017B69" w:rsidRPr="00CF336B">
        <w:rPr>
          <w:lang w:val="tr-TR"/>
        </w:rPr>
        <w:t>kapasite mekanizması</w:t>
      </w:r>
      <w:r w:rsidRPr="00CF336B">
        <w:rPr>
          <w:lang w:val="tr-TR"/>
        </w:rPr>
        <w:t xml:space="preserve"> aynı</w:t>
      </w:r>
      <w:r w:rsidR="00017B69" w:rsidRPr="00CF336B">
        <w:rPr>
          <w:lang w:val="tr-TR"/>
        </w:rPr>
        <w:t xml:space="preserve"> yıl</w:t>
      </w:r>
      <w:r w:rsidR="00FB102F" w:rsidRPr="00CF336B">
        <w:rPr>
          <w:lang w:val="tr-TR"/>
        </w:rPr>
        <w:t xml:space="preserve"> içinde</w:t>
      </w:r>
      <w:r w:rsidR="00017B69" w:rsidRPr="00CF336B">
        <w:rPr>
          <w:lang w:val="tr-TR"/>
        </w:rPr>
        <w:t xml:space="preserve"> </w:t>
      </w:r>
      <w:r w:rsidRPr="00CF336B">
        <w:rPr>
          <w:lang w:val="tr-TR"/>
        </w:rPr>
        <w:t>güncellenmiş</w:t>
      </w:r>
      <w:r w:rsidR="009D210C">
        <w:rPr>
          <w:lang w:val="tr-TR"/>
        </w:rPr>
        <w:t>tir. Güncellemeyle h</w:t>
      </w:r>
      <w:r w:rsidR="00017B69" w:rsidRPr="00CF336B">
        <w:rPr>
          <w:lang w:val="tr-TR"/>
        </w:rPr>
        <w:t xml:space="preserve">idroelektrik santralleri de mekanizmadan </w:t>
      </w:r>
      <w:r w:rsidR="00E64B6A">
        <w:rPr>
          <w:lang w:val="tr-TR"/>
        </w:rPr>
        <w:t xml:space="preserve">bir süre boyunca </w:t>
      </w:r>
      <w:r w:rsidR="00017B69" w:rsidRPr="00CF336B">
        <w:rPr>
          <w:lang w:val="tr-TR"/>
        </w:rPr>
        <w:t>yararlanm</w:t>
      </w:r>
      <w:r w:rsidR="009D210C">
        <w:rPr>
          <w:lang w:val="tr-TR"/>
        </w:rPr>
        <w:t>ış fakat</w:t>
      </w:r>
      <w:r w:rsidR="00017B69" w:rsidRPr="00CF336B">
        <w:rPr>
          <w:lang w:val="tr-TR"/>
        </w:rPr>
        <w:t xml:space="preserve"> </w:t>
      </w:r>
      <w:r w:rsidR="009D210C">
        <w:rPr>
          <w:lang w:val="tr-TR"/>
        </w:rPr>
        <w:t>2024 yılı itibarıyla kapasite mekanizmasından yararlanma hakları durdurulmuştur.</w:t>
      </w:r>
    </w:p>
    <w:p w14:paraId="7112F247" w14:textId="326E7A01" w:rsidR="004A0B09" w:rsidRPr="00CF336B" w:rsidRDefault="00E64B6A" w:rsidP="004D4361">
      <w:pPr>
        <w:spacing w:line="360" w:lineRule="auto"/>
        <w:jc w:val="both"/>
        <w:rPr>
          <w:i/>
          <w:iCs/>
          <w:lang w:val="tr-TR"/>
        </w:rPr>
      </w:pPr>
      <w:r w:rsidRPr="00CF336B">
        <w:rPr>
          <w:i/>
          <w:iCs/>
          <w:noProof/>
          <w:lang w:val="tr-TR"/>
        </w:rPr>
        <mc:AlternateContent>
          <mc:Choice Requires="wps">
            <w:drawing>
              <wp:anchor distT="0" distB="0" distL="114300" distR="114300" simplePos="0" relativeHeight="251658241" behindDoc="1" locked="0" layoutInCell="1" allowOverlap="1" wp14:anchorId="6E578530" wp14:editId="1F0F7581">
                <wp:simplePos x="0" y="0"/>
                <wp:positionH relativeFrom="margin">
                  <wp:posOffset>-87464</wp:posOffset>
                </wp:positionH>
                <wp:positionV relativeFrom="paragraph">
                  <wp:posOffset>-39758</wp:posOffset>
                </wp:positionV>
                <wp:extent cx="6173939" cy="1598213"/>
                <wp:effectExtent l="0" t="0" r="17780" b="21590"/>
                <wp:wrapNone/>
                <wp:docPr id="1134889768" name="Rectangle 1134889768"/>
                <wp:cNvGraphicFramePr/>
                <a:graphic xmlns:a="http://schemas.openxmlformats.org/drawingml/2006/main">
                  <a:graphicData uri="http://schemas.microsoft.com/office/word/2010/wordprocessingShape">
                    <wps:wsp>
                      <wps:cNvSpPr/>
                      <wps:spPr>
                        <a:xfrm>
                          <a:off x="0" y="0"/>
                          <a:ext cx="6173939" cy="1598213"/>
                        </a:xfrm>
                        <a:prstGeom prst="rect">
                          <a:avLst/>
                        </a:prstGeom>
                        <a:solidFill>
                          <a:srgbClr val="4472C4">
                            <a:alpha val="10196"/>
                          </a:srgbClr>
                        </a:solid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06AD6" id="Rectangle 1134889768" o:spid="_x0000_s1026" style="position:absolute;margin-left:-6.9pt;margin-top:-3.15pt;width:486.15pt;height:125.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" fillcolor="#4472c4" strokecolor="#09101d [484]" strokeweight="1pt">
                <v:fill opacity="6682f"/>
                <v:stroke dashstyle="longDash"/>
                <w10:wrap anchorx="margin"/>
              </v:rect>
            </w:pict>
          </mc:Fallback>
        </mc:AlternateContent>
      </w:r>
      <w:r w:rsidR="00017B69" w:rsidRPr="00CF336B">
        <w:rPr>
          <w:i/>
          <w:iCs/>
          <w:lang w:val="tr-TR"/>
        </w:rPr>
        <w:t xml:space="preserve">18 Kasım 2018 tarihli </w:t>
      </w:r>
      <w:r w:rsidR="00232453" w:rsidRPr="00CF336B">
        <w:rPr>
          <w:i/>
          <w:iCs/>
          <w:lang w:val="tr-TR"/>
        </w:rPr>
        <w:t>Resmî</w:t>
      </w:r>
      <w:r w:rsidR="00017B69" w:rsidRPr="00CF336B">
        <w:rPr>
          <w:i/>
          <w:iCs/>
          <w:lang w:val="tr-TR"/>
        </w:rPr>
        <w:t xml:space="preserve"> </w:t>
      </w:r>
      <w:proofErr w:type="spellStart"/>
      <w:r w:rsidR="00017B69" w:rsidRPr="00CF336B">
        <w:rPr>
          <w:i/>
          <w:iCs/>
          <w:lang w:val="tr-TR"/>
        </w:rPr>
        <w:t>Gazete’de</w:t>
      </w:r>
      <w:proofErr w:type="spellEnd"/>
      <w:r w:rsidR="00017B69" w:rsidRPr="00CF336B">
        <w:rPr>
          <w:i/>
          <w:iCs/>
          <w:lang w:val="tr-TR"/>
        </w:rPr>
        <w:t xml:space="preserve"> </w:t>
      </w:r>
      <w:r w:rsidR="00862F85" w:rsidRPr="00CF336B">
        <w:rPr>
          <w:i/>
          <w:iCs/>
          <w:lang w:val="tr-TR"/>
        </w:rPr>
        <w:t xml:space="preserve">yayımlanan Kapasite Mekanizması Yönetmeliği </w:t>
      </w:r>
      <w:r w:rsidR="00017B69" w:rsidRPr="00CF336B">
        <w:rPr>
          <w:i/>
          <w:iCs/>
          <w:lang w:val="tr-TR"/>
        </w:rPr>
        <w:t>ile mekanizmadan yararlanacak santrallere ait kriterlerin tanımlandığı listede</w:t>
      </w:r>
      <w:r w:rsidR="00FB102F" w:rsidRPr="00CF336B">
        <w:rPr>
          <w:i/>
          <w:iCs/>
          <w:lang w:val="tr-TR"/>
        </w:rPr>
        <w:t xml:space="preserve"> değişikliğe gidilmiş ve </w:t>
      </w:r>
      <w:r w:rsidR="00017B69" w:rsidRPr="00CF336B">
        <w:rPr>
          <w:i/>
          <w:iCs/>
          <w:lang w:val="tr-TR"/>
        </w:rPr>
        <w:t>“Hidroelektrik santralleri ile kesintisiz üretim yapamayan </w:t>
      </w:r>
      <w:r w:rsidR="00232453" w:rsidRPr="00CF336B">
        <w:rPr>
          <w:i/>
          <w:iCs/>
          <w:lang w:val="tr-TR"/>
        </w:rPr>
        <w:t>rüzgâr</w:t>
      </w:r>
      <w:r w:rsidR="00017B69" w:rsidRPr="00CF336B">
        <w:rPr>
          <w:i/>
          <w:iCs/>
          <w:lang w:val="tr-TR"/>
        </w:rPr>
        <w:t> ve güneşe dayalı santraller” maddesinden hidroelektrik santraller</w:t>
      </w:r>
      <w:r w:rsidR="00016021" w:rsidRPr="00CF336B">
        <w:rPr>
          <w:i/>
          <w:iCs/>
          <w:lang w:val="tr-TR"/>
        </w:rPr>
        <w:t xml:space="preserve"> </w:t>
      </w:r>
      <w:r w:rsidR="00017B69" w:rsidRPr="00CF336B">
        <w:rPr>
          <w:i/>
          <w:iCs/>
          <w:lang w:val="tr-TR"/>
        </w:rPr>
        <w:t>ifadesi kaldırılmıştır</w:t>
      </w:r>
      <w:r>
        <w:rPr>
          <w:i/>
          <w:iCs/>
          <w:lang w:val="tr-TR"/>
        </w:rPr>
        <w:t xml:space="preserve">. Fakat </w:t>
      </w:r>
      <w:r w:rsidR="004A0B09">
        <w:rPr>
          <w:i/>
          <w:iCs/>
          <w:lang w:val="tr-TR"/>
        </w:rPr>
        <w:t xml:space="preserve">31 Aralık 2023 tarihli </w:t>
      </w:r>
      <w:r w:rsidR="004A0B09" w:rsidRPr="004A0B09">
        <w:rPr>
          <w:i/>
          <w:iCs/>
          <w:lang w:val="tr-TR"/>
        </w:rPr>
        <w:t xml:space="preserve">Resmî Gazete’nin 5. mükerrer sayısında yayımlanan düzenleme ile </w:t>
      </w:r>
      <w:r w:rsidR="004A0B09">
        <w:rPr>
          <w:i/>
          <w:iCs/>
          <w:lang w:val="tr-TR"/>
        </w:rPr>
        <w:t xml:space="preserve">hidroelektrik santraller </w:t>
      </w:r>
      <w:r w:rsidR="004A0B09" w:rsidRPr="004A0B09">
        <w:rPr>
          <w:i/>
          <w:iCs/>
          <w:lang w:val="tr-TR"/>
        </w:rPr>
        <w:t>kapasite mekanizmasından yararlanma</w:t>
      </w:r>
      <w:r>
        <w:rPr>
          <w:i/>
          <w:iCs/>
          <w:lang w:val="tr-TR"/>
        </w:rPr>
        <w:t>yacak kaynaklar arasına yeniden alınmıştır.</w:t>
      </w:r>
    </w:p>
    <w:p w14:paraId="4394B136" w14:textId="73A713C5" w:rsidR="00FB102F" w:rsidRPr="00CF336B" w:rsidRDefault="00FB102F" w:rsidP="004D4361">
      <w:pPr>
        <w:spacing w:line="360" w:lineRule="auto"/>
        <w:jc w:val="both"/>
        <w:rPr>
          <w:lang w:val="tr-TR"/>
        </w:rPr>
      </w:pPr>
      <w:r w:rsidRPr="00CF336B">
        <w:rPr>
          <w:lang w:val="tr-TR"/>
        </w:rPr>
        <w:t>Kapasite Mekanizması ödemelerinde</w:t>
      </w:r>
      <w:r w:rsidR="00016021" w:rsidRPr="00CF336B">
        <w:rPr>
          <w:lang w:val="tr-TR"/>
        </w:rPr>
        <w:t>,</w:t>
      </w:r>
      <w:r w:rsidRPr="00CF336B">
        <w:rPr>
          <w:lang w:val="tr-TR"/>
        </w:rPr>
        <w:t xml:space="preserve"> ilk dönemde kaynak türüne özgü olarak belirlenen sabit maliyet bileşeni ve yine kaynak </w:t>
      </w:r>
      <w:r w:rsidR="00570A9E">
        <w:rPr>
          <w:lang w:val="tr-TR"/>
        </w:rPr>
        <w:t>türüne</w:t>
      </w:r>
      <w:r w:rsidRPr="00CF336B">
        <w:rPr>
          <w:lang w:val="tr-TR"/>
        </w:rPr>
        <w:t xml:space="preserve"> özgü olarak belirlenecek değişken maliyet bileşeni ile piyasa takas fiyatı baz al</w:t>
      </w:r>
      <w:r w:rsidR="00016021" w:rsidRPr="00CF336B">
        <w:rPr>
          <w:lang w:val="tr-TR"/>
        </w:rPr>
        <w:t>ın</w:t>
      </w:r>
      <w:r w:rsidRPr="00CF336B">
        <w:rPr>
          <w:lang w:val="tr-TR"/>
        </w:rPr>
        <w:t xml:space="preserve">maktaydı. </w:t>
      </w:r>
      <w:r w:rsidR="00C9564E" w:rsidRPr="00CF336B">
        <w:rPr>
          <w:lang w:val="tr-TR"/>
        </w:rPr>
        <w:t xml:space="preserve">9 Ocak 2019 tarihli </w:t>
      </w:r>
      <w:r w:rsidR="00232453" w:rsidRPr="00CF336B">
        <w:rPr>
          <w:lang w:val="tr-TR"/>
        </w:rPr>
        <w:t>Resmî</w:t>
      </w:r>
      <w:r w:rsidR="00C9564E" w:rsidRPr="00CF336B">
        <w:rPr>
          <w:lang w:val="tr-TR"/>
        </w:rPr>
        <w:t xml:space="preserve"> </w:t>
      </w:r>
      <w:proofErr w:type="spellStart"/>
      <w:r w:rsidR="00C9564E" w:rsidRPr="00CF336B">
        <w:rPr>
          <w:lang w:val="tr-TR"/>
        </w:rPr>
        <w:t>Gazete’de</w:t>
      </w:r>
      <w:proofErr w:type="spellEnd"/>
      <w:r w:rsidR="00C9564E" w:rsidRPr="00CF336B">
        <w:rPr>
          <w:lang w:val="tr-TR"/>
        </w:rPr>
        <w:t xml:space="preserve"> yayımlanan düzenleme ile ödenecek desteğin hesaplanmasında tamamıyla değişiklik yapılmış </w:t>
      </w:r>
      <w:r w:rsidR="00016021" w:rsidRPr="00CF336B">
        <w:rPr>
          <w:lang w:val="tr-TR"/>
        </w:rPr>
        <w:t xml:space="preserve">ve </w:t>
      </w:r>
      <w:r w:rsidR="00C9564E" w:rsidRPr="00CF336B">
        <w:rPr>
          <w:lang w:val="tr-TR"/>
        </w:rPr>
        <w:t>birim sabit maliyet bileşenleri ile kaynak bazında toplam kurulu güçleri dikkate alan bir m</w:t>
      </w:r>
      <w:r w:rsidR="00207326" w:rsidRPr="00CF336B">
        <w:rPr>
          <w:lang w:val="tr-TR"/>
        </w:rPr>
        <w:t>etot</w:t>
      </w:r>
      <w:r w:rsidR="00C9564E" w:rsidRPr="00CF336B">
        <w:rPr>
          <w:lang w:val="tr-TR"/>
        </w:rPr>
        <w:t xml:space="preserve"> belirlenmiştir. Bu </w:t>
      </w:r>
      <w:r w:rsidR="00207326" w:rsidRPr="00CF336B">
        <w:rPr>
          <w:lang w:val="tr-TR"/>
        </w:rPr>
        <w:t>metot</w:t>
      </w:r>
      <w:r w:rsidR="00016021" w:rsidRPr="00CF336B">
        <w:rPr>
          <w:lang w:val="tr-TR"/>
        </w:rPr>
        <w:t>,</w:t>
      </w:r>
      <w:r w:rsidR="00C9564E" w:rsidRPr="00CF336B">
        <w:rPr>
          <w:lang w:val="tr-TR"/>
        </w:rPr>
        <w:t xml:space="preserve"> </w:t>
      </w:r>
      <w:r w:rsidR="00016021" w:rsidRPr="00CF336B">
        <w:rPr>
          <w:lang w:val="tr-TR"/>
        </w:rPr>
        <w:t xml:space="preserve">kapasite mekanizmasının </w:t>
      </w:r>
      <w:r w:rsidR="00C9564E" w:rsidRPr="00CF336B">
        <w:rPr>
          <w:lang w:val="tr-TR"/>
        </w:rPr>
        <w:t xml:space="preserve">piyasa fiyat sinyallerinden bağımsız </w:t>
      </w:r>
      <w:r w:rsidR="00016021" w:rsidRPr="00CF336B">
        <w:rPr>
          <w:lang w:val="tr-TR"/>
        </w:rPr>
        <w:t>bir destek yapısına dönüşmesine</w:t>
      </w:r>
      <w:r w:rsidR="00C9564E" w:rsidRPr="00CF336B">
        <w:rPr>
          <w:lang w:val="tr-TR"/>
        </w:rPr>
        <w:t xml:space="preserve"> neden olmuştur. Hesaplama </w:t>
      </w:r>
      <w:r w:rsidR="00D67032" w:rsidRPr="00CF336B">
        <w:rPr>
          <w:lang w:val="tr-TR"/>
        </w:rPr>
        <w:t>metodolojisinde</w:t>
      </w:r>
      <w:r w:rsidR="00BA4994">
        <w:rPr>
          <w:lang w:val="tr-TR"/>
        </w:rPr>
        <w:t xml:space="preserve"> </w:t>
      </w:r>
      <w:r w:rsidR="00C9564E" w:rsidRPr="00CF336B">
        <w:rPr>
          <w:lang w:val="tr-TR"/>
        </w:rPr>
        <w:t xml:space="preserve">18 Aralık 2021 tarihli </w:t>
      </w:r>
      <w:r w:rsidR="00232453" w:rsidRPr="00CF336B">
        <w:rPr>
          <w:lang w:val="tr-TR"/>
        </w:rPr>
        <w:t>Resmî</w:t>
      </w:r>
      <w:r w:rsidR="00C9564E" w:rsidRPr="00CF336B">
        <w:rPr>
          <w:lang w:val="tr-TR"/>
        </w:rPr>
        <w:t xml:space="preserve"> </w:t>
      </w:r>
      <w:proofErr w:type="spellStart"/>
      <w:r w:rsidR="00C9564E" w:rsidRPr="00CF336B">
        <w:rPr>
          <w:lang w:val="tr-TR"/>
        </w:rPr>
        <w:t>Gazete’de</w:t>
      </w:r>
      <w:proofErr w:type="spellEnd"/>
      <w:r w:rsidR="00C9564E" w:rsidRPr="00CF336B">
        <w:rPr>
          <w:lang w:val="tr-TR"/>
        </w:rPr>
        <w:t xml:space="preserve"> yayımlanan </w:t>
      </w:r>
      <w:r w:rsidR="00862F85" w:rsidRPr="00CF336B">
        <w:rPr>
          <w:lang w:val="tr-TR"/>
        </w:rPr>
        <w:t>yönetmelik</w:t>
      </w:r>
      <w:r w:rsidR="00C9564E" w:rsidRPr="00CF336B">
        <w:rPr>
          <w:lang w:val="tr-TR"/>
        </w:rPr>
        <w:t xml:space="preserve"> ile</w:t>
      </w:r>
      <w:r w:rsidR="00BA4994">
        <w:rPr>
          <w:lang w:val="tr-TR"/>
        </w:rPr>
        <w:t xml:space="preserve"> değişiklik</w:t>
      </w:r>
      <w:r w:rsidR="00C9564E" w:rsidRPr="00CF336B">
        <w:rPr>
          <w:lang w:val="tr-TR"/>
        </w:rPr>
        <w:t xml:space="preserve"> yapılmıştır. Bu düzenleme ile kapasite mekanizması ödemeleri </w:t>
      </w:r>
      <w:r w:rsidR="00016021" w:rsidRPr="00CF336B">
        <w:rPr>
          <w:lang w:val="tr-TR"/>
        </w:rPr>
        <w:t>tekrar</w:t>
      </w:r>
      <w:r w:rsidR="00C9564E" w:rsidRPr="00CF336B">
        <w:rPr>
          <w:lang w:val="tr-TR"/>
        </w:rPr>
        <w:t xml:space="preserve"> </w:t>
      </w:r>
      <w:r w:rsidR="00E411B7" w:rsidRPr="00CF336B">
        <w:rPr>
          <w:lang w:val="tr-TR"/>
        </w:rPr>
        <w:t xml:space="preserve">piyasa </w:t>
      </w:r>
      <w:r w:rsidR="00016021" w:rsidRPr="00CF336B">
        <w:rPr>
          <w:lang w:val="tr-TR"/>
        </w:rPr>
        <w:t xml:space="preserve">fiyatına </w:t>
      </w:r>
      <w:r w:rsidR="00E411B7" w:rsidRPr="00CF336B">
        <w:rPr>
          <w:lang w:val="tr-TR"/>
        </w:rPr>
        <w:t>duyarlı hale getirilm</w:t>
      </w:r>
      <w:r w:rsidR="00E411B7" w:rsidRPr="00BA4994">
        <w:rPr>
          <w:lang w:val="tr-TR"/>
        </w:rPr>
        <w:t>iştir.</w:t>
      </w:r>
      <w:r w:rsidR="00E411B7" w:rsidRPr="00CF336B">
        <w:rPr>
          <w:lang w:val="tr-TR"/>
        </w:rPr>
        <w:t xml:space="preserve"> </w:t>
      </w:r>
      <w:r w:rsidR="00BA4994" w:rsidRPr="00BA4994">
        <w:rPr>
          <w:lang w:val="tr-TR"/>
        </w:rPr>
        <w:t>Hesaplama metodolojisindeki son değişiklik ise</w:t>
      </w:r>
      <w:r w:rsidR="00BA4994">
        <w:rPr>
          <w:lang w:val="tr-TR"/>
        </w:rPr>
        <w:t xml:space="preserve"> 31 Aralık 2023 tarihli </w:t>
      </w:r>
      <w:r w:rsidR="00BA4994" w:rsidRPr="00BA4994">
        <w:rPr>
          <w:lang w:val="tr-TR"/>
        </w:rPr>
        <w:t>Resmî Gazete’nin 5. mükerrer sayısında yayımlanan düzenleme</w:t>
      </w:r>
      <w:r w:rsidR="00BA4994">
        <w:rPr>
          <w:lang w:val="tr-TR"/>
        </w:rPr>
        <w:t xml:space="preserve"> ile yapılmıştır.</w:t>
      </w:r>
    </w:p>
    <w:p w14:paraId="2E65233F" w14:textId="2C785155" w:rsidR="00C9564E" w:rsidRPr="00CF336B" w:rsidRDefault="00C9564E" w:rsidP="004D4361">
      <w:pPr>
        <w:pStyle w:val="ListParagraph"/>
        <w:numPr>
          <w:ilvl w:val="1"/>
          <w:numId w:val="12"/>
        </w:numPr>
        <w:spacing w:line="360" w:lineRule="auto"/>
        <w:rPr>
          <w:rStyle w:val="Heading2Char"/>
          <w:sz w:val="22"/>
          <w:szCs w:val="22"/>
          <w:lang w:val="tr-TR"/>
        </w:rPr>
      </w:pPr>
      <w:bookmarkStart w:id="17" w:name="_Toc156210437"/>
      <w:r w:rsidRPr="00CF336B">
        <w:rPr>
          <w:rStyle w:val="Heading2Char"/>
          <w:sz w:val="22"/>
          <w:szCs w:val="22"/>
          <w:lang w:val="tr-TR"/>
        </w:rPr>
        <w:t xml:space="preserve">Kapasite Mekanizması Ödemelerinde Kullanılan </w:t>
      </w:r>
      <w:proofErr w:type="gramStart"/>
      <w:r w:rsidRPr="00CF336B">
        <w:rPr>
          <w:rStyle w:val="Heading2Char"/>
          <w:sz w:val="22"/>
          <w:szCs w:val="22"/>
          <w:lang w:val="tr-TR"/>
        </w:rPr>
        <w:t>M</w:t>
      </w:r>
      <w:r w:rsidR="00207326" w:rsidRPr="00CF336B">
        <w:rPr>
          <w:rStyle w:val="Heading2Char"/>
          <w:sz w:val="22"/>
          <w:szCs w:val="22"/>
          <w:lang w:val="tr-TR"/>
        </w:rPr>
        <w:t>etot</w:t>
      </w:r>
      <w:r w:rsidR="002F2A85">
        <w:rPr>
          <w:rStyle w:val="Heading2Char"/>
          <w:sz w:val="22"/>
          <w:szCs w:val="22"/>
          <w:lang w:val="tr-TR"/>
        </w:rPr>
        <w:t xml:space="preserve"> </w:t>
      </w:r>
      <w:r w:rsidRPr="00CF336B">
        <w:rPr>
          <w:rStyle w:val="Heading2Char"/>
          <w:sz w:val="22"/>
          <w:szCs w:val="22"/>
          <w:lang w:val="tr-TR"/>
        </w:rPr>
        <w:t>-</w:t>
      </w:r>
      <w:proofErr w:type="gramEnd"/>
      <w:r w:rsidR="002F2A85">
        <w:rPr>
          <w:rStyle w:val="Heading2Char"/>
          <w:sz w:val="22"/>
          <w:szCs w:val="22"/>
          <w:lang w:val="tr-TR"/>
        </w:rPr>
        <w:t xml:space="preserve"> </w:t>
      </w:r>
      <w:r w:rsidRPr="00CF336B">
        <w:rPr>
          <w:rStyle w:val="Heading2Char"/>
          <w:sz w:val="22"/>
          <w:szCs w:val="22"/>
          <w:lang w:val="tr-TR"/>
        </w:rPr>
        <w:t>1</w:t>
      </w:r>
      <w:bookmarkEnd w:id="17"/>
      <w:r w:rsidRPr="00CF336B">
        <w:rPr>
          <w:rStyle w:val="Heading2Char"/>
          <w:sz w:val="22"/>
          <w:szCs w:val="22"/>
          <w:lang w:val="tr-TR"/>
        </w:rPr>
        <w:t xml:space="preserve"> </w:t>
      </w:r>
    </w:p>
    <w:p w14:paraId="4BA6F8D9" w14:textId="52A49721" w:rsidR="000E04CB" w:rsidRPr="00CF336B" w:rsidRDefault="00E411B7" w:rsidP="004D4361">
      <w:pPr>
        <w:spacing w:line="360" w:lineRule="auto"/>
        <w:jc w:val="both"/>
        <w:rPr>
          <w:lang w:val="tr-TR"/>
        </w:rPr>
      </w:pPr>
      <w:r w:rsidRPr="00CF336B">
        <w:rPr>
          <w:lang w:val="tr-TR"/>
        </w:rPr>
        <w:t xml:space="preserve">Yönetmeliğin uygulamaya alındığı 2018 yılındaki ilk </w:t>
      </w:r>
      <w:r w:rsidR="00FA0893" w:rsidRPr="00CF336B">
        <w:rPr>
          <w:lang w:val="tr-TR"/>
        </w:rPr>
        <w:t>metot</w:t>
      </w:r>
      <w:r w:rsidRPr="00CF336B">
        <w:rPr>
          <w:lang w:val="tr-TR"/>
        </w:rPr>
        <w:t xml:space="preserve"> kaynak bazlı sabit ve değişken maliyet bileşenleri</w:t>
      </w:r>
      <w:r w:rsidR="00016021" w:rsidRPr="00CF336B">
        <w:rPr>
          <w:lang w:val="tr-TR"/>
        </w:rPr>
        <w:t>ni</w:t>
      </w:r>
      <w:r w:rsidRPr="00CF336B">
        <w:rPr>
          <w:lang w:val="tr-TR"/>
        </w:rPr>
        <w:t xml:space="preserve"> ve </w:t>
      </w:r>
      <w:r w:rsidR="00016021" w:rsidRPr="00CF336B">
        <w:rPr>
          <w:lang w:val="tr-TR"/>
        </w:rPr>
        <w:t>p</w:t>
      </w:r>
      <w:r w:rsidRPr="00CF336B">
        <w:rPr>
          <w:lang w:val="tr-TR"/>
        </w:rPr>
        <w:t xml:space="preserve">iyasa takas fiyatını baz almaktaydı. </w:t>
      </w:r>
    </w:p>
    <w:p w14:paraId="45C68E79" w14:textId="32360284" w:rsidR="00E411B7" w:rsidRPr="00CF336B" w:rsidRDefault="002F2A85" w:rsidP="004D4361">
      <w:pPr>
        <w:spacing w:line="360" w:lineRule="auto"/>
        <w:jc w:val="both"/>
        <w:rPr>
          <w:lang w:val="tr-TR"/>
        </w:rPr>
      </w:pPr>
      <m:oMathPara>
        <m:oMathParaPr>
          <m:jc m:val="left"/>
        </m:oMathParaPr>
        <m:oMath>
          <m:r>
            <m:rPr>
              <m:sty m:val="b"/>
            </m:rPr>
            <w:rPr>
              <w:rFonts w:ascii="Cambria Math" w:hAnsi="Cambria Math"/>
              <w:vertAlign w:val="subscript"/>
              <w:lang w:val="tr-TR"/>
            </w:rPr>
            <m:t>Kapasite Ödemesi=</m:t>
          </m:r>
          <m:r>
            <m:rPr>
              <m:sty m:val="b"/>
            </m:rPr>
            <w:rPr>
              <w:rFonts w:ascii="Cambria Math" w:hAnsi="Cambria Math"/>
              <w:lang w:val="tr-TR"/>
            </w:rPr>
            <m:t>Kapasite Kullanım Oranı*</m:t>
          </m:r>
          <m:d>
            <m:dPr>
              <m:begChr m:val="["/>
              <m:endChr m:val="]"/>
              <m:ctrlPr>
                <w:rPr>
                  <w:rFonts w:ascii="Cambria Math" w:hAnsi="Cambria Math"/>
                  <w:b/>
                  <w:iCs/>
                  <w:lang w:val="tr-TR"/>
                </w:rPr>
              </m:ctrlPr>
            </m:dPr>
            <m:e>
              <m:nary>
                <m:naryPr>
                  <m:chr m:val="∑"/>
                  <m:limLoc m:val="undOvr"/>
                  <m:subHide m:val="1"/>
                  <m:supHide m:val="1"/>
                  <m:ctrlPr>
                    <w:rPr>
                      <w:rFonts w:ascii="Cambria Math" w:hAnsi="Cambria Math"/>
                      <w:b/>
                      <w:iCs/>
                      <w:lang w:val="tr-TR"/>
                    </w:rPr>
                  </m:ctrlPr>
                </m:naryPr>
                <m:sub/>
                <m:sup/>
                <m:e>
                  <m:r>
                    <m:rPr>
                      <m:sty m:val="b"/>
                    </m:rPr>
                    <w:rPr>
                      <w:rFonts w:ascii="Cambria Math" w:hAnsi="Cambria Math"/>
                      <w:lang w:val="tr-TR"/>
                    </w:rPr>
                    <m:t xml:space="preserve">Kurulu Güç*Sabit Maliyet Bileşeni+ </m:t>
                  </m:r>
                  <m:nary>
                    <m:naryPr>
                      <m:chr m:val="∑"/>
                      <m:limLoc m:val="undOvr"/>
                      <m:subHide m:val="1"/>
                      <m:supHide m:val="1"/>
                      <m:ctrlPr>
                        <w:rPr>
                          <w:rFonts w:ascii="Cambria Math" w:hAnsi="Cambria Math"/>
                          <w:b/>
                          <w:iCs/>
                          <w:lang w:val="tr-TR"/>
                        </w:rPr>
                      </m:ctrlPr>
                    </m:naryPr>
                    <m:sub/>
                    <m:sup/>
                    <m:e>
                      <m:r>
                        <m:rPr>
                          <m:sty m:val="b"/>
                        </m:rPr>
                        <w:rPr>
                          <w:rFonts w:ascii="Cambria Math" w:hAnsi="Cambria Math"/>
                          <w:lang w:val="tr-TR"/>
                        </w:rPr>
                        <m:t xml:space="preserve">Kurulu Güç* </m:t>
                      </m:r>
                      <m:d>
                        <m:dPr>
                          <m:ctrlPr>
                            <w:rPr>
                              <w:rFonts w:ascii="Cambria Math" w:hAnsi="Cambria Math"/>
                              <w:b/>
                              <w:iCs/>
                              <w:lang w:val="tr-TR"/>
                            </w:rPr>
                          </m:ctrlPr>
                        </m:dPr>
                        <m:e>
                          <m:r>
                            <m:rPr>
                              <m:sty m:val="b"/>
                            </m:rPr>
                            <w:rPr>
                              <w:rFonts w:ascii="Cambria Math" w:hAnsi="Cambria Math"/>
                              <w:lang w:val="tr-TR"/>
                            </w:rPr>
                            <m:t>Toplam Maliyet Bileşeni-Piyasa Takas Fiyatı</m:t>
                          </m:r>
                        </m:e>
                      </m:d>
                    </m:e>
                  </m:nary>
                </m:e>
              </m:nary>
            </m:e>
          </m:d>
        </m:oMath>
      </m:oMathPara>
    </w:p>
    <w:p w14:paraId="54AEB37D" w14:textId="5713675A" w:rsidR="00E411B7" w:rsidRPr="00CF336B" w:rsidRDefault="00E411B7" w:rsidP="004D4361">
      <w:pPr>
        <w:pStyle w:val="ListParagraph"/>
        <w:numPr>
          <w:ilvl w:val="0"/>
          <w:numId w:val="5"/>
        </w:numPr>
        <w:spacing w:line="360" w:lineRule="auto"/>
        <w:jc w:val="both"/>
        <w:rPr>
          <w:lang w:val="tr-TR"/>
        </w:rPr>
      </w:pPr>
      <w:r w:rsidRPr="00CF336B">
        <w:rPr>
          <w:lang w:val="tr-TR"/>
        </w:rPr>
        <w:t xml:space="preserve">Hesaplamada yer alan sabit maliyet bileşeni, değişken maliyet bileşeni ve öngörülen kapasite kullanım oranı her kaynak türü için ayrı ayrı olmak üzere Enerji Piyasası Düzenleme Kurulu tarafından belirlenmekteydi. </w:t>
      </w:r>
    </w:p>
    <w:p w14:paraId="13DDD706" w14:textId="05EB31A1" w:rsidR="002D1389" w:rsidRPr="00CF336B" w:rsidRDefault="002D1389" w:rsidP="004D4361">
      <w:pPr>
        <w:pStyle w:val="ListParagraph"/>
        <w:numPr>
          <w:ilvl w:val="0"/>
          <w:numId w:val="5"/>
        </w:numPr>
        <w:spacing w:line="360" w:lineRule="auto"/>
        <w:jc w:val="both"/>
        <w:rPr>
          <w:lang w:val="tr-TR"/>
        </w:rPr>
      </w:pPr>
      <w:r w:rsidRPr="00CF336B">
        <w:rPr>
          <w:lang w:val="tr-TR"/>
        </w:rPr>
        <w:t>Her kaynak türü için belirlenen s</w:t>
      </w:r>
      <w:r w:rsidR="00E411B7" w:rsidRPr="00CF336B">
        <w:rPr>
          <w:lang w:val="tr-TR"/>
        </w:rPr>
        <w:t xml:space="preserve">abit maliyet bileşeninin hesaplanmasında </w:t>
      </w:r>
      <w:r w:rsidRPr="00CF336B">
        <w:rPr>
          <w:lang w:val="tr-TR"/>
        </w:rPr>
        <w:t>aşağıdaki parametreler dikkate alınmaktaydı:</w:t>
      </w:r>
    </w:p>
    <w:p w14:paraId="04EBA710" w14:textId="510DA773" w:rsidR="002D1389" w:rsidRPr="00CF336B" w:rsidRDefault="00E411B7" w:rsidP="004D4361">
      <w:pPr>
        <w:pStyle w:val="ListParagraph"/>
        <w:numPr>
          <w:ilvl w:val="1"/>
          <w:numId w:val="5"/>
        </w:numPr>
        <w:spacing w:line="360" w:lineRule="auto"/>
        <w:jc w:val="both"/>
        <w:rPr>
          <w:lang w:val="tr-TR"/>
        </w:rPr>
      </w:pPr>
      <w:proofErr w:type="gramStart"/>
      <w:r w:rsidRPr="00CF336B">
        <w:rPr>
          <w:lang w:val="tr-TR"/>
        </w:rPr>
        <w:t>ilgili</w:t>
      </w:r>
      <w:proofErr w:type="gramEnd"/>
      <w:r w:rsidRPr="00CF336B">
        <w:rPr>
          <w:lang w:val="tr-TR"/>
        </w:rPr>
        <w:t xml:space="preserve"> kaynak türüne ait kapasite kullanım oranı,</w:t>
      </w:r>
    </w:p>
    <w:p w14:paraId="10134A0A" w14:textId="77777777" w:rsidR="002D1389" w:rsidRPr="00CF336B" w:rsidRDefault="002D1389" w:rsidP="004D4361">
      <w:pPr>
        <w:pStyle w:val="ListParagraph"/>
        <w:numPr>
          <w:ilvl w:val="1"/>
          <w:numId w:val="5"/>
        </w:numPr>
        <w:spacing w:line="360" w:lineRule="auto"/>
        <w:jc w:val="both"/>
        <w:rPr>
          <w:lang w:val="tr-TR"/>
        </w:rPr>
      </w:pPr>
      <w:r w:rsidRPr="00CF336B">
        <w:rPr>
          <w:lang w:val="tr-TR"/>
        </w:rPr>
        <w:t>İ</w:t>
      </w:r>
      <w:r w:rsidR="00E411B7" w:rsidRPr="00CF336B">
        <w:rPr>
          <w:lang w:val="tr-TR"/>
        </w:rPr>
        <w:t xml:space="preserve">lk yatırım maliyeti, </w:t>
      </w:r>
    </w:p>
    <w:p w14:paraId="1F8C8E16" w14:textId="77777777" w:rsidR="002D1389" w:rsidRPr="00CF336B" w:rsidRDefault="00E411B7" w:rsidP="004D4361">
      <w:pPr>
        <w:pStyle w:val="ListParagraph"/>
        <w:numPr>
          <w:ilvl w:val="1"/>
          <w:numId w:val="5"/>
        </w:numPr>
        <w:spacing w:line="360" w:lineRule="auto"/>
        <w:jc w:val="both"/>
        <w:rPr>
          <w:lang w:val="tr-TR"/>
        </w:rPr>
      </w:pPr>
      <w:proofErr w:type="gramStart"/>
      <w:r w:rsidRPr="00CF336B">
        <w:rPr>
          <w:lang w:val="tr-TR"/>
        </w:rPr>
        <w:t>döviz</w:t>
      </w:r>
      <w:proofErr w:type="gramEnd"/>
      <w:r w:rsidRPr="00CF336B">
        <w:rPr>
          <w:lang w:val="tr-TR"/>
        </w:rPr>
        <w:t xml:space="preserve"> kuru, </w:t>
      </w:r>
    </w:p>
    <w:p w14:paraId="4C72A8D5" w14:textId="77777777" w:rsidR="002D1389" w:rsidRPr="00CF336B" w:rsidRDefault="00E411B7" w:rsidP="004D4361">
      <w:pPr>
        <w:pStyle w:val="ListParagraph"/>
        <w:numPr>
          <w:ilvl w:val="1"/>
          <w:numId w:val="5"/>
        </w:numPr>
        <w:spacing w:line="360" w:lineRule="auto"/>
        <w:jc w:val="both"/>
        <w:rPr>
          <w:lang w:val="tr-TR"/>
        </w:rPr>
      </w:pPr>
      <w:proofErr w:type="gramStart"/>
      <w:r w:rsidRPr="00CF336B">
        <w:rPr>
          <w:lang w:val="tr-TR"/>
        </w:rPr>
        <w:t>faiz</w:t>
      </w:r>
      <w:proofErr w:type="gramEnd"/>
      <w:r w:rsidRPr="00CF336B">
        <w:rPr>
          <w:lang w:val="tr-TR"/>
        </w:rPr>
        <w:t xml:space="preserve"> oranı, </w:t>
      </w:r>
    </w:p>
    <w:p w14:paraId="26620F76" w14:textId="77777777" w:rsidR="002D1389" w:rsidRPr="00CF336B" w:rsidRDefault="00E411B7" w:rsidP="004D4361">
      <w:pPr>
        <w:pStyle w:val="ListParagraph"/>
        <w:numPr>
          <w:ilvl w:val="1"/>
          <w:numId w:val="5"/>
        </w:numPr>
        <w:spacing w:line="360" w:lineRule="auto"/>
        <w:jc w:val="both"/>
        <w:rPr>
          <w:lang w:val="tr-TR"/>
        </w:rPr>
      </w:pPr>
      <w:proofErr w:type="gramStart"/>
      <w:r w:rsidRPr="00CF336B">
        <w:rPr>
          <w:lang w:val="tr-TR"/>
        </w:rPr>
        <w:t>kaldıraç</w:t>
      </w:r>
      <w:proofErr w:type="gramEnd"/>
      <w:r w:rsidRPr="00CF336B">
        <w:rPr>
          <w:lang w:val="tr-TR"/>
        </w:rPr>
        <w:t xml:space="preserve"> oranı, </w:t>
      </w:r>
    </w:p>
    <w:p w14:paraId="35386F2B" w14:textId="77777777" w:rsidR="002D1389" w:rsidRPr="00CF336B" w:rsidRDefault="00E411B7" w:rsidP="004D4361">
      <w:pPr>
        <w:pStyle w:val="ListParagraph"/>
        <w:numPr>
          <w:ilvl w:val="1"/>
          <w:numId w:val="5"/>
        </w:numPr>
        <w:spacing w:line="360" w:lineRule="auto"/>
        <w:jc w:val="both"/>
        <w:rPr>
          <w:lang w:val="tr-TR"/>
        </w:rPr>
      </w:pPr>
      <w:proofErr w:type="gramStart"/>
      <w:r w:rsidRPr="00CF336B">
        <w:rPr>
          <w:lang w:val="tr-TR"/>
        </w:rPr>
        <w:t>kapasiteye</w:t>
      </w:r>
      <w:proofErr w:type="gramEnd"/>
      <w:r w:rsidRPr="00CF336B">
        <w:rPr>
          <w:lang w:val="tr-TR"/>
        </w:rPr>
        <w:t xml:space="preserve"> bağlı iletim bedelleri ve </w:t>
      </w:r>
    </w:p>
    <w:p w14:paraId="0D7F5425" w14:textId="5AEE21EB" w:rsidR="002D1389" w:rsidRPr="00CF336B" w:rsidRDefault="00E411B7" w:rsidP="004D4361">
      <w:pPr>
        <w:pStyle w:val="ListParagraph"/>
        <w:numPr>
          <w:ilvl w:val="1"/>
          <w:numId w:val="5"/>
        </w:numPr>
        <w:spacing w:line="360" w:lineRule="auto"/>
        <w:jc w:val="both"/>
        <w:rPr>
          <w:lang w:val="tr-TR"/>
        </w:rPr>
      </w:pPr>
      <w:proofErr w:type="gramStart"/>
      <w:r w:rsidRPr="00CF336B">
        <w:rPr>
          <w:lang w:val="tr-TR"/>
        </w:rPr>
        <w:t>işletmeye</w:t>
      </w:r>
      <w:proofErr w:type="gramEnd"/>
      <w:r w:rsidRPr="00CF336B">
        <w:rPr>
          <w:lang w:val="tr-TR"/>
        </w:rPr>
        <w:t xml:space="preserve"> ilişkin sabit giderler</w:t>
      </w:r>
      <w:r w:rsidR="005A7284">
        <w:rPr>
          <w:lang w:val="tr-TR"/>
        </w:rPr>
        <w:t>.</w:t>
      </w:r>
      <w:r w:rsidRPr="00CF336B">
        <w:rPr>
          <w:lang w:val="tr-TR"/>
        </w:rPr>
        <w:t xml:space="preserve"> </w:t>
      </w:r>
    </w:p>
    <w:p w14:paraId="5082ECF9" w14:textId="77777777" w:rsidR="002D1389" w:rsidRPr="00CF336B" w:rsidRDefault="002D1389" w:rsidP="004D4361">
      <w:pPr>
        <w:pStyle w:val="ListParagraph"/>
        <w:numPr>
          <w:ilvl w:val="0"/>
          <w:numId w:val="5"/>
        </w:numPr>
        <w:spacing w:line="360" w:lineRule="auto"/>
        <w:jc w:val="both"/>
        <w:rPr>
          <w:lang w:val="tr-TR"/>
        </w:rPr>
      </w:pPr>
      <w:r w:rsidRPr="00CF336B">
        <w:rPr>
          <w:lang w:val="tr-TR"/>
        </w:rPr>
        <w:t>Değişken maliyet bileşeni ise aşağıdaki parametreler ışığından hesaplanmaktaydı:</w:t>
      </w:r>
    </w:p>
    <w:p w14:paraId="627C37DD" w14:textId="7C980C7C" w:rsidR="002D1389" w:rsidRPr="00CF336B" w:rsidRDefault="002D1389" w:rsidP="004D4361">
      <w:pPr>
        <w:pStyle w:val="ListParagraph"/>
        <w:numPr>
          <w:ilvl w:val="1"/>
          <w:numId w:val="5"/>
        </w:numPr>
        <w:spacing w:line="360" w:lineRule="auto"/>
        <w:jc w:val="both"/>
        <w:rPr>
          <w:lang w:val="tr-TR"/>
        </w:rPr>
      </w:pPr>
      <w:r w:rsidRPr="00CF336B">
        <w:rPr>
          <w:lang w:val="tr-TR"/>
        </w:rPr>
        <w:t>İlgili kaynak türüne ait yakıt maliyetleri</w:t>
      </w:r>
      <w:r w:rsidR="005A7284">
        <w:rPr>
          <w:lang w:val="tr-TR"/>
        </w:rPr>
        <w:t>,</w:t>
      </w:r>
    </w:p>
    <w:p w14:paraId="1D7B1DD0" w14:textId="7023E243" w:rsidR="002D1389" w:rsidRPr="00CF336B" w:rsidRDefault="002D1389" w:rsidP="004D4361">
      <w:pPr>
        <w:pStyle w:val="ListParagraph"/>
        <w:numPr>
          <w:ilvl w:val="1"/>
          <w:numId w:val="5"/>
        </w:numPr>
        <w:spacing w:line="360" w:lineRule="auto"/>
        <w:jc w:val="both"/>
        <w:rPr>
          <w:lang w:val="tr-TR"/>
        </w:rPr>
      </w:pPr>
      <w:proofErr w:type="gramStart"/>
      <w:r w:rsidRPr="00CF336B">
        <w:rPr>
          <w:lang w:val="tr-TR"/>
        </w:rPr>
        <w:t>verimlilik</w:t>
      </w:r>
      <w:proofErr w:type="gramEnd"/>
      <w:r w:rsidRPr="00CF336B">
        <w:rPr>
          <w:lang w:val="tr-TR"/>
        </w:rPr>
        <w:t xml:space="preserve"> oranı</w:t>
      </w:r>
      <w:r w:rsidR="005A7284">
        <w:rPr>
          <w:lang w:val="tr-TR"/>
        </w:rPr>
        <w:t>,</w:t>
      </w:r>
    </w:p>
    <w:p w14:paraId="108BFEA3" w14:textId="2BAC0FDD" w:rsidR="002D1389" w:rsidRPr="00CF336B" w:rsidRDefault="002D1389" w:rsidP="004D4361">
      <w:pPr>
        <w:pStyle w:val="ListParagraph"/>
        <w:numPr>
          <w:ilvl w:val="1"/>
          <w:numId w:val="5"/>
        </w:numPr>
        <w:spacing w:line="360" w:lineRule="auto"/>
        <w:jc w:val="both"/>
        <w:rPr>
          <w:lang w:val="tr-TR"/>
        </w:rPr>
      </w:pPr>
      <w:proofErr w:type="gramStart"/>
      <w:r w:rsidRPr="00CF336B">
        <w:rPr>
          <w:lang w:val="tr-TR"/>
        </w:rPr>
        <w:t>değişken</w:t>
      </w:r>
      <w:proofErr w:type="gramEnd"/>
      <w:r w:rsidRPr="00CF336B">
        <w:rPr>
          <w:lang w:val="tr-TR"/>
        </w:rPr>
        <w:t xml:space="preserve"> nitelikteki iletim tarifeleri</w:t>
      </w:r>
      <w:r w:rsidR="005A7284">
        <w:rPr>
          <w:lang w:val="tr-TR"/>
        </w:rPr>
        <w:t>.</w:t>
      </w:r>
    </w:p>
    <w:p w14:paraId="55AAFA11" w14:textId="138FE6F5" w:rsidR="003834A1" w:rsidRPr="00CF336B" w:rsidRDefault="003834A1" w:rsidP="004D4361">
      <w:pPr>
        <w:pStyle w:val="ListParagraph"/>
        <w:numPr>
          <w:ilvl w:val="0"/>
          <w:numId w:val="5"/>
        </w:numPr>
        <w:spacing w:line="360" w:lineRule="auto"/>
        <w:jc w:val="both"/>
        <w:rPr>
          <w:lang w:val="tr-TR"/>
        </w:rPr>
      </w:pPr>
      <w:r w:rsidRPr="00CF336B">
        <w:rPr>
          <w:lang w:val="tr-TR"/>
        </w:rPr>
        <w:t>Toplam maliyet bileşeni sabit ve değişken maliyet bileşenlerinin toplamını ifade etmektedir.</w:t>
      </w:r>
    </w:p>
    <w:p w14:paraId="07FF220E" w14:textId="0F46A7A8" w:rsidR="000E04CB" w:rsidRPr="00CF336B" w:rsidRDefault="003834A1" w:rsidP="004D4361">
      <w:pPr>
        <w:spacing w:line="360" w:lineRule="auto"/>
        <w:jc w:val="both"/>
        <w:rPr>
          <w:lang w:val="tr-TR"/>
        </w:rPr>
      </w:pPr>
      <w:r w:rsidRPr="00CF336B">
        <w:rPr>
          <w:lang w:val="tr-TR"/>
        </w:rPr>
        <w:t>Yukarıdaki formüle göre kapasite mekanizması ödemelerinin</w:t>
      </w:r>
      <w:r w:rsidR="00016021" w:rsidRPr="00CF336B">
        <w:rPr>
          <w:lang w:val="tr-TR"/>
        </w:rPr>
        <w:t xml:space="preserve"> p</w:t>
      </w:r>
      <w:r w:rsidRPr="00CF336B">
        <w:rPr>
          <w:lang w:val="tr-TR"/>
        </w:rPr>
        <w:t xml:space="preserve">iyasa takas fiyatına bağlı hareketi aşağıdaki gibidir: </w:t>
      </w:r>
    </w:p>
    <w:p w14:paraId="61CA22AA" w14:textId="4FE146F4" w:rsidR="000E04CB" w:rsidRPr="00CF336B" w:rsidRDefault="003834A1" w:rsidP="004D4361">
      <w:pPr>
        <w:pStyle w:val="ListParagraph"/>
        <w:numPr>
          <w:ilvl w:val="0"/>
          <w:numId w:val="5"/>
        </w:numPr>
        <w:spacing w:line="360" w:lineRule="auto"/>
        <w:jc w:val="both"/>
        <w:rPr>
          <w:lang w:val="tr-TR"/>
        </w:rPr>
      </w:pPr>
      <w:r w:rsidRPr="00CF336B">
        <w:rPr>
          <w:lang w:val="tr-TR"/>
        </w:rPr>
        <w:t xml:space="preserve">PTF </w:t>
      </w:r>
      <w:proofErr w:type="gramStart"/>
      <w:r w:rsidRPr="00CF336B">
        <w:rPr>
          <w:lang w:val="tr-TR"/>
        </w:rPr>
        <w:t>&lt; Değişken</w:t>
      </w:r>
      <w:proofErr w:type="gramEnd"/>
      <w:r w:rsidRPr="00CF336B">
        <w:rPr>
          <w:lang w:val="tr-TR"/>
        </w:rPr>
        <w:t xml:space="preserve"> Maliyet Bileşeni </w:t>
      </w:r>
      <m:oMath>
        <m:r>
          <w:rPr>
            <w:rFonts w:ascii="Cambria Math" w:hAnsi="Cambria Math"/>
            <w:lang w:val="tr-TR"/>
          </w:rPr>
          <m:t>⇒</m:t>
        </m:r>
      </m:oMath>
      <w:r w:rsidRPr="00CF336B">
        <w:rPr>
          <w:lang w:val="tr-TR"/>
        </w:rPr>
        <w:t xml:space="preserve"> Santrale EPDK tarafından belirlenen sabit maliyet ödenir.</w:t>
      </w:r>
    </w:p>
    <w:p w14:paraId="1BE62138" w14:textId="77777777" w:rsidR="003834A1" w:rsidRPr="00CF336B" w:rsidRDefault="003834A1" w:rsidP="004D4361">
      <w:pPr>
        <w:pStyle w:val="ListParagraph"/>
        <w:numPr>
          <w:ilvl w:val="0"/>
          <w:numId w:val="5"/>
        </w:numPr>
        <w:spacing w:line="360" w:lineRule="auto"/>
        <w:jc w:val="both"/>
        <w:rPr>
          <w:lang w:val="tr-TR"/>
        </w:rPr>
      </w:pPr>
      <w:r w:rsidRPr="00CF336B">
        <w:rPr>
          <w:lang w:val="tr-TR"/>
        </w:rPr>
        <w:t xml:space="preserve">Toplam Maliyet </w:t>
      </w:r>
      <w:proofErr w:type="gramStart"/>
      <w:r w:rsidRPr="00CF336B">
        <w:rPr>
          <w:lang w:val="tr-TR"/>
        </w:rPr>
        <w:t>Bileşeni &gt;</w:t>
      </w:r>
      <w:proofErr w:type="gramEnd"/>
      <w:r w:rsidRPr="00CF336B">
        <w:rPr>
          <w:lang w:val="tr-TR"/>
        </w:rPr>
        <w:t xml:space="preserve"> PTF &gt; Değişken Maliyet Bileşeni </w:t>
      </w:r>
      <m:oMath>
        <m:r>
          <w:rPr>
            <w:rFonts w:ascii="Cambria Math" w:hAnsi="Cambria Math"/>
            <w:lang w:val="tr-TR"/>
          </w:rPr>
          <m:t>⇒</m:t>
        </m:r>
      </m:oMath>
      <w:r w:rsidRPr="00CF336B">
        <w:rPr>
          <w:lang w:val="tr-TR"/>
        </w:rPr>
        <w:t xml:space="preserve"> Santrale toplam maliyet bileşeni ile PTF arasındaki fark ödenir.</w:t>
      </w:r>
    </w:p>
    <w:p w14:paraId="2549EC23" w14:textId="1952E349" w:rsidR="003834A1" w:rsidRPr="00CF336B" w:rsidRDefault="003834A1" w:rsidP="004D4361">
      <w:pPr>
        <w:pStyle w:val="ListParagraph"/>
        <w:numPr>
          <w:ilvl w:val="0"/>
          <w:numId w:val="5"/>
        </w:numPr>
        <w:spacing w:line="360" w:lineRule="auto"/>
        <w:jc w:val="both"/>
        <w:rPr>
          <w:lang w:val="tr-TR"/>
        </w:rPr>
      </w:pPr>
      <w:proofErr w:type="gramStart"/>
      <w:r w:rsidRPr="00CF336B">
        <w:rPr>
          <w:lang w:val="tr-TR"/>
        </w:rPr>
        <w:t>PTF &gt;</w:t>
      </w:r>
      <w:proofErr w:type="gramEnd"/>
      <w:r w:rsidRPr="00CF336B">
        <w:rPr>
          <w:lang w:val="tr-TR"/>
        </w:rPr>
        <w:t xml:space="preserve"> Toplam Maliyet Bileşeni </w:t>
      </w:r>
      <m:oMath>
        <m:r>
          <w:rPr>
            <w:rFonts w:ascii="Cambria Math" w:hAnsi="Cambria Math"/>
            <w:lang w:val="tr-TR"/>
          </w:rPr>
          <m:t>⇒</m:t>
        </m:r>
      </m:oMath>
      <w:r w:rsidRPr="00CF336B">
        <w:rPr>
          <w:lang w:val="tr-TR"/>
        </w:rPr>
        <w:t xml:space="preserve"> Santrale herhangi bir ödeme yapılmaz.</w:t>
      </w:r>
    </w:p>
    <w:p w14:paraId="6992C595" w14:textId="77777777" w:rsidR="003834A1" w:rsidRPr="00CF336B" w:rsidRDefault="003834A1" w:rsidP="004D4361">
      <w:pPr>
        <w:pStyle w:val="ListParagraph"/>
        <w:spacing w:line="360" w:lineRule="auto"/>
        <w:jc w:val="both"/>
        <w:rPr>
          <w:lang w:val="tr-TR"/>
        </w:rPr>
      </w:pPr>
    </w:p>
    <w:p w14:paraId="1FF4BDB4" w14:textId="6D0DBABD" w:rsidR="003834A1" w:rsidRPr="00CF336B" w:rsidRDefault="003834A1" w:rsidP="004D4361">
      <w:pPr>
        <w:pStyle w:val="ListParagraph"/>
        <w:numPr>
          <w:ilvl w:val="1"/>
          <w:numId w:val="12"/>
        </w:numPr>
        <w:spacing w:line="360" w:lineRule="auto"/>
        <w:jc w:val="both"/>
        <w:rPr>
          <w:rStyle w:val="Heading2Char"/>
          <w:sz w:val="22"/>
          <w:szCs w:val="22"/>
          <w:lang w:val="tr-TR"/>
        </w:rPr>
      </w:pPr>
      <w:bookmarkStart w:id="18" w:name="_Toc156210438"/>
      <w:r w:rsidRPr="00CF336B">
        <w:rPr>
          <w:rStyle w:val="Heading2Char"/>
          <w:sz w:val="22"/>
          <w:szCs w:val="22"/>
          <w:lang w:val="tr-TR"/>
        </w:rPr>
        <w:t xml:space="preserve">Kapasite Mekanizması Ödemelerinde Kullanılan </w:t>
      </w:r>
      <w:proofErr w:type="gramStart"/>
      <w:r w:rsidRPr="00CF336B">
        <w:rPr>
          <w:rStyle w:val="Heading2Char"/>
          <w:sz w:val="22"/>
          <w:szCs w:val="22"/>
          <w:lang w:val="tr-TR"/>
        </w:rPr>
        <w:t>M</w:t>
      </w:r>
      <w:r w:rsidR="00207326" w:rsidRPr="00CF336B">
        <w:rPr>
          <w:rStyle w:val="Heading2Char"/>
          <w:sz w:val="22"/>
          <w:szCs w:val="22"/>
          <w:lang w:val="tr-TR"/>
        </w:rPr>
        <w:t>etot</w:t>
      </w:r>
      <w:r w:rsidR="002F2A85">
        <w:rPr>
          <w:rStyle w:val="Heading2Char"/>
          <w:sz w:val="22"/>
          <w:szCs w:val="22"/>
          <w:lang w:val="tr-TR"/>
        </w:rPr>
        <w:t xml:space="preserve"> </w:t>
      </w:r>
      <w:r w:rsidRPr="00CF336B">
        <w:rPr>
          <w:rStyle w:val="Heading2Char"/>
          <w:sz w:val="22"/>
          <w:szCs w:val="22"/>
          <w:lang w:val="tr-TR"/>
        </w:rPr>
        <w:t>-</w:t>
      </w:r>
      <w:proofErr w:type="gramEnd"/>
      <w:r w:rsidR="002F2A85">
        <w:rPr>
          <w:rStyle w:val="Heading2Char"/>
          <w:sz w:val="22"/>
          <w:szCs w:val="22"/>
          <w:lang w:val="tr-TR"/>
        </w:rPr>
        <w:t xml:space="preserve"> </w:t>
      </w:r>
      <w:r w:rsidRPr="00CF336B">
        <w:rPr>
          <w:rStyle w:val="Heading2Char"/>
          <w:sz w:val="22"/>
          <w:szCs w:val="22"/>
          <w:lang w:val="tr-TR"/>
        </w:rPr>
        <w:t>2</w:t>
      </w:r>
      <w:bookmarkEnd w:id="18"/>
      <w:r w:rsidRPr="00CF336B">
        <w:rPr>
          <w:rStyle w:val="Heading2Char"/>
          <w:sz w:val="22"/>
          <w:szCs w:val="22"/>
          <w:lang w:val="tr-TR"/>
        </w:rPr>
        <w:t xml:space="preserve"> </w:t>
      </w:r>
    </w:p>
    <w:p w14:paraId="5E7F3A78" w14:textId="6A76CA0B" w:rsidR="003834A1" w:rsidRPr="00CF336B" w:rsidRDefault="003834A1" w:rsidP="004D4361">
      <w:pPr>
        <w:spacing w:line="360" w:lineRule="auto"/>
        <w:jc w:val="both"/>
        <w:rPr>
          <w:lang w:val="tr-TR"/>
        </w:rPr>
      </w:pPr>
      <w:r w:rsidRPr="00CF336B">
        <w:rPr>
          <w:lang w:val="tr-TR"/>
        </w:rPr>
        <w:t xml:space="preserve">9 Ocak 2019 tarihli </w:t>
      </w:r>
      <w:r w:rsidR="00752569" w:rsidRPr="00CF336B">
        <w:rPr>
          <w:lang w:val="tr-TR"/>
        </w:rPr>
        <w:t>Resmî</w:t>
      </w:r>
      <w:r w:rsidRPr="00CF336B">
        <w:rPr>
          <w:lang w:val="tr-TR"/>
        </w:rPr>
        <w:t xml:space="preserve"> </w:t>
      </w:r>
      <w:proofErr w:type="spellStart"/>
      <w:r w:rsidRPr="00CF336B">
        <w:rPr>
          <w:lang w:val="tr-TR"/>
        </w:rPr>
        <w:t>Gazete’de</w:t>
      </w:r>
      <w:proofErr w:type="spellEnd"/>
      <w:r w:rsidRPr="00CF336B">
        <w:rPr>
          <w:lang w:val="tr-TR"/>
        </w:rPr>
        <w:t xml:space="preserve"> yapılan düzenleme ile kapasite mekanizması kapsamında santrallere ödenecek tutara ilişkin </w:t>
      </w:r>
      <w:r w:rsidR="00207326" w:rsidRPr="00CF336B">
        <w:rPr>
          <w:lang w:val="tr-TR"/>
        </w:rPr>
        <w:t>metodoloji</w:t>
      </w:r>
      <w:r w:rsidR="00A145E9" w:rsidRPr="00CF336B">
        <w:rPr>
          <w:lang w:val="tr-TR"/>
        </w:rPr>
        <w:t xml:space="preserve"> değiştirilmiştir. Bu değişiklik ile bir önceki mekanizmaya kıyasla </w:t>
      </w:r>
      <w:r w:rsidR="0053532A" w:rsidRPr="00CF336B">
        <w:rPr>
          <w:lang w:val="tr-TR"/>
        </w:rPr>
        <w:t xml:space="preserve">piyasa </w:t>
      </w:r>
      <w:r w:rsidR="00A145E9" w:rsidRPr="00CF336B">
        <w:rPr>
          <w:lang w:val="tr-TR"/>
        </w:rPr>
        <w:t>fiyatlarından bağımsız bir yapıya geçilmiştir. Hesaplama yöntemi</w:t>
      </w:r>
      <w:r w:rsidR="0053532A" w:rsidRPr="00CF336B">
        <w:rPr>
          <w:lang w:val="tr-TR"/>
        </w:rPr>
        <w:t>nde</w:t>
      </w:r>
      <w:r w:rsidR="00A145E9" w:rsidRPr="00CF336B">
        <w:rPr>
          <w:lang w:val="tr-TR"/>
        </w:rPr>
        <w:t xml:space="preserve"> yalnızca emre amade kurulu güç ve sabit maliyet bileşen</w:t>
      </w:r>
      <w:r w:rsidR="0053532A" w:rsidRPr="00CF336B">
        <w:rPr>
          <w:lang w:val="tr-TR"/>
        </w:rPr>
        <w:t>i</w:t>
      </w:r>
      <w:r w:rsidR="00A145E9" w:rsidRPr="00CF336B">
        <w:rPr>
          <w:lang w:val="tr-TR"/>
        </w:rPr>
        <w:t xml:space="preserve"> dikkate al</w:t>
      </w:r>
      <w:r w:rsidR="0053532A" w:rsidRPr="00CF336B">
        <w:rPr>
          <w:lang w:val="tr-TR"/>
        </w:rPr>
        <w:t>ın</w:t>
      </w:r>
      <w:r w:rsidR="00A145E9" w:rsidRPr="00CF336B">
        <w:rPr>
          <w:lang w:val="tr-TR"/>
        </w:rPr>
        <w:t>maya başlamıştır.</w:t>
      </w:r>
    </w:p>
    <w:p w14:paraId="55C687D0" w14:textId="7C1A2993" w:rsidR="00A145E9" w:rsidRPr="00CF336B" w:rsidRDefault="00A145E9" w:rsidP="004D4361">
      <w:pPr>
        <w:spacing w:line="360" w:lineRule="auto"/>
        <w:rPr>
          <w:rFonts w:eastAsiaTheme="minorEastAsia"/>
          <w:b/>
          <w:iCs/>
          <w:lang w:val="tr-TR"/>
        </w:rPr>
      </w:pPr>
      <m:oMathPara>
        <m:oMath>
          <m:r>
            <m:rPr>
              <m:sty m:val="bi"/>
            </m:rPr>
            <w:rPr>
              <w:rFonts w:ascii="Cambria Math" w:hAnsi="Cambria Math"/>
              <w:vertAlign w:val="subscript"/>
              <w:lang w:val="tr-TR"/>
            </w:rPr>
            <m:t>K</m:t>
          </m:r>
          <m:r>
            <m:rPr>
              <m:sty m:val="b"/>
            </m:rPr>
            <w:rPr>
              <w:rFonts w:ascii="Cambria Math" w:hAnsi="Cambria Math"/>
              <w:vertAlign w:val="subscript"/>
              <w:lang w:val="tr-TR"/>
            </w:rPr>
            <m:t>apasite Ödeme Oranı=</m:t>
          </m:r>
          <m:f>
            <m:fPr>
              <m:ctrlPr>
                <w:rPr>
                  <w:rFonts w:ascii="Cambria Math" w:hAnsi="Cambria Math"/>
                  <w:b/>
                  <w:lang w:val="tr-TR"/>
                </w:rPr>
              </m:ctrlPr>
            </m:fPr>
            <m:num>
              <m:r>
                <m:rPr>
                  <m:sty m:val="b"/>
                </m:rPr>
                <w:rPr>
                  <w:rFonts w:ascii="Cambria Math" w:hAnsi="Cambria Math"/>
                  <w:lang w:val="tr-TR"/>
                </w:rPr>
                <m:t>Sabit Maliyet Bileşeni*Kurulu Güç*Kapasite Kullanım Oranı</m:t>
              </m:r>
            </m:num>
            <m:den>
              <m:nary>
                <m:naryPr>
                  <m:chr m:val="∑"/>
                  <m:limLoc m:val="undOvr"/>
                  <m:subHide m:val="1"/>
                  <m:supHide m:val="1"/>
                  <m:ctrlPr>
                    <w:rPr>
                      <w:rFonts w:ascii="Cambria Math" w:hAnsi="Cambria Math"/>
                      <w:b/>
                      <w:lang w:val="tr-TR"/>
                    </w:rPr>
                  </m:ctrlPr>
                </m:naryPr>
                <m:sub/>
                <m:sup/>
                <m:e>
                  <m:r>
                    <m:rPr>
                      <m:sty m:val="b"/>
                    </m:rPr>
                    <w:rPr>
                      <w:rFonts w:ascii="Cambria Math" w:hAnsi="Cambria Math"/>
                      <w:lang w:val="tr-TR"/>
                    </w:rPr>
                    <m:t>Sabit Maliyet Bileşeni*Kurulu Güç*Kapasite Kullanım Oranı</m:t>
                  </m:r>
                </m:e>
              </m:nary>
            </m:den>
          </m:f>
        </m:oMath>
      </m:oMathPara>
    </w:p>
    <w:p w14:paraId="6C65416B" w14:textId="1656AB37" w:rsidR="00A145E9" w:rsidRPr="00CF336B" w:rsidRDefault="00A145E9" w:rsidP="004D4361">
      <w:pPr>
        <w:spacing w:line="360" w:lineRule="auto"/>
        <w:rPr>
          <w:lang w:val="tr-TR"/>
        </w:rPr>
      </w:pPr>
      <m:oMathPara>
        <m:oMath>
          <m:r>
            <m:rPr>
              <m:sty m:val="b"/>
            </m:rPr>
            <w:rPr>
              <w:rFonts w:ascii="Cambria Math" w:hAnsi="Cambria Math"/>
              <w:vertAlign w:val="subscript"/>
              <w:lang w:val="tr-TR"/>
            </w:rPr>
            <m:t xml:space="preserve">Kapasite Ödemesi=Kapasite Ödeme Oranı*Bütçe* </m:t>
          </m:r>
          <m:f>
            <m:fPr>
              <m:ctrlPr>
                <w:rPr>
                  <w:rFonts w:ascii="Cambria Math" w:hAnsi="Cambria Math"/>
                  <w:b/>
                  <w:vertAlign w:val="subscript"/>
                  <w:lang w:val="tr-TR"/>
                </w:rPr>
              </m:ctrlPr>
            </m:fPr>
            <m:num>
              <m:r>
                <m:rPr>
                  <m:sty m:val="b"/>
                </m:rPr>
                <w:rPr>
                  <w:rFonts w:ascii="Cambria Math" w:hAnsi="Cambria Math"/>
                  <w:vertAlign w:val="subscript"/>
                  <w:lang w:val="tr-TR"/>
                </w:rPr>
                <m:t>Santral Kurulu Gücü</m:t>
              </m:r>
            </m:num>
            <m:den>
              <m:r>
                <m:rPr>
                  <m:sty m:val="b"/>
                </m:rPr>
                <w:rPr>
                  <w:rFonts w:ascii="Cambria Math" w:hAnsi="Cambria Math"/>
                  <w:vertAlign w:val="subscript"/>
                  <w:lang w:val="tr-TR"/>
                </w:rPr>
                <m:t>Aynı Kaynak Türündeki Tüm Santrallerin Kurulu Gücü</m:t>
              </m:r>
            </m:den>
          </m:f>
        </m:oMath>
      </m:oMathPara>
    </w:p>
    <w:p w14:paraId="31E7422E" w14:textId="77777777" w:rsidR="00A145E9" w:rsidRPr="00CF336B" w:rsidRDefault="00A145E9" w:rsidP="004D4361">
      <w:pPr>
        <w:spacing w:line="360" w:lineRule="auto"/>
        <w:rPr>
          <w:lang w:val="tr-TR"/>
        </w:rPr>
      </w:pPr>
    </w:p>
    <w:p w14:paraId="7D5E70FA" w14:textId="2A01AEA9" w:rsidR="00217AB2" w:rsidRPr="00CF336B" w:rsidRDefault="00217AB2" w:rsidP="004D4361">
      <w:pPr>
        <w:pStyle w:val="ListParagraph"/>
        <w:numPr>
          <w:ilvl w:val="1"/>
          <w:numId w:val="12"/>
        </w:numPr>
        <w:spacing w:line="360" w:lineRule="auto"/>
        <w:rPr>
          <w:rStyle w:val="Heading2Char"/>
          <w:sz w:val="22"/>
          <w:szCs w:val="22"/>
          <w:lang w:val="tr-TR"/>
        </w:rPr>
      </w:pPr>
      <w:bookmarkStart w:id="19" w:name="_Toc156210439"/>
      <w:r w:rsidRPr="00CF336B">
        <w:rPr>
          <w:rStyle w:val="Heading2Char"/>
          <w:sz w:val="22"/>
          <w:szCs w:val="22"/>
          <w:lang w:val="tr-TR"/>
        </w:rPr>
        <w:t xml:space="preserve">Kapasite Mekanizması Ödemelerinde Kullanılan </w:t>
      </w:r>
      <w:proofErr w:type="gramStart"/>
      <w:r w:rsidRPr="00CF336B">
        <w:rPr>
          <w:rStyle w:val="Heading2Char"/>
          <w:sz w:val="22"/>
          <w:szCs w:val="22"/>
          <w:lang w:val="tr-TR"/>
        </w:rPr>
        <w:t>M</w:t>
      </w:r>
      <w:r w:rsidR="00207326" w:rsidRPr="00CF336B">
        <w:rPr>
          <w:rStyle w:val="Heading2Char"/>
          <w:sz w:val="22"/>
          <w:szCs w:val="22"/>
          <w:lang w:val="tr-TR"/>
        </w:rPr>
        <w:t>etot</w:t>
      </w:r>
      <w:r w:rsidR="002F2A85">
        <w:rPr>
          <w:rStyle w:val="Heading2Char"/>
          <w:sz w:val="22"/>
          <w:szCs w:val="22"/>
          <w:lang w:val="tr-TR"/>
        </w:rPr>
        <w:t xml:space="preserve"> </w:t>
      </w:r>
      <w:r w:rsidRPr="00CF336B">
        <w:rPr>
          <w:rStyle w:val="Heading2Char"/>
          <w:sz w:val="22"/>
          <w:szCs w:val="22"/>
          <w:lang w:val="tr-TR"/>
        </w:rPr>
        <w:t>-</w:t>
      </w:r>
      <w:proofErr w:type="gramEnd"/>
      <w:r w:rsidR="002F2A85">
        <w:rPr>
          <w:rStyle w:val="Heading2Char"/>
          <w:sz w:val="22"/>
          <w:szCs w:val="22"/>
          <w:lang w:val="tr-TR"/>
        </w:rPr>
        <w:t xml:space="preserve"> </w:t>
      </w:r>
      <w:r w:rsidRPr="00CF336B">
        <w:rPr>
          <w:rStyle w:val="Heading2Char"/>
          <w:sz w:val="22"/>
          <w:szCs w:val="22"/>
          <w:lang w:val="tr-TR"/>
        </w:rPr>
        <w:t>3</w:t>
      </w:r>
      <w:bookmarkEnd w:id="19"/>
    </w:p>
    <w:p w14:paraId="70E5D2C0" w14:textId="684697D3" w:rsidR="00217AB2" w:rsidRPr="00CF336B" w:rsidRDefault="00217AB2" w:rsidP="004D4361">
      <w:pPr>
        <w:spacing w:line="360" w:lineRule="auto"/>
        <w:jc w:val="both"/>
        <w:rPr>
          <w:lang w:val="tr-TR"/>
        </w:rPr>
      </w:pPr>
      <w:r w:rsidRPr="00CF336B">
        <w:rPr>
          <w:lang w:val="tr-TR"/>
        </w:rPr>
        <w:t xml:space="preserve">Kapasite mekanizması ödemelerinin hesaplanma </w:t>
      </w:r>
      <w:r w:rsidR="00207326" w:rsidRPr="00CF336B">
        <w:rPr>
          <w:lang w:val="tr-TR"/>
        </w:rPr>
        <w:t>metodolojisi</w:t>
      </w:r>
      <w:r w:rsidRPr="00CF336B">
        <w:rPr>
          <w:lang w:val="tr-TR"/>
        </w:rPr>
        <w:t xml:space="preserve"> günümüzdeki halini 18 Aralık 2021 tarihli </w:t>
      </w:r>
      <w:r w:rsidR="00752569" w:rsidRPr="00CF336B">
        <w:rPr>
          <w:lang w:val="tr-TR"/>
        </w:rPr>
        <w:t>Resmî</w:t>
      </w:r>
      <w:r w:rsidRPr="00CF336B">
        <w:rPr>
          <w:lang w:val="tr-TR"/>
        </w:rPr>
        <w:t xml:space="preserve"> </w:t>
      </w:r>
      <w:proofErr w:type="spellStart"/>
      <w:r w:rsidRPr="00CF336B">
        <w:rPr>
          <w:lang w:val="tr-TR"/>
        </w:rPr>
        <w:t>Gazete’de</w:t>
      </w:r>
      <w:proofErr w:type="spellEnd"/>
      <w:r w:rsidRPr="00CF336B">
        <w:rPr>
          <w:lang w:val="tr-TR"/>
        </w:rPr>
        <w:t xml:space="preserve"> yayımlanan </w:t>
      </w:r>
      <w:r w:rsidR="00862F85" w:rsidRPr="00CF336B">
        <w:rPr>
          <w:lang w:val="tr-TR"/>
        </w:rPr>
        <w:t>yönetmelik</w:t>
      </w:r>
      <w:r w:rsidRPr="00CF336B">
        <w:rPr>
          <w:lang w:val="tr-TR"/>
        </w:rPr>
        <w:t xml:space="preserve"> ile almıştır. </w:t>
      </w:r>
      <w:r w:rsidR="00C03D3A" w:rsidRPr="00CF336B">
        <w:rPr>
          <w:lang w:val="tr-TR"/>
        </w:rPr>
        <w:t xml:space="preserve">Bu düzenleme ile toplam bütçe ikiye bölünmüş ve her </w:t>
      </w:r>
      <w:proofErr w:type="gramStart"/>
      <w:r w:rsidR="00C03D3A" w:rsidRPr="00CF336B">
        <w:rPr>
          <w:lang w:val="tr-TR"/>
        </w:rPr>
        <w:t>%50</w:t>
      </w:r>
      <w:proofErr w:type="gramEnd"/>
      <w:r w:rsidR="00C03D3A" w:rsidRPr="00CF336B">
        <w:rPr>
          <w:lang w:val="tr-TR"/>
        </w:rPr>
        <w:t xml:space="preserve">’lik pay ilgili formüle göre dağıtılmaya başlamıştır. İlk </w:t>
      </w:r>
      <w:proofErr w:type="gramStart"/>
      <w:r w:rsidR="00C03D3A" w:rsidRPr="00CF336B">
        <w:rPr>
          <w:lang w:val="tr-TR"/>
        </w:rPr>
        <w:t>%50</w:t>
      </w:r>
      <w:proofErr w:type="gramEnd"/>
      <w:r w:rsidR="00C03D3A" w:rsidRPr="00CF336B">
        <w:rPr>
          <w:lang w:val="tr-TR"/>
        </w:rPr>
        <w:t>’lik kısımda santraller emre amade kurulu güç ve sabit maliyet bileşenine göre ödeme almaktayken geri kalan %50’lik kısım santrallerin sabit ve değişken maliyet bileşenleri ile piyasa takas fiyatıyla ilişkili olarak dağıtılmaktadır.</w:t>
      </w:r>
    </w:p>
    <w:p w14:paraId="15B5A8D7" w14:textId="000F46E0" w:rsidR="003834A1" w:rsidRPr="00CF336B" w:rsidRDefault="00C03D3A" w:rsidP="004D4361">
      <w:pPr>
        <w:pStyle w:val="ListParagraph"/>
        <w:numPr>
          <w:ilvl w:val="0"/>
          <w:numId w:val="5"/>
        </w:numPr>
        <w:spacing w:line="360" w:lineRule="auto"/>
        <w:rPr>
          <w:rStyle w:val="Heading2Char"/>
          <w:rFonts w:asciiTheme="minorHAnsi" w:eastAsiaTheme="minorHAnsi" w:hAnsiTheme="minorHAnsi" w:cstheme="minorBidi"/>
          <w:b w:val="0"/>
          <w:sz w:val="22"/>
          <w:szCs w:val="22"/>
          <w:lang w:val="tr-TR"/>
        </w:rPr>
      </w:pPr>
      <w:r w:rsidRPr="00CF336B">
        <w:rPr>
          <w:lang w:val="tr-TR"/>
        </w:rPr>
        <w:t>Kapasite</w:t>
      </w:r>
      <w:r w:rsidRPr="00CF336B">
        <w:rPr>
          <w:rStyle w:val="Heading2Char"/>
          <w:rFonts w:asciiTheme="minorHAnsi" w:hAnsiTheme="minorHAnsi" w:cstheme="minorHAnsi"/>
          <w:b w:val="0"/>
          <w:bCs/>
          <w:sz w:val="22"/>
          <w:szCs w:val="22"/>
          <w:lang w:val="tr-TR"/>
        </w:rPr>
        <w:t xml:space="preserve"> ödemelerine esas bir fatura dönemindeki bütçenin yüzde ellisi aşağıdaki formüllere göre ödenmektedir.</w:t>
      </w:r>
    </w:p>
    <w:p w14:paraId="52730BF2" w14:textId="77777777" w:rsidR="00C03D3A" w:rsidRPr="00CF336B" w:rsidRDefault="00C03D3A" w:rsidP="004D4361">
      <w:pPr>
        <w:pStyle w:val="ListParagraph"/>
        <w:spacing w:line="360" w:lineRule="auto"/>
        <w:rPr>
          <w:rStyle w:val="Heading2Char"/>
          <w:rFonts w:asciiTheme="minorHAnsi" w:eastAsiaTheme="minorHAnsi" w:hAnsiTheme="minorHAnsi" w:cstheme="minorBidi"/>
          <w:b w:val="0"/>
          <w:sz w:val="22"/>
          <w:szCs w:val="22"/>
          <w:lang w:val="tr-TR"/>
        </w:rPr>
      </w:pPr>
    </w:p>
    <w:p w14:paraId="303DCD25" w14:textId="62324C64" w:rsidR="00C03D3A" w:rsidRPr="002F2A85" w:rsidRDefault="00C03D3A" w:rsidP="004D4361">
      <w:pPr>
        <w:pStyle w:val="ListParagraph"/>
        <w:spacing w:line="360" w:lineRule="auto"/>
        <w:rPr>
          <w:rFonts w:eastAsiaTheme="minorEastAsia"/>
          <w:b/>
          <w:lang w:val="tr-TR"/>
        </w:rPr>
      </w:pPr>
      <m:oMathPara>
        <m:oMath>
          <m:r>
            <m:rPr>
              <m:sty m:val="bi"/>
            </m:rPr>
            <w:rPr>
              <w:rFonts w:ascii="Cambria Math" w:hAnsi="Cambria Math"/>
              <w:vertAlign w:val="subscript"/>
              <w:lang w:val="tr-TR"/>
            </w:rPr>
            <m:t>K</m:t>
          </m:r>
          <m:r>
            <m:rPr>
              <m:sty m:val="b"/>
            </m:rPr>
            <w:rPr>
              <w:rFonts w:ascii="Cambria Math" w:hAnsi="Cambria Math"/>
              <w:vertAlign w:val="subscript"/>
              <w:lang w:val="tr-TR"/>
            </w:rPr>
            <m:t>apasite Ödeme Oranı=</m:t>
          </m:r>
          <m:f>
            <m:fPr>
              <m:ctrlPr>
                <w:rPr>
                  <w:rFonts w:ascii="Cambria Math" w:hAnsi="Cambria Math"/>
                  <w:b/>
                  <w:lang w:val="tr-TR"/>
                </w:rPr>
              </m:ctrlPr>
            </m:fPr>
            <m:num>
              <m:r>
                <m:rPr>
                  <m:sty m:val="b"/>
                </m:rPr>
                <w:rPr>
                  <w:rFonts w:ascii="Cambria Math" w:hAnsi="Cambria Math"/>
                  <w:lang w:val="tr-TR"/>
                </w:rPr>
                <m:t>Sabit Maliyet Bileşeni*Kurulu Güç*Kapasite Kullanım Oranı</m:t>
              </m:r>
            </m:num>
            <m:den>
              <m:nary>
                <m:naryPr>
                  <m:chr m:val="∑"/>
                  <m:limLoc m:val="undOvr"/>
                  <m:subHide m:val="1"/>
                  <m:supHide m:val="1"/>
                  <m:ctrlPr>
                    <w:rPr>
                      <w:rFonts w:ascii="Cambria Math" w:hAnsi="Cambria Math"/>
                      <w:b/>
                      <w:lang w:val="tr-TR"/>
                    </w:rPr>
                  </m:ctrlPr>
                </m:naryPr>
                <m:sub/>
                <m:sup/>
                <m:e>
                  <m:r>
                    <m:rPr>
                      <m:sty m:val="b"/>
                    </m:rPr>
                    <w:rPr>
                      <w:rFonts w:ascii="Cambria Math" w:hAnsi="Cambria Math"/>
                      <w:lang w:val="tr-TR"/>
                    </w:rPr>
                    <m:t>Sabit Maliyet Bileşeni*Kurulu Güç*Kapasite Kullanım Oranı</m:t>
                  </m:r>
                </m:e>
              </m:nary>
            </m:den>
          </m:f>
        </m:oMath>
      </m:oMathPara>
    </w:p>
    <w:p w14:paraId="5785E4FA" w14:textId="77777777" w:rsidR="00C03D3A" w:rsidRPr="002F2A85" w:rsidRDefault="00C03D3A" w:rsidP="004D4361">
      <w:pPr>
        <w:pStyle w:val="ListParagraph"/>
        <w:spacing w:line="360" w:lineRule="auto"/>
        <w:rPr>
          <w:rFonts w:eastAsiaTheme="minorEastAsia"/>
          <w:b/>
          <w:lang w:val="tr-TR"/>
        </w:rPr>
      </w:pPr>
    </w:p>
    <w:p w14:paraId="4DF3C39B" w14:textId="306031EE" w:rsidR="00C03D3A" w:rsidRPr="002F2A85" w:rsidRDefault="00C03D3A" w:rsidP="004D4361">
      <w:pPr>
        <w:pStyle w:val="ListParagraph"/>
        <w:spacing w:line="360" w:lineRule="auto"/>
        <w:rPr>
          <w:lang w:val="tr-TR"/>
        </w:rPr>
      </w:pPr>
      <m:oMathPara>
        <m:oMath>
          <m:r>
            <m:rPr>
              <m:sty m:val="b"/>
            </m:rPr>
            <w:rPr>
              <w:rFonts w:ascii="Cambria Math" w:hAnsi="Cambria Math"/>
              <w:vertAlign w:val="subscript"/>
              <w:lang w:val="tr-TR"/>
            </w:rPr>
            <m:t xml:space="preserve">Kapasite Ödemesi=Kapasite Ödeme Oranı*Bütçe* </m:t>
          </m:r>
          <m:f>
            <m:fPr>
              <m:ctrlPr>
                <w:rPr>
                  <w:rFonts w:ascii="Cambria Math" w:hAnsi="Cambria Math"/>
                  <w:b/>
                  <w:vertAlign w:val="subscript"/>
                  <w:lang w:val="tr-TR"/>
                </w:rPr>
              </m:ctrlPr>
            </m:fPr>
            <m:num>
              <m:r>
                <m:rPr>
                  <m:sty m:val="b"/>
                </m:rPr>
                <w:rPr>
                  <w:rFonts w:ascii="Cambria Math" w:hAnsi="Cambria Math"/>
                  <w:vertAlign w:val="subscript"/>
                  <w:lang w:val="tr-TR"/>
                </w:rPr>
                <m:t>Santral Kurulu Gücü</m:t>
              </m:r>
            </m:num>
            <m:den>
              <m:r>
                <m:rPr>
                  <m:sty m:val="b"/>
                </m:rPr>
                <w:rPr>
                  <w:rFonts w:ascii="Cambria Math" w:hAnsi="Cambria Math"/>
                  <w:vertAlign w:val="subscript"/>
                  <w:lang w:val="tr-TR"/>
                </w:rPr>
                <m:t>Aynı Kaynak Türündeki Tüm Santrallerin Kurulu Gücü</m:t>
              </m:r>
            </m:den>
          </m:f>
        </m:oMath>
      </m:oMathPara>
    </w:p>
    <w:p w14:paraId="77A5D734" w14:textId="77777777" w:rsidR="00C03D3A" w:rsidRPr="002F2A85" w:rsidRDefault="00C03D3A" w:rsidP="004D4361">
      <w:pPr>
        <w:pStyle w:val="ListParagraph"/>
        <w:spacing w:line="360" w:lineRule="auto"/>
        <w:rPr>
          <w:lang w:val="tr-TR"/>
        </w:rPr>
      </w:pPr>
    </w:p>
    <w:p w14:paraId="5BD02CD7" w14:textId="3254F782" w:rsidR="000E04CB" w:rsidRPr="00CF336B" w:rsidRDefault="00C03D3A" w:rsidP="004D4361">
      <w:pPr>
        <w:pStyle w:val="ListParagraph"/>
        <w:numPr>
          <w:ilvl w:val="0"/>
          <w:numId w:val="5"/>
        </w:numPr>
        <w:spacing w:line="360" w:lineRule="auto"/>
        <w:rPr>
          <w:lang w:val="tr-TR"/>
        </w:rPr>
      </w:pPr>
      <w:r w:rsidRPr="00CF336B">
        <w:rPr>
          <w:lang w:val="tr-TR"/>
        </w:rPr>
        <w:t xml:space="preserve">Geri kalan </w:t>
      </w:r>
      <w:proofErr w:type="gramStart"/>
      <w:r w:rsidRPr="00CF336B">
        <w:rPr>
          <w:lang w:val="tr-TR"/>
        </w:rPr>
        <w:t>%50</w:t>
      </w:r>
      <w:proofErr w:type="gramEnd"/>
      <w:r w:rsidRPr="00CF336B">
        <w:rPr>
          <w:lang w:val="tr-TR"/>
        </w:rPr>
        <w:t>’lik kısım yerli kaynaklara öncelik verilmek suretiyle aşağıdaki formüle göre ödenmektedir:</w:t>
      </w:r>
    </w:p>
    <w:p w14:paraId="00F2FCC5" w14:textId="77777777" w:rsidR="00C03D3A" w:rsidRPr="00CF336B" w:rsidRDefault="00C03D3A" w:rsidP="004D4361">
      <w:pPr>
        <w:pStyle w:val="ListParagraph"/>
        <w:spacing w:line="360" w:lineRule="auto"/>
        <w:rPr>
          <w:lang w:val="tr-TR"/>
        </w:rPr>
      </w:pPr>
    </w:p>
    <w:p w14:paraId="0760C4E7" w14:textId="77777777" w:rsidR="00C03D3A" w:rsidRPr="00CF336B" w:rsidRDefault="00C03D3A" w:rsidP="004D4361">
      <w:pPr>
        <w:pStyle w:val="ListParagraph"/>
        <w:spacing w:line="360" w:lineRule="auto"/>
        <w:rPr>
          <w:rFonts w:eastAsiaTheme="minorEastAsia"/>
          <w:b/>
          <w:iCs/>
          <w:lang w:val="tr-TR"/>
        </w:rPr>
      </w:pPr>
      <m:oMathPara>
        <m:oMathParaPr>
          <m:jc m:val="left"/>
        </m:oMathParaPr>
        <m:oMath>
          <m:r>
            <m:rPr>
              <m:sty m:val="bi"/>
            </m:rPr>
            <w:rPr>
              <w:rFonts w:ascii="Cambria Math" w:hAnsi="Cambria Math"/>
              <w:vertAlign w:val="subscript"/>
              <w:lang w:val="tr-TR"/>
            </w:rPr>
            <m:t>K</m:t>
          </m:r>
          <m:r>
            <m:rPr>
              <m:sty m:val="b"/>
            </m:rPr>
            <w:rPr>
              <w:rFonts w:ascii="Cambria Math" w:hAnsi="Cambria Math"/>
              <w:vertAlign w:val="subscript"/>
              <w:lang w:val="tr-TR"/>
            </w:rPr>
            <m:t>apasite Ödemesi=</m:t>
          </m:r>
          <m:r>
            <m:rPr>
              <m:sty m:val="b"/>
            </m:rPr>
            <w:rPr>
              <w:rFonts w:ascii="Cambria Math" w:hAnsi="Cambria Math"/>
              <w:lang w:val="tr-TR"/>
            </w:rPr>
            <m:t>Kapasite Kullanım Oranı*</m:t>
          </m:r>
          <m:d>
            <m:dPr>
              <m:begChr m:val="["/>
              <m:endChr m:val="]"/>
              <m:ctrlPr>
                <w:rPr>
                  <w:rFonts w:ascii="Cambria Math" w:hAnsi="Cambria Math"/>
                  <w:b/>
                  <w:iCs/>
                  <w:lang w:val="tr-TR"/>
                </w:rPr>
              </m:ctrlPr>
            </m:dPr>
            <m:e>
              <m:nary>
                <m:naryPr>
                  <m:chr m:val="∑"/>
                  <m:limLoc m:val="undOvr"/>
                  <m:subHide m:val="1"/>
                  <m:supHide m:val="1"/>
                  <m:ctrlPr>
                    <w:rPr>
                      <w:rFonts w:ascii="Cambria Math" w:hAnsi="Cambria Math"/>
                      <w:b/>
                      <w:iCs/>
                      <w:lang w:val="tr-TR"/>
                    </w:rPr>
                  </m:ctrlPr>
                </m:naryPr>
                <m:sub/>
                <m:sup/>
                <m:e>
                  <m:r>
                    <m:rPr>
                      <m:sty m:val="b"/>
                    </m:rPr>
                    <w:rPr>
                      <w:rFonts w:ascii="Cambria Math" w:hAnsi="Cambria Math"/>
                      <w:lang w:val="tr-TR"/>
                    </w:rPr>
                    <m:t xml:space="preserve">Kurulu Güç*Sabit Maliyet Bileşeni+ </m:t>
                  </m:r>
                  <m:nary>
                    <m:naryPr>
                      <m:chr m:val="∑"/>
                      <m:limLoc m:val="undOvr"/>
                      <m:subHide m:val="1"/>
                      <m:supHide m:val="1"/>
                      <m:ctrlPr>
                        <w:rPr>
                          <w:rFonts w:ascii="Cambria Math" w:hAnsi="Cambria Math"/>
                          <w:b/>
                          <w:iCs/>
                          <w:lang w:val="tr-TR"/>
                        </w:rPr>
                      </m:ctrlPr>
                    </m:naryPr>
                    <m:sub/>
                    <m:sup/>
                    <m:e>
                      <m:r>
                        <m:rPr>
                          <m:sty m:val="b"/>
                        </m:rPr>
                        <w:rPr>
                          <w:rFonts w:ascii="Cambria Math" w:hAnsi="Cambria Math"/>
                          <w:lang w:val="tr-TR"/>
                        </w:rPr>
                        <m:t xml:space="preserve">Kurulu Güç* </m:t>
                      </m:r>
                      <m:d>
                        <m:dPr>
                          <m:ctrlPr>
                            <w:rPr>
                              <w:rFonts w:ascii="Cambria Math" w:hAnsi="Cambria Math"/>
                              <w:b/>
                              <w:iCs/>
                              <w:lang w:val="tr-TR"/>
                            </w:rPr>
                          </m:ctrlPr>
                        </m:dPr>
                        <m:e>
                          <m:r>
                            <m:rPr>
                              <m:sty m:val="b"/>
                            </m:rPr>
                            <w:rPr>
                              <w:rFonts w:ascii="Cambria Math" w:hAnsi="Cambria Math"/>
                              <w:lang w:val="tr-TR"/>
                            </w:rPr>
                            <m:t>Toplam Maliyet Bileşeni-Piyasa Takas Fiyatı</m:t>
                          </m:r>
                        </m:e>
                      </m:d>
                    </m:e>
                  </m:nary>
                </m:e>
              </m:nary>
            </m:e>
          </m:d>
        </m:oMath>
      </m:oMathPara>
    </w:p>
    <w:p w14:paraId="02E90D2C" w14:textId="77777777" w:rsidR="00C92EC9" w:rsidRPr="00CF336B" w:rsidRDefault="00C92EC9" w:rsidP="004D4361">
      <w:pPr>
        <w:spacing w:line="360" w:lineRule="auto"/>
        <w:rPr>
          <w:lang w:val="tr-TR"/>
        </w:rPr>
      </w:pPr>
    </w:p>
    <w:p w14:paraId="3597A27F" w14:textId="35500831" w:rsidR="00C92EC9" w:rsidRPr="00CF336B" w:rsidRDefault="00C92EC9" w:rsidP="004D4361">
      <w:pPr>
        <w:spacing w:line="360" w:lineRule="auto"/>
        <w:jc w:val="both"/>
        <w:rPr>
          <w:lang w:val="tr-TR"/>
        </w:rPr>
      </w:pPr>
      <w:r w:rsidRPr="00CF336B">
        <w:rPr>
          <w:lang w:val="tr-TR"/>
        </w:rPr>
        <w:t>Yönetmelikte tanımlanan sabit maliyet bileşeni ve değişken maliyet bileşeninin güncellemesinde dikkate alınacak formüller Enerji Piyasası Düzenleme Kurulu’nun 17/02/2022 tarihli ve 10792-1 sayılı kararı ile aşağıdaki gibi belirlenmiştir:</w:t>
      </w:r>
    </w:p>
    <w:p w14:paraId="6C52DA84" w14:textId="279D9ABF" w:rsidR="000E04CB" w:rsidRPr="00CF336B" w:rsidRDefault="008049C2" w:rsidP="004D4361">
      <w:pPr>
        <w:spacing w:line="360" w:lineRule="auto"/>
        <w:rPr>
          <w:lang w:val="tr-TR"/>
        </w:rPr>
      </w:pPr>
      <m:oMathPara>
        <m:oMathParaPr>
          <m:jc m:val="centerGroup"/>
        </m:oMathParaPr>
        <m:oMath>
          <m:sSub>
            <m:sSubPr>
              <m:ctrlPr>
                <w:rPr>
                  <w:rFonts w:ascii="Cambria Math" w:hAnsi="Cambria Math"/>
                  <w:b/>
                  <w:bCs/>
                  <w:i/>
                  <w:iCs/>
                  <w:lang w:val="tr-TR"/>
                </w:rPr>
              </m:ctrlPr>
            </m:sSubPr>
            <m:e>
              <m:r>
                <m:rPr>
                  <m:sty m:val="bi"/>
                </m:rPr>
                <w:rPr>
                  <w:rFonts w:ascii="Cambria Math" w:hAnsi="Cambria Math"/>
                  <w:lang w:val="tr-TR"/>
                </w:rPr>
                <m:t>Doğal Gaz için SMB</m:t>
              </m:r>
            </m:e>
            <m:sub>
              <m:r>
                <m:rPr>
                  <m:sty m:val="bi"/>
                </m:rPr>
                <w:rPr>
                  <w:rFonts w:ascii="Cambria Math" w:hAnsi="Cambria Math"/>
                  <w:lang w:val="tr-TR"/>
                </w:rPr>
                <m:t>t</m:t>
              </m:r>
            </m:sub>
          </m:sSub>
          <m:r>
            <m:rPr>
              <m:sty m:val="bi"/>
            </m:rPr>
            <w:rPr>
              <w:rFonts w:ascii="Cambria Math" w:hAnsi="Cambria Math"/>
              <w:vertAlign w:val="subscript"/>
              <w:lang w:val="tr-TR"/>
            </w:rPr>
            <m:t>=</m:t>
          </m:r>
          <m:sSub>
            <m:sSubPr>
              <m:ctrlPr>
                <w:rPr>
                  <w:rFonts w:ascii="Cambria Math" w:hAnsi="Cambria Math"/>
                  <w:b/>
                  <w:bCs/>
                  <w:i/>
                  <w:iCs/>
                  <w:lang w:val="tr-TR"/>
                </w:rPr>
              </m:ctrlPr>
            </m:sSubPr>
            <m:e>
              <m:r>
                <m:rPr>
                  <m:sty m:val="bi"/>
                </m:rPr>
                <w:rPr>
                  <w:rFonts w:ascii="Cambria Math" w:hAnsi="Cambria Math"/>
                  <w:lang w:val="tr-TR"/>
                </w:rPr>
                <m:t>SMB</m:t>
              </m:r>
            </m:e>
            <m:sub>
              <m:r>
                <m:rPr>
                  <m:sty m:val="bi"/>
                </m:rPr>
                <w:rPr>
                  <w:rFonts w:ascii="Cambria Math" w:hAnsi="Cambria Math"/>
                  <w:lang w:val="tr-TR"/>
                </w:rPr>
                <m:t>0</m:t>
              </m:r>
            </m:sub>
          </m:sSub>
          <m:r>
            <m:rPr>
              <m:sty m:val="bi"/>
            </m:rPr>
            <w:rPr>
              <w:rFonts w:ascii="Cambria Math" w:hAnsi="Cambria Math"/>
              <w:lang w:val="tr-TR"/>
            </w:rPr>
            <m:t>*(0,21*</m:t>
          </m:r>
          <m:d>
            <m:dPr>
              <m:ctrlPr>
                <w:rPr>
                  <w:rFonts w:ascii="Cambria Math" w:hAnsi="Cambria Math"/>
                  <w:b/>
                  <w:bCs/>
                  <w:i/>
                  <w:iCs/>
                  <w:lang w:val="tr-TR"/>
                </w:rPr>
              </m:ctrlPr>
            </m:dPr>
            <m:e>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ÜFE</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ÜFE</m:t>
                      </m:r>
                    </m:e>
                    <m:sub>
                      <m:r>
                        <m:rPr>
                          <m:sty m:val="bi"/>
                        </m:rPr>
                        <w:rPr>
                          <w:rFonts w:ascii="Cambria Math" w:hAnsi="Cambria Math"/>
                          <w:lang w:val="tr-TR"/>
                        </w:rPr>
                        <m:t>0</m:t>
                      </m:r>
                    </m:sub>
                  </m:sSub>
                </m:den>
              </m:f>
            </m:e>
          </m:d>
          <m:r>
            <m:rPr>
              <m:sty m:val="bi"/>
            </m:rPr>
            <w:rPr>
              <w:rFonts w:ascii="Cambria Math" w:hAnsi="Cambria Math"/>
              <w:lang w:val="tr-TR"/>
            </w:rPr>
            <m:t>+0,72*</m:t>
          </m:r>
          <m:d>
            <m:dPr>
              <m:ctrlPr>
                <w:rPr>
                  <w:rFonts w:ascii="Cambria Math" w:hAnsi="Cambria Math"/>
                  <w:b/>
                  <w:bCs/>
                  <w:i/>
                  <w:iCs/>
                  <w:lang w:val="tr-TR"/>
                </w:rPr>
              </m:ctrlPr>
            </m:dPr>
            <m:e>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Kur</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Kur</m:t>
                      </m:r>
                    </m:e>
                    <m:sub>
                      <m:r>
                        <m:rPr>
                          <m:sty m:val="bi"/>
                        </m:rPr>
                        <w:rPr>
                          <w:rFonts w:ascii="Cambria Math" w:hAnsi="Cambria Math"/>
                          <w:lang w:val="tr-TR"/>
                        </w:rPr>
                        <m:t>0</m:t>
                      </m:r>
                    </m:sub>
                  </m:sSub>
                </m:den>
              </m:f>
            </m:e>
          </m:d>
          <m:r>
            <m:rPr>
              <m:sty m:val="bi"/>
            </m:rPr>
            <w:rPr>
              <w:rFonts w:ascii="Cambria Math" w:hAnsi="Cambria Math"/>
              <w:lang w:val="tr-TR"/>
            </w:rPr>
            <m:t>+0,07*(</m:t>
          </m:r>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Sabit İletim Maliyeti</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Sabit İletim Maliyeti</m:t>
                  </m:r>
                </m:e>
                <m:sub>
                  <m:r>
                    <m:rPr>
                      <m:sty m:val="bi"/>
                    </m:rPr>
                    <w:rPr>
                      <w:rFonts w:ascii="Cambria Math" w:hAnsi="Cambria Math"/>
                      <w:lang w:val="tr-TR"/>
                    </w:rPr>
                    <m:t>0</m:t>
                  </m:r>
                </m:sub>
              </m:sSub>
            </m:den>
          </m:f>
          <m:r>
            <m:rPr>
              <m:sty m:val="bi"/>
            </m:rPr>
            <w:rPr>
              <w:rFonts w:ascii="Cambria Math" w:hAnsi="Cambria Math"/>
              <w:lang w:val="tr-TR"/>
            </w:rPr>
            <m:t>)</m:t>
          </m:r>
        </m:oMath>
      </m:oMathPara>
    </w:p>
    <w:p w14:paraId="4195FCA1" w14:textId="2C7458E6" w:rsidR="000E04CB" w:rsidRPr="00CF336B" w:rsidRDefault="008049C2" w:rsidP="004D4361">
      <w:pPr>
        <w:spacing w:line="360" w:lineRule="auto"/>
        <w:rPr>
          <w:rFonts w:eastAsiaTheme="minorEastAsia"/>
          <w:b/>
          <w:lang w:val="tr-TR"/>
        </w:rPr>
      </w:pPr>
      <m:oMathPara>
        <m:oMathParaPr>
          <m:jc m:val="centerGroup"/>
        </m:oMathParaPr>
        <m:oMath>
          <m:sSub>
            <m:sSubPr>
              <m:ctrlPr>
                <w:rPr>
                  <w:rFonts w:ascii="Cambria Math" w:hAnsi="Cambria Math"/>
                  <w:b/>
                  <w:bCs/>
                  <w:i/>
                  <w:iCs/>
                  <w:lang w:val="tr-TR"/>
                </w:rPr>
              </m:ctrlPr>
            </m:sSubPr>
            <m:e>
              <m:r>
                <m:rPr>
                  <m:sty m:val="bi"/>
                </m:rPr>
                <w:rPr>
                  <w:rFonts w:ascii="Cambria Math" w:hAnsi="Cambria Math"/>
                  <w:lang w:val="tr-TR"/>
                </w:rPr>
                <m:t>Yerli Kömür için SMB</m:t>
              </m:r>
            </m:e>
            <m:sub>
              <m:r>
                <m:rPr>
                  <m:sty m:val="bi"/>
                </m:rPr>
                <w:rPr>
                  <w:rFonts w:ascii="Cambria Math" w:hAnsi="Cambria Math"/>
                  <w:lang w:val="tr-TR"/>
                </w:rPr>
                <m:t>t</m:t>
              </m:r>
            </m:sub>
          </m:sSub>
          <m:r>
            <m:rPr>
              <m:sty m:val="bi"/>
            </m:rPr>
            <w:rPr>
              <w:rFonts w:ascii="Cambria Math" w:hAnsi="Cambria Math"/>
              <w:vertAlign w:val="subscript"/>
              <w:lang w:val="tr-TR"/>
            </w:rPr>
            <m:t>=</m:t>
          </m:r>
          <m:sSub>
            <m:sSubPr>
              <m:ctrlPr>
                <w:rPr>
                  <w:rFonts w:ascii="Cambria Math" w:hAnsi="Cambria Math"/>
                  <w:b/>
                  <w:bCs/>
                  <w:i/>
                  <w:iCs/>
                  <w:lang w:val="tr-TR"/>
                </w:rPr>
              </m:ctrlPr>
            </m:sSubPr>
            <m:e>
              <m:r>
                <m:rPr>
                  <m:sty m:val="bi"/>
                </m:rPr>
                <w:rPr>
                  <w:rFonts w:ascii="Cambria Math" w:hAnsi="Cambria Math"/>
                  <w:lang w:val="tr-TR"/>
                </w:rPr>
                <m:t>SMB</m:t>
              </m:r>
            </m:e>
            <m:sub>
              <m:r>
                <m:rPr>
                  <m:sty m:val="bi"/>
                </m:rPr>
                <w:rPr>
                  <w:rFonts w:ascii="Cambria Math" w:hAnsi="Cambria Math"/>
                  <w:lang w:val="tr-TR"/>
                </w:rPr>
                <m:t>0</m:t>
              </m:r>
            </m:sub>
          </m:sSub>
          <m:r>
            <m:rPr>
              <m:sty m:val="bi"/>
            </m:rPr>
            <w:rPr>
              <w:rFonts w:ascii="Cambria Math" w:hAnsi="Cambria Math"/>
              <w:lang w:val="tr-TR"/>
            </w:rPr>
            <m:t>*(0,28*</m:t>
          </m:r>
          <m:d>
            <m:dPr>
              <m:ctrlPr>
                <w:rPr>
                  <w:rFonts w:ascii="Cambria Math" w:hAnsi="Cambria Math"/>
                  <w:b/>
                  <w:bCs/>
                  <w:i/>
                  <w:iCs/>
                  <w:lang w:val="tr-TR"/>
                </w:rPr>
              </m:ctrlPr>
            </m:dPr>
            <m:e>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ÜFE</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ÜFE</m:t>
                      </m:r>
                    </m:e>
                    <m:sub>
                      <m:r>
                        <m:rPr>
                          <m:sty m:val="bi"/>
                        </m:rPr>
                        <w:rPr>
                          <w:rFonts w:ascii="Cambria Math" w:hAnsi="Cambria Math"/>
                          <w:lang w:val="tr-TR"/>
                        </w:rPr>
                        <m:t>0</m:t>
                      </m:r>
                    </m:sub>
                  </m:sSub>
                </m:den>
              </m:f>
            </m:e>
          </m:d>
          <m:r>
            <m:rPr>
              <m:sty m:val="bi"/>
            </m:rPr>
            <w:rPr>
              <w:rFonts w:ascii="Cambria Math" w:hAnsi="Cambria Math"/>
              <w:lang w:val="tr-TR"/>
            </w:rPr>
            <m:t>+0,67*</m:t>
          </m:r>
          <m:d>
            <m:dPr>
              <m:ctrlPr>
                <w:rPr>
                  <w:rFonts w:ascii="Cambria Math" w:hAnsi="Cambria Math"/>
                  <w:b/>
                  <w:bCs/>
                  <w:i/>
                  <w:iCs/>
                  <w:lang w:val="tr-TR"/>
                </w:rPr>
              </m:ctrlPr>
            </m:dPr>
            <m:e>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Kur</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Kur</m:t>
                      </m:r>
                    </m:e>
                    <m:sub>
                      <m:r>
                        <m:rPr>
                          <m:sty m:val="bi"/>
                        </m:rPr>
                        <w:rPr>
                          <w:rFonts w:ascii="Cambria Math" w:hAnsi="Cambria Math"/>
                          <w:lang w:val="tr-TR"/>
                        </w:rPr>
                        <m:t>0</m:t>
                      </m:r>
                    </m:sub>
                  </m:sSub>
                </m:den>
              </m:f>
            </m:e>
          </m:d>
          <m:r>
            <m:rPr>
              <m:sty m:val="bi"/>
            </m:rPr>
            <w:rPr>
              <w:rFonts w:ascii="Cambria Math" w:hAnsi="Cambria Math"/>
              <w:lang w:val="tr-TR"/>
            </w:rPr>
            <m:t>+0,05*(</m:t>
          </m:r>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Sabit İletim Maliyeti</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Sabit İletim Maliyeti</m:t>
                  </m:r>
                </m:e>
                <m:sub>
                  <m:r>
                    <m:rPr>
                      <m:sty m:val="bi"/>
                    </m:rPr>
                    <w:rPr>
                      <w:rFonts w:ascii="Cambria Math" w:hAnsi="Cambria Math"/>
                      <w:lang w:val="tr-TR"/>
                    </w:rPr>
                    <m:t>0</m:t>
                  </m:r>
                </m:sub>
              </m:sSub>
            </m:den>
          </m:f>
          <m:r>
            <m:rPr>
              <m:sty m:val="bi"/>
            </m:rPr>
            <w:rPr>
              <w:rFonts w:ascii="Cambria Math" w:hAnsi="Cambria Math"/>
              <w:lang w:val="tr-TR"/>
            </w:rPr>
            <m:t>)</m:t>
          </m:r>
        </m:oMath>
      </m:oMathPara>
    </w:p>
    <w:p w14:paraId="76958B9E" w14:textId="621A2EB2" w:rsidR="009D210C" w:rsidRPr="009D210C" w:rsidRDefault="008049C2" w:rsidP="004D4361">
      <w:pPr>
        <w:spacing w:line="360" w:lineRule="auto"/>
        <w:rPr>
          <w:lang w:val="tr-TR"/>
        </w:rPr>
      </w:pPr>
      <m:oMathPara>
        <m:oMath>
          <m:sSub>
            <m:sSubPr>
              <m:ctrlPr>
                <w:rPr>
                  <w:rFonts w:ascii="Cambria Math" w:hAnsi="Cambria Math"/>
                  <w:b/>
                  <w:bCs/>
                  <w:i/>
                  <w:iCs/>
                  <w:lang w:val="tr-TR"/>
                </w:rPr>
              </m:ctrlPr>
            </m:sSubPr>
            <m:e>
              <m:r>
                <m:rPr>
                  <m:sty m:val="bi"/>
                </m:rPr>
                <w:rPr>
                  <w:rFonts w:ascii="Cambria Math" w:hAnsi="Cambria Math"/>
                  <w:lang w:val="tr-TR"/>
                </w:rPr>
                <m:t>İthal Kömür için SMB</m:t>
              </m:r>
            </m:e>
            <m:sub>
              <m:r>
                <m:rPr>
                  <m:sty m:val="bi"/>
                </m:rPr>
                <w:rPr>
                  <w:rFonts w:ascii="Cambria Math" w:hAnsi="Cambria Math"/>
                  <w:lang w:val="tr-TR"/>
                </w:rPr>
                <m:t>t</m:t>
              </m:r>
            </m:sub>
          </m:sSub>
          <m:r>
            <m:rPr>
              <m:sty m:val="bi"/>
            </m:rPr>
            <w:rPr>
              <w:rFonts w:ascii="Cambria Math" w:hAnsi="Cambria Math"/>
              <w:vertAlign w:val="subscript"/>
              <w:lang w:val="tr-TR"/>
            </w:rPr>
            <m:t>=</m:t>
          </m:r>
          <m:sSub>
            <m:sSubPr>
              <m:ctrlPr>
                <w:rPr>
                  <w:rFonts w:ascii="Cambria Math" w:hAnsi="Cambria Math"/>
                  <w:b/>
                  <w:bCs/>
                  <w:i/>
                  <w:iCs/>
                  <w:lang w:val="tr-TR"/>
                </w:rPr>
              </m:ctrlPr>
            </m:sSubPr>
            <m:e>
              <m:r>
                <m:rPr>
                  <m:sty m:val="bi"/>
                </m:rPr>
                <w:rPr>
                  <w:rFonts w:ascii="Cambria Math" w:hAnsi="Cambria Math"/>
                  <w:lang w:val="tr-TR"/>
                </w:rPr>
                <m:t>SMB</m:t>
              </m:r>
            </m:e>
            <m:sub>
              <m:r>
                <m:rPr>
                  <m:sty m:val="bi"/>
                </m:rPr>
                <w:rPr>
                  <w:rFonts w:ascii="Cambria Math" w:hAnsi="Cambria Math"/>
                  <w:lang w:val="tr-TR"/>
                </w:rPr>
                <m:t>0</m:t>
              </m:r>
            </m:sub>
          </m:sSub>
          <m:r>
            <m:rPr>
              <m:sty m:val="bi"/>
            </m:rPr>
            <w:rPr>
              <w:rFonts w:ascii="Cambria Math" w:hAnsi="Cambria Math"/>
              <w:lang w:val="tr-TR"/>
            </w:rPr>
            <m:t>*(0,24*</m:t>
          </m:r>
          <m:d>
            <m:dPr>
              <m:ctrlPr>
                <w:rPr>
                  <w:rFonts w:ascii="Cambria Math" w:hAnsi="Cambria Math"/>
                  <w:b/>
                  <w:bCs/>
                  <w:i/>
                  <w:iCs/>
                  <w:lang w:val="tr-TR"/>
                </w:rPr>
              </m:ctrlPr>
            </m:dPr>
            <m:e>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ÜFE</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ÜFE</m:t>
                      </m:r>
                    </m:e>
                    <m:sub>
                      <m:r>
                        <m:rPr>
                          <m:sty m:val="bi"/>
                        </m:rPr>
                        <w:rPr>
                          <w:rFonts w:ascii="Cambria Math" w:hAnsi="Cambria Math"/>
                          <w:lang w:val="tr-TR"/>
                        </w:rPr>
                        <m:t>0</m:t>
                      </m:r>
                    </m:sub>
                  </m:sSub>
                </m:den>
              </m:f>
            </m:e>
          </m:d>
          <m:r>
            <m:rPr>
              <m:sty m:val="bi"/>
            </m:rPr>
            <w:rPr>
              <w:rFonts w:ascii="Cambria Math" w:hAnsi="Cambria Math"/>
              <w:lang w:val="tr-TR"/>
            </w:rPr>
            <m:t>+0,73*</m:t>
          </m:r>
          <m:d>
            <m:dPr>
              <m:ctrlPr>
                <w:rPr>
                  <w:rFonts w:ascii="Cambria Math" w:hAnsi="Cambria Math"/>
                  <w:b/>
                  <w:bCs/>
                  <w:i/>
                  <w:iCs/>
                  <w:lang w:val="tr-TR"/>
                </w:rPr>
              </m:ctrlPr>
            </m:dPr>
            <m:e>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Kur</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Kur</m:t>
                      </m:r>
                    </m:e>
                    <m:sub>
                      <m:r>
                        <m:rPr>
                          <m:sty m:val="bi"/>
                        </m:rPr>
                        <w:rPr>
                          <w:rFonts w:ascii="Cambria Math" w:hAnsi="Cambria Math"/>
                          <w:lang w:val="tr-TR"/>
                        </w:rPr>
                        <m:t>0</m:t>
                      </m:r>
                    </m:sub>
                  </m:sSub>
                </m:den>
              </m:f>
            </m:e>
          </m:d>
          <m:r>
            <m:rPr>
              <m:sty m:val="bi"/>
            </m:rPr>
            <w:rPr>
              <w:rFonts w:ascii="Cambria Math" w:hAnsi="Cambria Math"/>
              <w:lang w:val="tr-TR"/>
            </w:rPr>
            <m:t>+0,03*(</m:t>
          </m:r>
          <m:f>
            <m:fPr>
              <m:ctrlPr>
                <w:rPr>
                  <w:rFonts w:ascii="Cambria Math" w:hAnsi="Cambria Math"/>
                  <w:b/>
                  <w:bCs/>
                  <w:i/>
                  <w:iCs/>
                  <w:lang w:val="tr-TR"/>
                </w:rPr>
              </m:ctrlPr>
            </m:fPr>
            <m:num>
              <m:sSub>
                <m:sSubPr>
                  <m:ctrlPr>
                    <w:rPr>
                      <w:rFonts w:ascii="Cambria Math" w:hAnsi="Cambria Math"/>
                      <w:b/>
                      <w:bCs/>
                      <w:i/>
                      <w:iCs/>
                      <w:lang w:val="tr-TR"/>
                    </w:rPr>
                  </m:ctrlPr>
                </m:sSubPr>
                <m:e>
                  <m:r>
                    <m:rPr>
                      <m:sty m:val="bi"/>
                    </m:rPr>
                    <w:rPr>
                      <w:rFonts w:ascii="Cambria Math" w:hAnsi="Cambria Math"/>
                      <w:lang w:val="tr-TR"/>
                    </w:rPr>
                    <m:t>Sabit İletim Maliyeti</m:t>
                  </m:r>
                </m:e>
                <m:sub>
                  <m:r>
                    <m:rPr>
                      <m:sty m:val="bi"/>
                    </m:rPr>
                    <w:rPr>
                      <w:rFonts w:ascii="Cambria Math" w:hAnsi="Cambria Math"/>
                      <w:lang w:val="tr-TR"/>
                    </w:rPr>
                    <m:t>t</m:t>
                  </m:r>
                </m:sub>
              </m:sSub>
            </m:num>
            <m:den>
              <m:sSub>
                <m:sSubPr>
                  <m:ctrlPr>
                    <w:rPr>
                      <w:rFonts w:ascii="Cambria Math" w:hAnsi="Cambria Math"/>
                      <w:b/>
                      <w:bCs/>
                      <w:i/>
                      <w:iCs/>
                      <w:lang w:val="tr-TR"/>
                    </w:rPr>
                  </m:ctrlPr>
                </m:sSubPr>
                <m:e>
                  <m:r>
                    <m:rPr>
                      <m:sty m:val="bi"/>
                    </m:rPr>
                    <w:rPr>
                      <w:rFonts w:ascii="Cambria Math" w:hAnsi="Cambria Math"/>
                      <w:lang w:val="tr-TR"/>
                    </w:rPr>
                    <m:t>Sabit İletim Maliyeti</m:t>
                  </m:r>
                </m:e>
                <m:sub>
                  <m:r>
                    <m:rPr>
                      <m:sty m:val="bi"/>
                    </m:rPr>
                    <w:rPr>
                      <w:rFonts w:ascii="Cambria Math" w:hAnsi="Cambria Math"/>
                      <w:lang w:val="tr-TR"/>
                    </w:rPr>
                    <m:t>0</m:t>
                  </m:r>
                </m:sub>
              </m:sSub>
            </m:den>
          </m:f>
          <m:r>
            <m:rPr>
              <m:sty m:val="bi"/>
            </m:rPr>
            <w:rPr>
              <w:rFonts w:ascii="Cambria Math" w:hAnsi="Cambria Math"/>
              <w:lang w:val="tr-TR"/>
            </w:rPr>
            <m:t>)</m:t>
          </m:r>
        </m:oMath>
      </m:oMathPara>
    </w:p>
    <w:p w14:paraId="1586660B" w14:textId="59BEA3C5" w:rsidR="00773191" w:rsidRPr="00CF336B" w:rsidRDefault="008049C2" w:rsidP="004D4361">
      <w:pPr>
        <w:spacing w:line="360" w:lineRule="auto"/>
        <w:rPr>
          <w:b/>
          <w:bCs/>
          <w:lang w:val="tr-TR"/>
        </w:rPr>
      </w:pPr>
      <m:oMathPara>
        <m:oMath>
          <m:sSub>
            <m:sSubPr>
              <m:ctrlPr>
                <w:rPr>
                  <w:rFonts w:ascii="Cambria Math" w:hAnsi="Cambria Math"/>
                  <w:b/>
                  <w:bCs/>
                  <w:i/>
                  <w:lang w:val="tr-TR"/>
                </w:rPr>
              </m:ctrlPr>
            </m:sSubPr>
            <m:e>
              <m:r>
                <m:rPr>
                  <m:sty m:val="bi"/>
                </m:rPr>
                <w:rPr>
                  <w:rFonts w:ascii="Cambria Math" w:hAnsi="Cambria Math"/>
                  <w:lang w:val="tr-TR"/>
                </w:rPr>
                <m:t>Doğal Gaz için DMB</m:t>
              </m:r>
            </m:e>
            <m:sub>
              <m:r>
                <m:rPr>
                  <m:sty m:val="bi"/>
                </m:rPr>
                <w:rPr>
                  <w:rFonts w:ascii="Cambria Math" w:hAnsi="Cambria Math"/>
                  <w:lang w:val="tr-TR"/>
                </w:rPr>
                <m:t>t</m:t>
              </m:r>
            </m:sub>
          </m:sSub>
          <m:r>
            <m:rPr>
              <m:sty m:val="bi"/>
            </m:rPr>
            <w:rPr>
              <w:rFonts w:ascii="Cambria Math" w:hAnsi="Cambria Math"/>
              <w:lang w:val="tr-TR"/>
            </w:rPr>
            <m:t>=</m:t>
          </m:r>
          <m:sSub>
            <m:sSubPr>
              <m:ctrlPr>
                <w:rPr>
                  <w:rFonts w:ascii="Cambria Math" w:hAnsi="Cambria Math"/>
                  <w:b/>
                  <w:bCs/>
                  <w:i/>
                  <w:lang w:val="tr-TR"/>
                </w:rPr>
              </m:ctrlPr>
            </m:sSubPr>
            <m:e>
              <m:r>
                <m:rPr>
                  <m:sty m:val="bi"/>
                </m:rPr>
                <w:rPr>
                  <w:rFonts w:ascii="Cambria Math" w:hAnsi="Cambria Math"/>
                  <w:lang w:val="tr-TR"/>
                </w:rPr>
                <m:t>DMB</m:t>
              </m:r>
            </m:e>
            <m:sub>
              <m:r>
                <m:rPr>
                  <m:sty m:val="bi"/>
                </m:rPr>
                <w:rPr>
                  <w:rFonts w:ascii="Cambria Math" w:hAnsi="Cambria Math"/>
                  <w:lang w:val="tr-TR"/>
                </w:rPr>
                <m:t>0</m:t>
              </m:r>
            </m:sub>
          </m:sSub>
          <m:r>
            <m:rPr>
              <m:sty m:val="bi"/>
            </m:rPr>
            <w:rPr>
              <w:rFonts w:ascii="Cambria Math" w:hAnsi="Cambria Math"/>
              <w:lang w:val="tr-TR"/>
            </w:rPr>
            <m:t>*(0,97*</m:t>
          </m:r>
          <m:f>
            <m:fPr>
              <m:ctrlPr>
                <w:rPr>
                  <w:rFonts w:ascii="Cambria Math" w:hAnsi="Cambria Math"/>
                  <w:b/>
                  <w:bCs/>
                  <w:i/>
                  <w:lang w:val="tr-TR"/>
                </w:rPr>
              </m:ctrlPr>
            </m:fPr>
            <m:num>
              <m:sSub>
                <m:sSubPr>
                  <m:ctrlPr>
                    <w:rPr>
                      <w:rFonts w:ascii="Cambria Math" w:hAnsi="Cambria Math"/>
                      <w:b/>
                      <w:bCs/>
                      <w:i/>
                      <w:lang w:val="tr-TR"/>
                    </w:rPr>
                  </m:ctrlPr>
                </m:sSubPr>
                <m:e>
                  <m:r>
                    <m:rPr>
                      <m:sty m:val="bi"/>
                    </m:rPr>
                    <w:rPr>
                      <w:rFonts w:ascii="Cambria Math" w:hAnsi="Cambria Math"/>
                      <w:lang w:val="tr-TR"/>
                    </w:rPr>
                    <m:t>BOTAŞ_Tarifesi</m:t>
                  </m:r>
                </m:e>
                <m:sub>
                  <m:r>
                    <m:rPr>
                      <m:sty m:val="bi"/>
                    </m:rPr>
                    <w:rPr>
                      <w:rFonts w:ascii="Cambria Math" w:hAnsi="Cambria Math"/>
                      <w:lang w:val="tr-TR"/>
                    </w:rPr>
                    <m:t>t</m:t>
                  </m:r>
                </m:sub>
              </m:sSub>
            </m:num>
            <m:den>
              <m:sSub>
                <m:sSubPr>
                  <m:ctrlPr>
                    <w:rPr>
                      <w:rFonts w:ascii="Cambria Math" w:hAnsi="Cambria Math"/>
                      <w:b/>
                      <w:bCs/>
                      <w:i/>
                      <w:lang w:val="tr-TR"/>
                    </w:rPr>
                  </m:ctrlPr>
                </m:sSubPr>
                <m:e>
                  <m:r>
                    <m:rPr>
                      <m:sty m:val="bi"/>
                    </m:rPr>
                    <w:rPr>
                      <w:rFonts w:ascii="Cambria Math" w:hAnsi="Cambria Math"/>
                      <w:lang w:val="tr-TR"/>
                    </w:rPr>
                    <m:t>BOTAŞ_Tarifesi</m:t>
                  </m:r>
                </m:e>
                <m:sub>
                  <m:r>
                    <m:rPr>
                      <m:sty m:val="bi"/>
                    </m:rPr>
                    <w:rPr>
                      <w:rFonts w:ascii="Cambria Math" w:hAnsi="Cambria Math"/>
                      <w:lang w:val="tr-TR"/>
                    </w:rPr>
                    <m:t>0</m:t>
                  </m:r>
                </m:sub>
              </m:sSub>
            </m:den>
          </m:f>
          <m:r>
            <m:rPr>
              <m:sty m:val="bi"/>
            </m:rPr>
            <w:rPr>
              <w:rFonts w:ascii="Cambria Math" w:hAnsi="Cambria Math"/>
              <w:lang w:val="tr-TR"/>
            </w:rPr>
            <m:t>+0,01*</m:t>
          </m:r>
          <m:f>
            <m:fPr>
              <m:ctrlPr>
                <w:rPr>
                  <w:rFonts w:ascii="Cambria Math" w:hAnsi="Cambria Math"/>
                  <w:b/>
                  <w:bCs/>
                  <w:i/>
                  <w:lang w:val="tr-TR"/>
                </w:rPr>
              </m:ctrlPr>
            </m:fPr>
            <m:num>
              <m:sSub>
                <m:sSubPr>
                  <m:ctrlPr>
                    <w:rPr>
                      <w:rFonts w:ascii="Cambria Math" w:hAnsi="Cambria Math"/>
                      <w:b/>
                      <w:bCs/>
                      <w:i/>
                      <w:lang w:val="tr-TR"/>
                    </w:rPr>
                  </m:ctrlPr>
                </m:sSubPr>
                <m:e>
                  <m:r>
                    <m:rPr>
                      <m:sty m:val="bi"/>
                    </m:rPr>
                    <w:rPr>
                      <w:rFonts w:ascii="Cambria Math" w:hAnsi="Cambria Math"/>
                      <w:lang w:val="tr-TR"/>
                    </w:rPr>
                    <m:t>ÖTV</m:t>
                  </m:r>
                </m:e>
                <m:sub>
                  <m:r>
                    <m:rPr>
                      <m:sty m:val="bi"/>
                    </m:rPr>
                    <w:rPr>
                      <w:rFonts w:ascii="Cambria Math" w:hAnsi="Cambria Math"/>
                      <w:lang w:val="tr-TR"/>
                    </w:rPr>
                    <m:t>t</m:t>
                  </m:r>
                </m:sub>
              </m:sSub>
            </m:num>
            <m:den>
              <m:sSub>
                <m:sSubPr>
                  <m:ctrlPr>
                    <w:rPr>
                      <w:rFonts w:ascii="Cambria Math" w:hAnsi="Cambria Math"/>
                      <w:b/>
                      <w:bCs/>
                      <w:i/>
                      <w:lang w:val="tr-TR"/>
                    </w:rPr>
                  </m:ctrlPr>
                </m:sSubPr>
                <m:e>
                  <m:r>
                    <m:rPr>
                      <m:sty m:val="bi"/>
                    </m:rPr>
                    <w:rPr>
                      <w:rFonts w:ascii="Cambria Math" w:hAnsi="Cambria Math"/>
                      <w:lang w:val="tr-TR"/>
                    </w:rPr>
                    <m:t>ÖTV</m:t>
                  </m:r>
                </m:e>
                <m:sub>
                  <m:r>
                    <m:rPr>
                      <m:sty m:val="bi"/>
                    </m:rPr>
                    <w:rPr>
                      <w:rFonts w:ascii="Cambria Math" w:hAnsi="Cambria Math"/>
                      <w:lang w:val="tr-TR"/>
                    </w:rPr>
                    <m:t>0</m:t>
                  </m:r>
                </m:sub>
              </m:sSub>
            </m:den>
          </m:f>
          <m:r>
            <m:rPr>
              <m:sty m:val="bi"/>
            </m:rPr>
            <w:rPr>
              <w:rFonts w:ascii="Cambria Math" w:hAnsi="Cambria Math"/>
              <w:lang w:val="tr-TR"/>
            </w:rPr>
            <m:t>+0,02*</m:t>
          </m:r>
          <m:f>
            <m:fPr>
              <m:ctrlPr>
                <w:rPr>
                  <w:rFonts w:ascii="Cambria Math" w:hAnsi="Cambria Math"/>
                  <w:b/>
                  <w:bCs/>
                  <w:i/>
                  <w:lang w:val="tr-TR"/>
                </w:rPr>
              </m:ctrlPr>
            </m:fPr>
            <m:num>
              <m:sSub>
                <m:sSubPr>
                  <m:ctrlPr>
                    <w:rPr>
                      <w:rFonts w:ascii="Cambria Math" w:hAnsi="Cambria Math"/>
                      <w:b/>
                      <w:bCs/>
                      <w:i/>
                      <w:lang w:val="tr-TR"/>
                    </w:rPr>
                  </m:ctrlPr>
                </m:sSubPr>
                <m:e>
                  <m:r>
                    <m:rPr>
                      <m:sty m:val="bi"/>
                    </m:rPr>
                    <w:rPr>
                      <w:rFonts w:ascii="Cambria Math" w:hAnsi="Cambria Math"/>
                      <w:lang w:val="tr-TR"/>
                    </w:rPr>
                    <m:t>Değişken İletim Maliyeti</m:t>
                  </m:r>
                </m:e>
                <m:sub>
                  <m:r>
                    <m:rPr>
                      <m:sty m:val="bi"/>
                    </m:rPr>
                    <w:rPr>
                      <w:rFonts w:ascii="Cambria Math" w:hAnsi="Cambria Math"/>
                      <w:lang w:val="tr-TR"/>
                    </w:rPr>
                    <m:t>t</m:t>
                  </m:r>
                </m:sub>
              </m:sSub>
            </m:num>
            <m:den>
              <m:sSub>
                <m:sSubPr>
                  <m:ctrlPr>
                    <w:rPr>
                      <w:rFonts w:ascii="Cambria Math" w:hAnsi="Cambria Math"/>
                      <w:b/>
                      <w:bCs/>
                      <w:i/>
                      <w:lang w:val="tr-TR"/>
                    </w:rPr>
                  </m:ctrlPr>
                </m:sSubPr>
                <m:e>
                  <m:r>
                    <m:rPr>
                      <m:sty m:val="bi"/>
                    </m:rPr>
                    <w:rPr>
                      <w:rFonts w:ascii="Cambria Math" w:hAnsi="Cambria Math"/>
                      <w:lang w:val="tr-TR"/>
                    </w:rPr>
                    <m:t>Değişken İletim Maliyeti</m:t>
                  </m:r>
                </m:e>
                <m:sub>
                  <m:r>
                    <m:rPr>
                      <m:sty m:val="bi"/>
                    </m:rPr>
                    <w:rPr>
                      <w:rFonts w:ascii="Cambria Math" w:hAnsi="Cambria Math"/>
                      <w:lang w:val="tr-TR"/>
                    </w:rPr>
                    <m:t>0</m:t>
                  </m:r>
                </m:sub>
              </m:sSub>
            </m:den>
          </m:f>
          <m:r>
            <m:rPr>
              <m:sty m:val="bi"/>
            </m:rPr>
            <w:rPr>
              <w:rFonts w:ascii="Cambria Math" w:hAnsi="Cambria Math"/>
              <w:lang w:val="tr-TR"/>
            </w:rPr>
            <m:t>)</m:t>
          </m:r>
        </m:oMath>
      </m:oMathPara>
    </w:p>
    <w:p w14:paraId="3132B35B" w14:textId="0362F1E6" w:rsidR="00773191" w:rsidRPr="00CF336B" w:rsidRDefault="008049C2" w:rsidP="004D4361">
      <w:pPr>
        <w:spacing w:line="360" w:lineRule="auto"/>
        <w:rPr>
          <w:b/>
          <w:bCs/>
          <w:lang w:val="tr-TR"/>
        </w:rPr>
      </w:pPr>
      <m:oMathPara>
        <m:oMath>
          <m:sSub>
            <m:sSubPr>
              <m:ctrlPr>
                <w:rPr>
                  <w:rFonts w:ascii="Cambria Math" w:hAnsi="Cambria Math"/>
                  <w:b/>
                  <w:bCs/>
                  <w:i/>
                  <w:lang w:val="tr-TR"/>
                </w:rPr>
              </m:ctrlPr>
            </m:sSubPr>
            <m:e>
              <m:r>
                <m:rPr>
                  <m:sty m:val="bi"/>
                </m:rPr>
                <w:rPr>
                  <w:rFonts w:ascii="Cambria Math" w:hAnsi="Cambria Math"/>
                  <w:lang w:val="tr-TR"/>
                </w:rPr>
                <m:t>Yerli Kömür için DMB</m:t>
              </m:r>
            </m:e>
            <m:sub>
              <m:r>
                <m:rPr>
                  <m:sty m:val="bi"/>
                </m:rPr>
                <w:rPr>
                  <w:rFonts w:ascii="Cambria Math" w:hAnsi="Cambria Math"/>
                  <w:lang w:val="tr-TR"/>
                </w:rPr>
                <m:t>t</m:t>
              </m:r>
            </m:sub>
          </m:sSub>
          <m:r>
            <m:rPr>
              <m:sty m:val="bi"/>
            </m:rPr>
            <w:rPr>
              <w:rFonts w:ascii="Cambria Math" w:hAnsi="Cambria Math"/>
              <w:lang w:val="tr-TR"/>
            </w:rPr>
            <m:t>=</m:t>
          </m:r>
          <m:sSub>
            <m:sSubPr>
              <m:ctrlPr>
                <w:rPr>
                  <w:rFonts w:ascii="Cambria Math" w:hAnsi="Cambria Math"/>
                  <w:b/>
                  <w:bCs/>
                  <w:i/>
                  <w:lang w:val="tr-TR"/>
                </w:rPr>
              </m:ctrlPr>
            </m:sSubPr>
            <m:e>
              <m:r>
                <m:rPr>
                  <m:sty m:val="bi"/>
                </m:rPr>
                <w:rPr>
                  <w:rFonts w:ascii="Cambria Math" w:hAnsi="Cambria Math"/>
                  <w:lang w:val="tr-TR"/>
                </w:rPr>
                <m:t>DMB</m:t>
              </m:r>
            </m:e>
            <m:sub>
              <m:r>
                <m:rPr>
                  <m:sty m:val="bi"/>
                </m:rPr>
                <w:rPr>
                  <w:rFonts w:ascii="Cambria Math" w:hAnsi="Cambria Math"/>
                  <w:lang w:val="tr-TR"/>
                </w:rPr>
                <m:t>0</m:t>
              </m:r>
            </m:sub>
          </m:sSub>
          <m:r>
            <m:rPr>
              <m:sty m:val="bi"/>
            </m:rPr>
            <w:rPr>
              <w:rFonts w:ascii="Cambria Math" w:hAnsi="Cambria Math"/>
              <w:lang w:val="tr-TR"/>
            </w:rPr>
            <m:t>*(0,93*</m:t>
          </m:r>
          <m:f>
            <m:fPr>
              <m:ctrlPr>
                <w:rPr>
                  <w:rFonts w:ascii="Cambria Math" w:hAnsi="Cambria Math"/>
                  <w:b/>
                  <w:bCs/>
                  <w:i/>
                  <w:lang w:val="tr-TR"/>
                </w:rPr>
              </m:ctrlPr>
            </m:fPr>
            <m:num>
              <m:sSub>
                <m:sSubPr>
                  <m:ctrlPr>
                    <w:rPr>
                      <w:rFonts w:ascii="Cambria Math" w:hAnsi="Cambria Math"/>
                      <w:b/>
                      <w:bCs/>
                      <w:i/>
                      <w:lang w:val="tr-TR"/>
                    </w:rPr>
                  </m:ctrlPr>
                </m:sSubPr>
                <m:e>
                  <m:r>
                    <m:rPr>
                      <m:sty m:val="bi"/>
                    </m:rPr>
                    <w:rPr>
                      <w:rFonts w:ascii="Cambria Math" w:hAnsi="Cambria Math"/>
                      <w:lang w:val="tr-TR"/>
                    </w:rPr>
                    <m:t>ÜFE</m:t>
                  </m:r>
                </m:e>
                <m:sub>
                  <m:r>
                    <m:rPr>
                      <m:sty m:val="bi"/>
                    </m:rPr>
                    <w:rPr>
                      <w:rFonts w:ascii="Cambria Math" w:hAnsi="Cambria Math"/>
                      <w:lang w:val="tr-TR"/>
                    </w:rPr>
                    <m:t>t</m:t>
                  </m:r>
                </m:sub>
              </m:sSub>
            </m:num>
            <m:den>
              <m:sSub>
                <m:sSubPr>
                  <m:ctrlPr>
                    <w:rPr>
                      <w:rFonts w:ascii="Cambria Math" w:hAnsi="Cambria Math"/>
                      <w:b/>
                      <w:bCs/>
                      <w:i/>
                      <w:lang w:val="tr-TR"/>
                    </w:rPr>
                  </m:ctrlPr>
                </m:sSubPr>
                <m:e>
                  <m:r>
                    <m:rPr>
                      <m:sty m:val="bi"/>
                    </m:rPr>
                    <w:rPr>
                      <w:rFonts w:ascii="Cambria Math" w:hAnsi="Cambria Math"/>
                      <w:lang w:val="tr-TR"/>
                    </w:rPr>
                    <m:t>ÜFE</m:t>
                  </m:r>
                </m:e>
                <m:sub>
                  <m:r>
                    <m:rPr>
                      <m:sty m:val="bi"/>
                    </m:rPr>
                    <w:rPr>
                      <w:rFonts w:ascii="Cambria Math" w:hAnsi="Cambria Math"/>
                      <w:lang w:val="tr-TR"/>
                    </w:rPr>
                    <m:t>0</m:t>
                  </m:r>
                </m:sub>
              </m:sSub>
            </m:den>
          </m:f>
          <m:r>
            <m:rPr>
              <m:sty m:val="bi"/>
            </m:rPr>
            <w:rPr>
              <w:rFonts w:ascii="Cambria Math" w:hAnsi="Cambria Math"/>
              <w:lang w:val="tr-TR"/>
            </w:rPr>
            <m:t>+0,07*</m:t>
          </m:r>
          <m:f>
            <m:fPr>
              <m:ctrlPr>
                <w:rPr>
                  <w:rFonts w:ascii="Cambria Math" w:hAnsi="Cambria Math"/>
                  <w:b/>
                  <w:bCs/>
                  <w:i/>
                  <w:lang w:val="tr-TR"/>
                </w:rPr>
              </m:ctrlPr>
            </m:fPr>
            <m:num>
              <m:sSub>
                <m:sSubPr>
                  <m:ctrlPr>
                    <w:rPr>
                      <w:rFonts w:ascii="Cambria Math" w:hAnsi="Cambria Math"/>
                      <w:b/>
                      <w:bCs/>
                      <w:i/>
                      <w:lang w:val="tr-TR"/>
                    </w:rPr>
                  </m:ctrlPr>
                </m:sSubPr>
                <m:e>
                  <m:r>
                    <m:rPr>
                      <m:sty m:val="bi"/>
                    </m:rPr>
                    <w:rPr>
                      <w:rFonts w:ascii="Cambria Math" w:hAnsi="Cambria Math"/>
                      <w:lang w:val="tr-TR"/>
                    </w:rPr>
                    <m:t>Değişken İletim Maliyeti</m:t>
                  </m:r>
                </m:e>
                <m:sub>
                  <m:r>
                    <m:rPr>
                      <m:sty m:val="bi"/>
                    </m:rPr>
                    <w:rPr>
                      <w:rFonts w:ascii="Cambria Math" w:hAnsi="Cambria Math"/>
                      <w:lang w:val="tr-TR"/>
                    </w:rPr>
                    <m:t>t</m:t>
                  </m:r>
                </m:sub>
              </m:sSub>
            </m:num>
            <m:den>
              <m:sSub>
                <m:sSubPr>
                  <m:ctrlPr>
                    <w:rPr>
                      <w:rFonts w:ascii="Cambria Math" w:hAnsi="Cambria Math"/>
                      <w:b/>
                      <w:bCs/>
                      <w:i/>
                      <w:lang w:val="tr-TR"/>
                    </w:rPr>
                  </m:ctrlPr>
                </m:sSubPr>
                <m:e>
                  <m:r>
                    <m:rPr>
                      <m:sty m:val="bi"/>
                    </m:rPr>
                    <w:rPr>
                      <w:rFonts w:ascii="Cambria Math" w:hAnsi="Cambria Math"/>
                      <w:lang w:val="tr-TR"/>
                    </w:rPr>
                    <m:t>Değişken İletim Maliyeti</m:t>
                  </m:r>
                </m:e>
                <m:sub>
                  <m:r>
                    <m:rPr>
                      <m:sty m:val="bi"/>
                    </m:rPr>
                    <w:rPr>
                      <w:rFonts w:ascii="Cambria Math" w:hAnsi="Cambria Math"/>
                      <w:lang w:val="tr-TR"/>
                    </w:rPr>
                    <m:t>0</m:t>
                  </m:r>
                </m:sub>
              </m:sSub>
            </m:den>
          </m:f>
          <m:r>
            <m:rPr>
              <m:sty m:val="bi"/>
            </m:rPr>
            <w:rPr>
              <w:rFonts w:ascii="Cambria Math" w:hAnsi="Cambria Math"/>
              <w:lang w:val="tr-TR"/>
            </w:rPr>
            <m:t>)</m:t>
          </m:r>
        </m:oMath>
      </m:oMathPara>
    </w:p>
    <w:p w14:paraId="346996C3" w14:textId="10733674" w:rsidR="00773191" w:rsidRPr="00CF336B" w:rsidRDefault="008049C2" w:rsidP="004D4361">
      <w:pPr>
        <w:spacing w:line="360" w:lineRule="auto"/>
        <w:rPr>
          <w:b/>
          <w:bCs/>
          <w:lang w:val="tr-TR"/>
        </w:rPr>
      </w:pPr>
      <m:oMathPara>
        <m:oMath>
          <m:sSub>
            <m:sSubPr>
              <m:ctrlPr>
                <w:rPr>
                  <w:rFonts w:ascii="Cambria Math" w:hAnsi="Cambria Math"/>
                  <w:b/>
                  <w:bCs/>
                  <w:i/>
                  <w:lang w:val="tr-TR"/>
                </w:rPr>
              </m:ctrlPr>
            </m:sSubPr>
            <m:e>
              <m:r>
                <m:rPr>
                  <m:sty m:val="bi"/>
                </m:rPr>
                <w:rPr>
                  <w:rFonts w:ascii="Cambria Math" w:hAnsi="Cambria Math"/>
                  <w:lang w:val="tr-TR"/>
                </w:rPr>
                <m:t>İthal Kömür için DMB</m:t>
              </m:r>
            </m:e>
            <m:sub>
              <m:r>
                <m:rPr>
                  <m:sty m:val="bi"/>
                </m:rPr>
                <w:rPr>
                  <w:rFonts w:ascii="Cambria Math" w:hAnsi="Cambria Math"/>
                  <w:lang w:val="tr-TR"/>
                </w:rPr>
                <m:t>t</m:t>
              </m:r>
            </m:sub>
          </m:sSub>
          <m:r>
            <m:rPr>
              <m:sty m:val="bi"/>
            </m:rPr>
            <w:rPr>
              <w:rFonts w:ascii="Cambria Math" w:hAnsi="Cambria Math"/>
              <w:lang w:val="tr-TR"/>
            </w:rPr>
            <m:t>=</m:t>
          </m:r>
          <m:sSub>
            <m:sSubPr>
              <m:ctrlPr>
                <w:rPr>
                  <w:rFonts w:ascii="Cambria Math" w:hAnsi="Cambria Math"/>
                  <w:b/>
                  <w:bCs/>
                  <w:i/>
                  <w:lang w:val="tr-TR"/>
                </w:rPr>
              </m:ctrlPr>
            </m:sSubPr>
            <m:e>
              <m:r>
                <m:rPr>
                  <m:sty m:val="bi"/>
                </m:rPr>
                <w:rPr>
                  <w:rFonts w:ascii="Cambria Math" w:hAnsi="Cambria Math"/>
                  <w:lang w:val="tr-TR"/>
                </w:rPr>
                <m:t>DMB</m:t>
              </m:r>
            </m:e>
            <m:sub>
              <m:r>
                <m:rPr>
                  <m:sty m:val="bi"/>
                </m:rPr>
                <w:rPr>
                  <w:rFonts w:ascii="Cambria Math" w:hAnsi="Cambria Math"/>
                  <w:lang w:val="tr-TR"/>
                </w:rPr>
                <m:t>0</m:t>
              </m:r>
            </m:sub>
          </m:sSub>
          <m:r>
            <m:rPr>
              <m:sty m:val="bi"/>
            </m:rPr>
            <w:rPr>
              <w:rFonts w:ascii="Cambria Math" w:hAnsi="Cambria Math"/>
              <w:lang w:val="tr-TR"/>
            </w:rPr>
            <m:t>*(0,96*</m:t>
          </m:r>
          <m:f>
            <m:fPr>
              <m:ctrlPr>
                <w:rPr>
                  <w:rFonts w:ascii="Cambria Math" w:hAnsi="Cambria Math"/>
                  <w:b/>
                  <w:bCs/>
                  <w:i/>
                  <w:lang w:val="tr-TR"/>
                </w:rPr>
              </m:ctrlPr>
            </m:fPr>
            <m:num>
              <m:sSub>
                <m:sSubPr>
                  <m:ctrlPr>
                    <w:rPr>
                      <w:rFonts w:ascii="Cambria Math" w:hAnsi="Cambria Math"/>
                      <w:b/>
                      <w:bCs/>
                      <w:i/>
                      <w:lang w:val="tr-TR"/>
                    </w:rPr>
                  </m:ctrlPr>
                </m:sSubPr>
                <m:e>
                  <m:r>
                    <m:rPr>
                      <m:sty m:val="bi"/>
                    </m:rPr>
                    <w:rPr>
                      <w:rFonts w:ascii="Cambria Math" w:hAnsi="Cambria Math"/>
                      <w:lang w:val="tr-TR"/>
                    </w:rPr>
                    <m:t>Kur</m:t>
                  </m:r>
                </m:e>
                <m:sub>
                  <m:r>
                    <m:rPr>
                      <m:sty m:val="bi"/>
                    </m:rPr>
                    <w:rPr>
                      <w:rFonts w:ascii="Cambria Math" w:hAnsi="Cambria Math"/>
                      <w:lang w:val="tr-TR"/>
                    </w:rPr>
                    <m:t>t</m:t>
                  </m:r>
                </m:sub>
              </m:sSub>
            </m:num>
            <m:den>
              <m:sSub>
                <m:sSubPr>
                  <m:ctrlPr>
                    <w:rPr>
                      <w:rFonts w:ascii="Cambria Math" w:hAnsi="Cambria Math"/>
                      <w:b/>
                      <w:bCs/>
                      <w:i/>
                      <w:lang w:val="tr-TR"/>
                    </w:rPr>
                  </m:ctrlPr>
                </m:sSubPr>
                <m:e>
                  <m:r>
                    <m:rPr>
                      <m:sty m:val="bi"/>
                    </m:rPr>
                    <w:rPr>
                      <w:rFonts w:ascii="Cambria Math" w:hAnsi="Cambria Math"/>
                      <w:lang w:val="tr-TR"/>
                    </w:rPr>
                    <m:t>Kur</m:t>
                  </m:r>
                </m:e>
                <m:sub>
                  <m:r>
                    <m:rPr>
                      <m:sty m:val="bi"/>
                    </m:rPr>
                    <w:rPr>
                      <w:rFonts w:ascii="Cambria Math" w:hAnsi="Cambria Math"/>
                      <w:lang w:val="tr-TR"/>
                    </w:rPr>
                    <m:t>0</m:t>
                  </m:r>
                </m:sub>
              </m:sSub>
            </m:den>
          </m:f>
          <m:r>
            <m:rPr>
              <m:sty m:val="bi"/>
            </m:rPr>
            <w:rPr>
              <w:rFonts w:ascii="Cambria Math" w:hAnsi="Cambria Math"/>
              <w:lang w:val="tr-TR"/>
            </w:rPr>
            <m:t>+0,04*</m:t>
          </m:r>
          <m:f>
            <m:fPr>
              <m:ctrlPr>
                <w:rPr>
                  <w:rFonts w:ascii="Cambria Math" w:hAnsi="Cambria Math"/>
                  <w:b/>
                  <w:bCs/>
                  <w:i/>
                  <w:lang w:val="tr-TR"/>
                </w:rPr>
              </m:ctrlPr>
            </m:fPr>
            <m:num>
              <m:sSub>
                <m:sSubPr>
                  <m:ctrlPr>
                    <w:rPr>
                      <w:rFonts w:ascii="Cambria Math" w:hAnsi="Cambria Math"/>
                      <w:b/>
                      <w:bCs/>
                      <w:i/>
                      <w:lang w:val="tr-TR"/>
                    </w:rPr>
                  </m:ctrlPr>
                </m:sSubPr>
                <m:e>
                  <m:r>
                    <m:rPr>
                      <m:sty m:val="bi"/>
                    </m:rPr>
                    <w:rPr>
                      <w:rFonts w:ascii="Cambria Math" w:hAnsi="Cambria Math"/>
                      <w:lang w:val="tr-TR"/>
                    </w:rPr>
                    <m:t>Değişken İletim Maliyeti</m:t>
                  </m:r>
                </m:e>
                <m:sub>
                  <m:r>
                    <m:rPr>
                      <m:sty m:val="bi"/>
                    </m:rPr>
                    <w:rPr>
                      <w:rFonts w:ascii="Cambria Math" w:hAnsi="Cambria Math"/>
                      <w:lang w:val="tr-TR"/>
                    </w:rPr>
                    <m:t>t</m:t>
                  </m:r>
                </m:sub>
              </m:sSub>
            </m:num>
            <m:den>
              <m:sSub>
                <m:sSubPr>
                  <m:ctrlPr>
                    <w:rPr>
                      <w:rFonts w:ascii="Cambria Math" w:hAnsi="Cambria Math"/>
                      <w:b/>
                      <w:bCs/>
                      <w:i/>
                      <w:lang w:val="tr-TR"/>
                    </w:rPr>
                  </m:ctrlPr>
                </m:sSubPr>
                <m:e>
                  <m:r>
                    <m:rPr>
                      <m:sty m:val="bi"/>
                    </m:rPr>
                    <w:rPr>
                      <w:rFonts w:ascii="Cambria Math" w:hAnsi="Cambria Math"/>
                      <w:lang w:val="tr-TR"/>
                    </w:rPr>
                    <m:t>Değişken İletim Maliyeti</m:t>
                  </m:r>
                </m:e>
                <m:sub>
                  <m:r>
                    <m:rPr>
                      <m:sty m:val="bi"/>
                    </m:rPr>
                    <w:rPr>
                      <w:rFonts w:ascii="Cambria Math" w:hAnsi="Cambria Math"/>
                      <w:lang w:val="tr-TR"/>
                    </w:rPr>
                    <m:t>0</m:t>
                  </m:r>
                </m:sub>
              </m:sSub>
            </m:den>
          </m:f>
          <m:r>
            <m:rPr>
              <m:sty m:val="bi"/>
            </m:rPr>
            <w:rPr>
              <w:rFonts w:ascii="Cambria Math" w:hAnsi="Cambria Math"/>
              <w:lang w:val="tr-TR"/>
            </w:rPr>
            <m:t>)</m:t>
          </m:r>
        </m:oMath>
      </m:oMathPara>
    </w:p>
    <w:p w14:paraId="313124AC" w14:textId="1D0076AF" w:rsidR="000E04CB" w:rsidRPr="00CF336B" w:rsidRDefault="00DD6841" w:rsidP="004D4361">
      <w:pPr>
        <w:spacing w:line="360" w:lineRule="auto"/>
        <w:jc w:val="both"/>
        <w:rPr>
          <w:lang w:val="tr-TR"/>
        </w:rPr>
      </w:pPr>
      <w:r w:rsidRPr="00CF336B">
        <w:rPr>
          <w:lang w:val="tr-TR"/>
        </w:rPr>
        <w:t xml:space="preserve">Formülde yer alan “0” </w:t>
      </w:r>
      <w:proofErr w:type="spellStart"/>
      <w:r w:rsidRPr="00CF336B">
        <w:rPr>
          <w:lang w:val="tr-TR"/>
        </w:rPr>
        <w:t>indisli</w:t>
      </w:r>
      <w:proofErr w:type="spellEnd"/>
      <w:r w:rsidRPr="00CF336B">
        <w:rPr>
          <w:lang w:val="tr-TR"/>
        </w:rPr>
        <w:t xml:space="preserve"> değerler EPDK tarafından açıklanan başlangıç değerleri</w:t>
      </w:r>
      <w:r w:rsidR="00575C08" w:rsidRPr="00CF336B">
        <w:rPr>
          <w:lang w:val="tr-TR"/>
        </w:rPr>
        <w:t xml:space="preserve"> iken “t” </w:t>
      </w:r>
      <w:proofErr w:type="spellStart"/>
      <w:r w:rsidR="00575C08" w:rsidRPr="00CF336B">
        <w:rPr>
          <w:lang w:val="tr-TR"/>
        </w:rPr>
        <w:t>indisli</w:t>
      </w:r>
      <w:proofErr w:type="spellEnd"/>
      <w:r w:rsidR="00575C08" w:rsidRPr="00CF336B">
        <w:rPr>
          <w:lang w:val="tr-TR"/>
        </w:rPr>
        <w:t xml:space="preserve"> değerler ödemenin yapılacağı ilgili fatura dönemini ifade etmektedir. Formüllerde yer alan başlangıç değerleri 2022 yılına ait değerler olup 2023 yılında bu değerlere ilişkin bir güncelleme yayımlanmamıştır. </w:t>
      </w:r>
    </w:p>
    <w:p w14:paraId="193FF4AC" w14:textId="6BF60789" w:rsidR="003E5BAF" w:rsidRPr="00CF336B" w:rsidRDefault="003E5BAF" w:rsidP="004D4361">
      <w:pPr>
        <w:spacing w:line="360" w:lineRule="auto"/>
        <w:jc w:val="both"/>
        <w:rPr>
          <w:rFonts w:ascii="Calibri" w:hAnsi="Calibri" w:cs="Calibri"/>
          <w:lang w:val="tr-TR"/>
        </w:rPr>
      </w:pPr>
      <w:r w:rsidRPr="00CF336B">
        <w:rPr>
          <w:rFonts w:ascii="Calibri" w:hAnsi="Calibri" w:cs="Calibri"/>
          <w:lang w:val="tr-TR"/>
        </w:rPr>
        <w:t>Bazı dönemlerde belirlenen bütçe</w:t>
      </w:r>
      <w:r w:rsidR="00835ECD" w:rsidRPr="00CF336B">
        <w:rPr>
          <w:rFonts w:ascii="Calibri" w:hAnsi="Calibri" w:cs="Calibri"/>
          <w:lang w:val="tr-TR"/>
        </w:rPr>
        <w:t>,</w:t>
      </w:r>
      <w:r w:rsidRPr="00CF336B">
        <w:rPr>
          <w:rFonts w:ascii="Calibri" w:hAnsi="Calibri" w:cs="Calibri"/>
          <w:lang w:val="tr-TR"/>
        </w:rPr>
        <w:t xml:space="preserve"> kapasite mekanizmasından yararlanmaya hak kazanan tüm santraller için yetersiz kalmaktadır. Bu durumda, öncelikle yerli kaynaklara dayalı santrallerin kapasite ödemeleri yapılmaktadır. Kalan tutar olması durumunda diğer santrallere ödenecek tutar aşağıdaki formülle hesaplanmaktadır:</w:t>
      </w:r>
    </w:p>
    <w:p w14:paraId="133DA6B5" w14:textId="5B8F4189" w:rsidR="003E5BAF" w:rsidRPr="002F2A85" w:rsidRDefault="002F2A85" w:rsidP="004D4361">
      <w:pPr>
        <w:spacing w:line="360" w:lineRule="auto"/>
        <w:rPr>
          <w:b/>
          <w:bCs/>
          <w:iCs/>
          <w:lang w:val="tr-TR"/>
        </w:rPr>
      </w:pPr>
      <m:oMathPara>
        <m:oMath>
          <m:r>
            <m:rPr>
              <m:sty m:val="b"/>
            </m:rPr>
            <w:rPr>
              <w:rFonts w:ascii="Cambria Math" w:hAnsi="Cambria Math"/>
              <w:lang w:val="tr-TR"/>
            </w:rPr>
            <m:t xml:space="preserve">Kapasite Ödemesi=(Bütçe- </m:t>
          </m:r>
          <m:nary>
            <m:naryPr>
              <m:chr m:val="∑"/>
              <m:limLoc m:val="undOvr"/>
              <m:subHide m:val="1"/>
              <m:supHide m:val="1"/>
              <m:ctrlPr>
                <w:rPr>
                  <w:rFonts w:ascii="Cambria Math" w:hAnsi="Cambria Math"/>
                  <w:b/>
                  <w:bCs/>
                  <w:iCs/>
                  <w:lang w:val="tr-TR"/>
                </w:rPr>
              </m:ctrlPr>
            </m:naryPr>
            <m:sub/>
            <m:sup/>
            <m:e>
              <m:r>
                <m:rPr>
                  <m:sty m:val="b"/>
                </m:rPr>
                <w:rPr>
                  <w:rFonts w:ascii="Cambria Math" w:hAnsi="Cambria Math"/>
                  <w:lang w:val="tr-TR"/>
                </w:rPr>
                <m:t>Yerli Kaynaklara Yapılan Toplam Ödeme)</m:t>
              </m:r>
            </m:e>
          </m:nary>
          <m:r>
            <m:rPr>
              <m:sty m:val="b"/>
            </m:rPr>
            <w:rPr>
              <w:rFonts w:ascii="Cambria Math" w:hAnsi="Cambria Math"/>
              <w:lang w:val="tr-TR"/>
            </w:rPr>
            <m:t>*</m:t>
          </m:r>
          <m:f>
            <m:fPr>
              <m:ctrlPr>
                <w:rPr>
                  <w:rFonts w:ascii="Cambria Math" w:hAnsi="Cambria Math"/>
                  <w:b/>
                  <w:iCs/>
                  <w:vertAlign w:val="subscript"/>
                  <w:lang w:val="tr-TR"/>
                </w:rPr>
              </m:ctrlPr>
            </m:fPr>
            <m:num>
              <m:r>
                <m:rPr>
                  <m:sty m:val="b"/>
                </m:rPr>
                <w:rPr>
                  <w:rFonts w:ascii="Cambria Math" w:hAnsi="Cambria Math"/>
                  <w:vertAlign w:val="subscript"/>
                  <w:lang w:val="tr-TR"/>
                </w:rPr>
                <m:t>Santral Kurulu Gücü</m:t>
              </m:r>
            </m:num>
            <m:den>
              <m:r>
                <m:rPr>
                  <m:sty m:val="b"/>
                </m:rPr>
                <w:rPr>
                  <w:rFonts w:ascii="Cambria Math" w:hAnsi="Cambria Math"/>
                  <w:vertAlign w:val="subscript"/>
                  <w:lang w:val="tr-TR"/>
                </w:rPr>
                <m:t>Aynı Kaynak Türündeki Tüm Santrallerin Kurulu Gücü</m:t>
              </m:r>
            </m:den>
          </m:f>
        </m:oMath>
      </m:oMathPara>
    </w:p>
    <w:p w14:paraId="61BA5544" w14:textId="77777777" w:rsidR="003E5BAF" w:rsidRPr="00CF336B" w:rsidRDefault="003E5BAF" w:rsidP="004D4361">
      <w:pPr>
        <w:spacing w:line="360" w:lineRule="auto"/>
        <w:rPr>
          <w:lang w:val="tr-TR"/>
        </w:rPr>
      </w:pPr>
    </w:p>
    <w:p w14:paraId="4564CBC8" w14:textId="60DF6D10" w:rsidR="003E5BAF" w:rsidRPr="00CF336B" w:rsidRDefault="003E5BAF" w:rsidP="004D4361">
      <w:pPr>
        <w:spacing w:line="360" w:lineRule="auto"/>
        <w:jc w:val="both"/>
        <w:rPr>
          <w:lang w:val="tr-TR"/>
        </w:rPr>
      </w:pPr>
      <w:r w:rsidRPr="00CF336B">
        <w:rPr>
          <w:lang w:val="tr-TR"/>
        </w:rPr>
        <w:t>İthal kömür veya ithal doğal gaz yakıtlı santrallerde, ilgili fatura döneminde yerli kömür veya yerli doğal gaz ile üretim yapılması durumunda yerli kömür veya yerli doğal</w:t>
      </w:r>
      <w:r w:rsidR="00835ECD" w:rsidRPr="00CF336B">
        <w:rPr>
          <w:lang w:val="tr-TR"/>
        </w:rPr>
        <w:t xml:space="preserve"> </w:t>
      </w:r>
      <w:r w:rsidRPr="00CF336B">
        <w:rPr>
          <w:lang w:val="tr-TR"/>
        </w:rPr>
        <w:t>gaz kullanılarak yapılan üretim miktarı için yerli kaynak kapsamında, ithal kömür veya ithal doğal</w:t>
      </w:r>
      <w:r w:rsidR="00835ECD" w:rsidRPr="00CF336B">
        <w:rPr>
          <w:lang w:val="tr-TR"/>
        </w:rPr>
        <w:t xml:space="preserve"> </w:t>
      </w:r>
      <w:r w:rsidRPr="00CF336B">
        <w:rPr>
          <w:lang w:val="tr-TR"/>
        </w:rPr>
        <w:t>gaz kullanılarak yapılan üretim miktarı için ithal kaynak kapsamında kapasite ödemesi yapılmaktadır.</w:t>
      </w:r>
    </w:p>
    <w:p w14:paraId="42A2CFD0" w14:textId="0F59F860" w:rsidR="002448F7" w:rsidRDefault="003E5BAF" w:rsidP="004D4361">
      <w:pPr>
        <w:spacing w:line="360" w:lineRule="auto"/>
        <w:jc w:val="both"/>
        <w:rPr>
          <w:lang w:val="tr-TR"/>
        </w:rPr>
      </w:pPr>
      <w:r w:rsidRPr="00CF336B">
        <w:rPr>
          <w:lang w:val="tr-TR"/>
        </w:rPr>
        <w:t>İthal kömür santralleri</w:t>
      </w:r>
      <w:r w:rsidR="00835ECD" w:rsidRPr="00CF336B">
        <w:rPr>
          <w:lang w:val="tr-TR"/>
        </w:rPr>
        <w:t>ne yapılan</w:t>
      </w:r>
      <w:r w:rsidRPr="00CF336B">
        <w:rPr>
          <w:lang w:val="tr-TR"/>
        </w:rPr>
        <w:t xml:space="preserve"> kapasite ödemelerinin hesaplanmasında, </w:t>
      </w:r>
      <w:r w:rsidR="00835ECD" w:rsidRPr="00CF336B">
        <w:rPr>
          <w:lang w:val="tr-TR"/>
        </w:rPr>
        <w:t xml:space="preserve">ilgili </w:t>
      </w:r>
      <w:r w:rsidRPr="00CF336B">
        <w:rPr>
          <w:lang w:val="tr-TR"/>
        </w:rPr>
        <w:t>santral</w:t>
      </w:r>
      <w:r w:rsidR="00835ECD" w:rsidRPr="00CF336B">
        <w:rPr>
          <w:lang w:val="tr-TR"/>
        </w:rPr>
        <w:t>,</w:t>
      </w:r>
      <w:r w:rsidRPr="00CF336B">
        <w:rPr>
          <w:lang w:val="tr-TR"/>
        </w:rPr>
        <w:t xml:space="preserve"> üretiminin yerli kaynak kullanılarak yapılan kısmı ile orantılı kurulu güçte bir yerli kömür santrali olarak kabul edilmektedir.</w:t>
      </w:r>
    </w:p>
    <w:p w14:paraId="1877E6B8" w14:textId="5651DCD3" w:rsidR="00BA4994" w:rsidRPr="00BA4994" w:rsidRDefault="00BA4994" w:rsidP="00BA4994">
      <w:pPr>
        <w:pStyle w:val="Heading2"/>
        <w:numPr>
          <w:ilvl w:val="1"/>
          <w:numId w:val="12"/>
        </w:numPr>
        <w:spacing w:before="0" w:after="160" w:line="360" w:lineRule="auto"/>
        <w:contextualSpacing/>
        <w:rPr>
          <w:sz w:val="22"/>
          <w:szCs w:val="24"/>
          <w:lang w:val="tr-TR"/>
        </w:rPr>
      </w:pPr>
      <w:bookmarkStart w:id="20" w:name="_Toc156210440"/>
      <w:r w:rsidRPr="00BA4994">
        <w:rPr>
          <w:sz w:val="22"/>
          <w:szCs w:val="24"/>
          <w:lang w:val="tr-TR"/>
        </w:rPr>
        <w:t xml:space="preserve">Kapasite Mekanizması Ödemelerinde Kullanılan </w:t>
      </w:r>
      <w:proofErr w:type="gramStart"/>
      <w:r w:rsidRPr="00BA4994">
        <w:rPr>
          <w:sz w:val="22"/>
          <w:szCs w:val="24"/>
          <w:lang w:val="tr-TR"/>
        </w:rPr>
        <w:t xml:space="preserve">Metot </w:t>
      </w:r>
      <w:r w:rsidR="0011016D">
        <w:rPr>
          <w:sz w:val="22"/>
          <w:szCs w:val="24"/>
          <w:lang w:val="tr-TR"/>
        </w:rPr>
        <w:t>-</w:t>
      </w:r>
      <w:proofErr w:type="gramEnd"/>
      <w:r w:rsidR="0011016D">
        <w:rPr>
          <w:sz w:val="22"/>
          <w:szCs w:val="24"/>
          <w:lang w:val="tr-TR"/>
        </w:rPr>
        <w:t xml:space="preserve"> </w:t>
      </w:r>
      <w:r w:rsidRPr="00BA4994">
        <w:rPr>
          <w:sz w:val="22"/>
          <w:szCs w:val="24"/>
          <w:lang w:val="tr-TR"/>
        </w:rPr>
        <w:t>4</w:t>
      </w:r>
      <w:bookmarkEnd w:id="20"/>
    </w:p>
    <w:p w14:paraId="7E2CCBCD" w14:textId="620C1420" w:rsidR="00B22C3A" w:rsidRDefault="00B22C3A" w:rsidP="00BA4994">
      <w:pPr>
        <w:spacing w:line="360" w:lineRule="auto"/>
        <w:contextualSpacing/>
        <w:jc w:val="both"/>
        <w:rPr>
          <w:lang w:val="tr-TR"/>
        </w:rPr>
      </w:pPr>
      <w:r>
        <w:rPr>
          <w:lang w:val="tr-TR"/>
        </w:rPr>
        <w:t xml:space="preserve">Metot-3’te belirtilen </w:t>
      </w:r>
      <w:r w:rsidRPr="00B22C3A">
        <w:rPr>
          <w:lang w:val="tr-TR"/>
        </w:rPr>
        <w:t>toplam bütçe</w:t>
      </w:r>
      <w:r>
        <w:rPr>
          <w:lang w:val="tr-TR"/>
        </w:rPr>
        <w:t>nin</w:t>
      </w:r>
      <w:r w:rsidRPr="00B22C3A">
        <w:rPr>
          <w:lang w:val="tr-TR"/>
        </w:rPr>
        <w:t xml:space="preserve"> ikiye bölünm</w:t>
      </w:r>
      <w:r>
        <w:rPr>
          <w:lang w:val="tr-TR"/>
        </w:rPr>
        <w:t>esi</w:t>
      </w:r>
      <w:r w:rsidRPr="00B22C3A">
        <w:rPr>
          <w:lang w:val="tr-TR"/>
        </w:rPr>
        <w:t xml:space="preserve"> ve her </w:t>
      </w:r>
      <w:proofErr w:type="gramStart"/>
      <w:r w:rsidRPr="00B22C3A">
        <w:rPr>
          <w:lang w:val="tr-TR"/>
        </w:rPr>
        <w:t>%50</w:t>
      </w:r>
      <w:proofErr w:type="gramEnd"/>
      <w:r w:rsidRPr="00B22C3A">
        <w:rPr>
          <w:lang w:val="tr-TR"/>
        </w:rPr>
        <w:t>’lik pay</w:t>
      </w:r>
      <w:r>
        <w:rPr>
          <w:lang w:val="tr-TR"/>
        </w:rPr>
        <w:t>ın</w:t>
      </w:r>
      <w:r w:rsidRPr="00B22C3A">
        <w:rPr>
          <w:lang w:val="tr-TR"/>
        </w:rPr>
        <w:t xml:space="preserve"> ilgili formüle göre dağıtılmaya başlam</w:t>
      </w:r>
      <w:r>
        <w:rPr>
          <w:lang w:val="tr-TR"/>
        </w:rPr>
        <w:t>ası hususu 31 Aralık 2023’teki düzenlemeyle birlikte değiştirilmiştir. Düzenlemeye göre i</w:t>
      </w:r>
      <w:r w:rsidRPr="00B22C3A">
        <w:rPr>
          <w:lang w:val="tr-TR"/>
        </w:rPr>
        <w:t xml:space="preserve">lk </w:t>
      </w:r>
      <w:proofErr w:type="gramStart"/>
      <w:r w:rsidRPr="00B22C3A">
        <w:rPr>
          <w:lang w:val="tr-TR"/>
        </w:rPr>
        <w:t>%</w:t>
      </w:r>
      <w:r>
        <w:rPr>
          <w:lang w:val="tr-TR"/>
        </w:rPr>
        <w:t>25</w:t>
      </w:r>
      <w:proofErr w:type="gramEnd"/>
      <w:r w:rsidRPr="00B22C3A">
        <w:rPr>
          <w:lang w:val="tr-TR"/>
        </w:rPr>
        <w:t>’lik kısımda santraller emre amade kurulu güç ve sabit maliyet bileşenine göre ödeme almaktayken geri kalan %</w:t>
      </w:r>
      <w:r>
        <w:rPr>
          <w:lang w:val="tr-TR"/>
        </w:rPr>
        <w:t>75</w:t>
      </w:r>
      <w:r w:rsidRPr="00B22C3A">
        <w:rPr>
          <w:lang w:val="tr-TR"/>
        </w:rPr>
        <w:t>’lik kısım santrallerin sabit ve değişken maliyet bileşenleri ile piyasa takas fiyatıyla ilişkili olarak dağıtılmaktadır.</w:t>
      </w:r>
      <w:r w:rsidR="007B7081">
        <w:rPr>
          <w:lang w:val="tr-TR"/>
        </w:rPr>
        <w:t xml:space="preserve"> Bu durum</w:t>
      </w:r>
      <w:r w:rsidR="00F312C0">
        <w:rPr>
          <w:lang w:val="tr-TR"/>
        </w:rPr>
        <w:t>da santrallerin piyasa takas fiyatıyla ilişkili olarak aldığı ödeme artmaktadır.</w:t>
      </w:r>
    </w:p>
    <w:p w14:paraId="51B7368C" w14:textId="148C6F0B" w:rsidR="00B22C3A" w:rsidRPr="00B22C3A" w:rsidRDefault="00B02F02" w:rsidP="00B22C3A">
      <w:pPr>
        <w:pStyle w:val="ListParagraph"/>
        <w:numPr>
          <w:ilvl w:val="0"/>
          <w:numId w:val="5"/>
        </w:numPr>
        <w:spacing w:line="360" w:lineRule="auto"/>
        <w:jc w:val="both"/>
        <w:rPr>
          <w:lang w:val="tr-TR"/>
        </w:rPr>
      </w:pPr>
      <w:r w:rsidRPr="00B02F02">
        <w:rPr>
          <w:lang w:val="tr-TR"/>
        </w:rPr>
        <w:t>Kapasite ödemelerine esas bir fatura dönemindeki bütçenin yüzde yirmi beşi aşağıdaki formüllere göre ödenmektedir</w:t>
      </w:r>
      <w:r w:rsidR="009B4873">
        <w:rPr>
          <w:lang w:val="tr-TR"/>
        </w:rPr>
        <w:t>:</w:t>
      </w:r>
    </w:p>
    <w:p w14:paraId="3A9E1C7F" w14:textId="67C26F9B" w:rsidR="009B4873" w:rsidRPr="009B4873" w:rsidRDefault="009B4873" w:rsidP="009B4873">
      <w:pPr>
        <w:spacing w:line="360" w:lineRule="auto"/>
        <w:jc w:val="both"/>
        <w:rPr>
          <w:lang w:val="tr-TR"/>
        </w:rPr>
      </w:pPr>
      <m:oMathPara>
        <m:oMath>
          <m:r>
            <m:rPr>
              <m:sty m:val="bi"/>
            </m:rPr>
            <w:rPr>
              <w:rFonts w:ascii="Cambria Math" w:hAnsi="Cambria Math"/>
              <w:vertAlign w:val="subscript"/>
              <w:lang w:val="tr-TR"/>
            </w:rPr>
            <m:t>K</m:t>
          </m:r>
          <m:r>
            <m:rPr>
              <m:sty m:val="b"/>
            </m:rPr>
            <w:rPr>
              <w:rFonts w:ascii="Cambria Math" w:hAnsi="Cambria Math"/>
              <w:vertAlign w:val="subscript"/>
              <w:lang w:val="tr-TR"/>
            </w:rPr>
            <m:t>apasite Ödeme Oranı=</m:t>
          </m:r>
          <m:f>
            <m:fPr>
              <m:ctrlPr>
                <w:rPr>
                  <w:rFonts w:ascii="Cambria Math" w:hAnsi="Cambria Math"/>
                  <w:b/>
                  <w:lang w:val="tr-TR"/>
                </w:rPr>
              </m:ctrlPr>
            </m:fPr>
            <m:num>
              <m:r>
                <m:rPr>
                  <m:sty m:val="b"/>
                </m:rPr>
                <w:rPr>
                  <w:rFonts w:ascii="Cambria Math" w:hAnsi="Cambria Math"/>
                  <w:lang w:val="tr-TR"/>
                </w:rPr>
                <m:t>Sabit Maliyet Bileşeni*Kurulu Güç*Kapasite Kullanım Oranı</m:t>
              </m:r>
            </m:num>
            <m:den>
              <m:nary>
                <m:naryPr>
                  <m:chr m:val="∑"/>
                  <m:limLoc m:val="undOvr"/>
                  <m:subHide m:val="1"/>
                  <m:supHide m:val="1"/>
                  <m:ctrlPr>
                    <w:rPr>
                      <w:rFonts w:ascii="Cambria Math" w:hAnsi="Cambria Math"/>
                      <w:b/>
                      <w:lang w:val="tr-TR"/>
                    </w:rPr>
                  </m:ctrlPr>
                </m:naryPr>
                <m:sub/>
                <m:sup/>
                <m:e>
                  <m:r>
                    <m:rPr>
                      <m:sty m:val="b"/>
                    </m:rPr>
                    <w:rPr>
                      <w:rFonts w:ascii="Cambria Math" w:hAnsi="Cambria Math"/>
                      <w:lang w:val="tr-TR"/>
                    </w:rPr>
                    <m:t>Sabit Maliyet Bileşeni*Kurulu Güç*Kapasite Kullanım Oranı</m:t>
                  </m:r>
                </m:e>
              </m:nary>
            </m:den>
          </m:f>
        </m:oMath>
      </m:oMathPara>
    </w:p>
    <w:p w14:paraId="7C30B643" w14:textId="766AD116" w:rsidR="00B02F02" w:rsidRPr="00B22C3A" w:rsidRDefault="004A2FAC" w:rsidP="00B02F02">
      <w:pPr>
        <w:spacing w:line="360" w:lineRule="auto"/>
        <w:contextualSpacing/>
        <w:jc w:val="center"/>
        <w:rPr>
          <w:rFonts w:eastAsiaTheme="minorEastAsia"/>
          <w:b/>
          <w:vertAlign w:val="subscript"/>
          <w:lang w:val="tr-TR"/>
        </w:rPr>
      </w:pPr>
      <m:oMathPara>
        <m:oMath>
          <m:r>
            <m:rPr>
              <m:sty m:val="b"/>
            </m:rPr>
            <w:rPr>
              <w:rFonts w:ascii="Cambria Math" w:hAnsi="Cambria Math"/>
              <w:vertAlign w:val="subscript"/>
              <w:lang w:val="tr-TR"/>
            </w:rPr>
            <m:t xml:space="preserve">Kapasite Ödemesi=Kapasite Ödeme Oranı*Bütçe* </m:t>
          </m:r>
          <m:f>
            <m:fPr>
              <m:ctrlPr>
                <w:rPr>
                  <w:rFonts w:ascii="Cambria Math" w:hAnsi="Cambria Math"/>
                  <w:b/>
                  <w:vertAlign w:val="subscript"/>
                  <w:lang w:val="tr-TR"/>
                </w:rPr>
              </m:ctrlPr>
            </m:fPr>
            <m:num>
              <m:r>
                <m:rPr>
                  <m:sty m:val="b"/>
                </m:rPr>
                <w:rPr>
                  <w:rFonts w:ascii="Cambria Math" w:hAnsi="Cambria Math"/>
                  <w:vertAlign w:val="subscript"/>
                  <w:lang w:val="tr-TR"/>
                </w:rPr>
                <m:t>Santral Kurulu Gücü</m:t>
              </m:r>
            </m:num>
            <m:den>
              <m:r>
                <m:rPr>
                  <m:sty m:val="b"/>
                </m:rPr>
                <w:rPr>
                  <w:rFonts w:ascii="Cambria Math" w:hAnsi="Cambria Math"/>
                  <w:vertAlign w:val="subscript"/>
                  <w:lang w:val="tr-TR"/>
                </w:rPr>
                <m:t>Aynı Kaynak Türündeki Tüm Santrallerin Kurulu Gücü</m:t>
              </m:r>
            </m:den>
          </m:f>
        </m:oMath>
      </m:oMathPara>
    </w:p>
    <w:p w14:paraId="324AA712" w14:textId="77777777" w:rsidR="00B22C3A" w:rsidRDefault="00B22C3A" w:rsidP="00B02F02">
      <w:pPr>
        <w:spacing w:line="360" w:lineRule="auto"/>
        <w:contextualSpacing/>
        <w:jc w:val="center"/>
        <w:rPr>
          <w:rFonts w:eastAsiaTheme="minorEastAsia"/>
          <w:b/>
          <w:vertAlign w:val="subscript"/>
          <w:lang w:val="tr-TR"/>
        </w:rPr>
      </w:pPr>
    </w:p>
    <w:p w14:paraId="6F71ACED" w14:textId="77777777" w:rsidR="00B22C3A" w:rsidRDefault="00B22C3A" w:rsidP="00B02F02">
      <w:pPr>
        <w:spacing w:line="360" w:lineRule="auto"/>
        <w:contextualSpacing/>
        <w:jc w:val="center"/>
        <w:rPr>
          <w:rFonts w:eastAsiaTheme="minorEastAsia"/>
          <w:b/>
          <w:lang w:val="tr-TR"/>
        </w:rPr>
      </w:pPr>
    </w:p>
    <w:p w14:paraId="702D5479" w14:textId="2C07E589" w:rsidR="00B22C3A" w:rsidRDefault="00B02F02" w:rsidP="00B22C3A">
      <w:pPr>
        <w:pStyle w:val="ListParagraph"/>
        <w:numPr>
          <w:ilvl w:val="0"/>
          <w:numId w:val="5"/>
        </w:numPr>
      </w:pPr>
      <w:r w:rsidRPr="00B02F02">
        <w:t xml:space="preserve">Geri </w:t>
      </w:r>
      <w:proofErr w:type="spellStart"/>
      <w:r w:rsidRPr="00B02F02">
        <w:t>kalan</w:t>
      </w:r>
      <w:proofErr w:type="spellEnd"/>
      <w:r w:rsidRPr="00B02F02">
        <w:t xml:space="preserve"> </w:t>
      </w:r>
      <w:proofErr w:type="spellStart"/>
      <w:r>
        <w:t>yüzde</w:t>
      </w:r>
      <w:proofErr w:type="spellEnd"/>
      <w:r>
        <w:t xml:space="preserve"> </w:t>
      </w:r>
      <w:proofErr w:type="spellStart"/>
      <w:r>
        <w:t>yetmiş</w:t>
      </w:r>
      <w:proofErr w:type="spellEnd"/>
      <w:r>
        <w:t xml:space="preserve"> </w:t>
      </w:r>
      <w:proofErr w:type="spellStart"/>
      <w:r>
        <w:t>beşlik</w:t>
      </w:r>
      <w:proofErr w:type="spellEnd"/>
      <w:r w:rsidRPr="00B02F02">
        <w:t xml:space="preserve"> </w:t>
      </w:r>
      <w:proofErr w:type="spellStart"/>
      <w:r w:rsidRPr="00B02F02">
        <w:t>kısım</w:t>
      </w:r>
      <w:proofErr w:type="spellEnd"/>
      <w:r w:rsidRPr="00B02F02">
        <w:t xml:space="preserve"> </w:t>
      </w:r>
      <w:proofErr w:type="spellStart"/>
      <w:r w:rsidRPr="00B02F02">
        <w:t>yerli</w:t>
      </w:r>
      <w:proofErr w:type="spellEnd"/>
      <w:r w:rsidRPr="00B02F02">
        <w:t xml:space="preserve"> </w:t>
      </w:r>
      <w:proofErr w:type="spellStart"/>
      <w:r w:rsidRPr="00B02F02">
        <w:t>kaynaklara</w:t>
      </w:r>
      <w:proofErr w:type="spellEnd"/>
      <w:r w:rsidRPr="00B02F02">
        <w:t xml:space="preserve"> </w:t>
      </w:r>
      <w:proofErr w:type="spellStart"/>
      <w:r w:rsidRPr="00B02F02">
        <w:t>öncelik</w:t>
      </w:r>
      <w:proofErr w:type="spellEnd"/>
      <w:r w:rsidRPr="00B02F02">
        <w:t xml:space="preserve"> </w:t>
      </w:r>
      <w:proofErr w:type="spellStart"/>
      <w:r w:rsidRPr="00B02F02">
        <w:t>verilmek</w:t>
      </w:r>
      <w:proofErr w:type="spellEnd"/>
      <w:r w:rsidRPr="00B02F02">
        <w:t xml:space="preserve"> </w:t>
      </w:r>
      <w:proofErr w:type="spellStart"/>
      <w:r w:rsidRPr="00B02F02">
        <w:t>suretiyle</w:t>
      </w:r>
      <w:proofErr w:type="spellEnd"/>
      <w:r w:rsidRPr="00B02F02">
        <w:t xml:space="preserve"> </w:t>
      </w:r>
      <w:proofErr w:type="spellStart"/>
      <w:r w:rsidRPr="00B02F02">
        <w:t>aşağıdaki</w:t>
      </w:r>
      <w:proofErr w:type="spellEnd"/>
      <w:r w:rsidRPr="00B02F02">
        <w:t xml:space="preserve"> </w:t>
      </w:r>
      <w:proofErr w:type="spellStart"/>
      <w:r w:rsidRPr="00B02F02">
        <w:t>formüle</w:t>
      </w:r>
      <w:proofErr w:type="spellEnd"/>
      <w:r w:rsidRPr="00B02F02">
        <w:t xml:space="preserve"> </w:t>
      </w:r>
      <w:proofErr w:type="spellStart"/>
      <w:r w:rsidRPr="00B02F02">
        <w:t>göre</w:t>
      </w:r>
      <w:proofErr w:type="spellEnd"/>
      <w:r w:rsidRPr="00B02F02">
        <w:t xml:space="preserve"> </w:t>
      </w:r>
      <w:proofErr w:type="spellStart"/>
      <w:r w:rsidRPr="00B02F02">
        <w:t>ödenmektedir</w:t>
      </w:r>
      <w:proofErr w:type="spellEnd"/>
      <w:r w:rsidRPr="00B02F02">
        <w:t>:</w:t>
      </w:r>
    </w:p>
    <w:p w14:paraId="2AF147BA" w14:textId="77777777" w:rsidR="00B22C3A" w:rsidRDefault="00B22C3A" w:rsidP="00B22C3A">
      <w:pPr>
        <w:pStyle w:val="ListParagraph"/>
      </w:pPr>
    </w:p>
    <w:p w14:paraId="088E72FC" w14:textId="79772323" w:rsidR="00B02F02" w:rsidRPr="00B22C3A" w:rsidRDefault="004A2FAC" w:rsidP="00B02F02">
      <w:pPr>
        <w:ind w:left="360"/>
        <w:rPr>
          <w:rFonts w:eastAsiaTheme="minorEastAsia"/>
          <w:b/>
          <w:iCs/>
          <w:lang w:val="tr-TR"/>
        </w:rPr>
      </w:pPr>
      <m:oMathPara>
        <m:oMath>
          <m:r>
            <m:rPr>
              <m:sty m:val="bi"/>
            </m:rPr>
            <w:rPr>
              <w:rFonts w:ascii="Cambria Math" w:hAnsi="Cambria Math"/>
              <w:vertAlign w:val="subscript"/>
              <w:lang w:val="tr-TR"/>
            </w:rPr>
            <m:t>K</m:t>
          </m:r>
          <m:r>
            <m:rPr>
              <m:sty m:val="b"/>
            </m:rPr>
            <w:rPr>
              <w:rFonts w:ascii="Cambria Math" w:hAnsi="Cambria Math"/>
              <w:vertAlign w:val="subscript"/>
              <w:lang w:val="tr-TR"/>
            </w:rPr>
            <m:t>apasite Ödemesi=</m:t>
          </m:r>
          <m:r>
            <m:rPr>
              <m:sty m:val="b"/>
            </m:rPr>
            <w:rPr>
              <w:rFonts w:ascii="Cambria Math" w:hAnsi="Cambria Math"/>
              <w:lang w:val="tr-TR"/>
            </w:rPr>
            <m:t>Kapasite Kullanım Oranı*</m:t>
          </m:r>
          <m:d>
            <m:dPr>
              <m:begChr m:val="["/>
              <m:endChr m:val="]"/>
              <m:ctrlPr>
                <w:rPr>
                  <w:rFonts w:ascii="Cambria Math" w:hAnsi="Cambria Math"/>
                  <w:b/>
                  <w:iCs/>
                  <w:lang w:val="tr-TR"/>
                </w:rPr>
              </m:ctrlPr>
            </m:dPr>
            <m:e>
              <m:nary>
                <m:naryPr>
                  <m:chr m:val="∑"/>
                  <m:limLoc m:val="undOvr"/>
                  <m:subHide m:val="1"/>
                  <m:supHide m:val="1"/>
                  <m:ctrlPr>
                    <w:rPr>
                      <w:rFonts w:ascii="Cambria Math" w:hAnsi="Cambria Math"/>
                      <w:b/>
                      <w:iCs/>
                      <w:lang w:val="tr-TR"/>
                    </w:rPr>
                  </m:ctrlPr>
                </m:naryPr>
                <m:sub/>
                <m:sup/>
                <m:e>
                  <m:r>
                    <m:rPr>
                      <m:sty m:val="b"/>
                    </m:rPr>
                    <w:rPr>
                      <w:rFonts w:ascii="Cambria Math" w:hAnsi="Cambria Math"/>
                      <w:lang w:val="tr-TR"/>
                    </w:rPr>
                    <m:t xml:space="preserve">Kurulu Güç*Sabit Maliyet Bileşeni+ </m:t>
                  </m:r>
                  <m:nary>
                    <m:naryPr>
                      <m:chr m:val="∑"/>
                      <m:limLoc m:val="undOvr"/>
                      <m:subHide m:val="1"/>
                      <m:supHide m:val="1"/>
                      <m:ctrlPr>
                        <w:rPr>
                          <w:rFonts w:ascii="Cambria Math" w:hAnsi="Cambria Math"/>
                          <w:b/>
                          <w:iCs/>
                          <w:lang w:val="tr-TR"/>
                        </w:rPr>
                      </m:ctrlPr>
                    </m:naryPr>
                    <m:sub/>
                    <m:sup/>
                    <m:e>
                      <m:r>
                        <m:rPr>
                          <m:sty m:val="b"/>
                        </m:rPr>
                        <w:rPr>
                          <w:rFonts w:ascii="Cambria Math" w:hAnsi="Cambria Math"/>
                          <w:lang w:val="tr-TR"/>
                        </w:rPr>
                        <m:t xml:space="preserve">Kurulu Güç* </m:t>
                      </m:r>
                      <m:d>
                        <m:dPr>
                          <m:ctrlPr>
                            <w:rPr>
                              <w:rFonts w:ascii="Cambria Math" w:hAnsi="Cambria Math"/>
                              <w:b/>
                              <w:iCs/>
                              <w:lang w:val="tr-TR"/>
                            </w:rPr>
                          </m:ctrlPr>
                        </m:dPr>
                        <m:e>
                          <m:r>
                            <m:rPr>
                              <m:sty m:val="b"/>
                            </m:rPr>
                            <w:rPr>
                              <w:rFonts w:ascii="Cambria Math" w:hAnsi="Cambria Math"/>
                              <w:lang w:val="tr-TR"/>
                            </w:rPr>
                            <m:t>Toplam Maliyet Bileşeni-Piyasa Takas Fiyatı</m:t>
                          </m:r>
                        </m:e>
                      </m:d>
                    </m:e>
                  </m:nary>
                </m:e>
              </m:nary>
            </m:e>
          </m:d>
        </m:oMath>
      </m:oMathPara>
    </w:p>
    <w:p w14:paraId="3B16FEB0" w14:textId="553D0322" w:rsidR="00B22C3A" w:rsidRDefault="00B22C3A" w:rsidP="00B22C3A">
      <w:pPr>
        <w:spacing w:line="360" w:lineRule="auto"/>
        <w:contextualSpacing/>
        <w:jc w:val="both"/>
        <w:rPr>
          <w:lang w:val="tr-TR"/>
        </w:rPr>
      </w:pPr>
      <w:r w:rsidRPr="00BA4994">
        <w:rPr>
          <w:lang w:val="tr-TR"/>
        </w:rPr>
        <w:t xml:space="preserve">31 Aralık 2023 tarihinde yapılan </w:t>
      </w:r>
      <w:r>
        <w:rPr>
          <w:lang w:val="tr-TR"/>
        </w:rPr>
        <w:t>güncellemelere bağlı olarak</w:t>
      </w:r>
      <w:r w:rsidRPr="00BA4994">
        <w:rPr>
          <w:lang w:val="tr-TR"/>
        </w:rPr>
        <w:t xml:space="preserve"> </w:t>
      </w:r>
      <w:r w:rsidRPr="000E362C">
        <w:rPr>
          <w:lang w:val="tr-TR"/>
        </w:rPr>
        <w:t xml:space="preserve">dengeleme güç piyasası kapsamında yük alma ve yük atma talimatı alan santrallere, ilgili talimata denk gelen saatler için kapasite ödemesi </w:t>
      </w:r>
      <w:r>
        <w:rPr>
          <w:lang w:val="tr-TR"/>
        </w:rPr>
        <w:t xml:space="preserve">yapılmayacaktır. Ayrıca, </w:t>
      </w:r>
      <w:r w:rsidRPr="00BA4994">
        <w:rPr>
          <w:lang w:val="tr-TR"/>
        </w:rPr>
        <w:t xml:space="preserve">ithal kömür veya ithal doğal gaz yakıtlı santrallerde, bir fatura döneminde yerli kömür veya yerli doğal gaz kullanılarak elektrik üretimi yapılması halinde, bu üretim miktarının iki katı oranında yerli kaynak kapsamında kapasite ödemesi yapılmaktadır. </w:t>
      </w:r>
    </w:p>
    <w:p w14:paraId="3D8B22CE" w14:textId="6A8BFAA3" w:rsidR="000458E2" w:rsidRPr="000458E2" w:rsidRDefault="000458E2" w:rsidP="00B02F02">
      <w:pPr>
        <w:ind w:left="360"/>
        <w:rPr>
          <w:rFonts w:eastAsiaTheme="minorEastAsia"/>
          <w:b/>
          <w:iCs/>
          <w:lang w:val="tr-TR"/>
        </w:rPr>
      </w:pPr>
    </w:p>
    <w:p w14:paraId="583F93EF" w14:textId="70162886" w:rsidR="004804EF" w:rsidRPr="00CF336B" w:rsidRDefault="00646960" w:rsidP="004D4361">
      <w:pPr>
        <w:pStyle w:val="Heading1"/>
        <w:numPr>
          <w:ilvl w:val="0"/>
          <w:numId w:val="12"/>
        </w:numPr>
        <w:spacing w:line="360" w:lineRule="auto"/>
        <w:jc w:val="both"/>
        <w:rPr>
          <w:sz w:val="22"/>
          <w:szCs w:val="22"/>
          <w:lang w:val="tr-TR"/>
        </w:rPr>
      </w:pPr>
      <w:bookmarkStart w:id="21" w:name="_Toc156210441"/>
      <w:r w:rsidRPr="00CF336B">
        <w:rPr>
          <w:sz w:val="22"/>
          <w:szCs w:val="22"/>
          <w:lang w:val="tr-TR"/>
        </w:rPr>
        <w:t>Kapasite Mekanizması Uygulamasının Mevcut Durumu</w:t>
      </w:r>
      <w:bookmarkEnd w:id="21"/>
    </w:p>
    <w:p w14:paraId="4517BC59" w14:textId="77777777" w:rsidR="001476A2" w:rsidRPr="00CF336B" w:rsidRDefault="001476A2" w:rsidP="004D4361">
      <w:pPr>
        <w:spacing w:line="360" w:lineRule="auto"/>
        <w:rPr>
          <w:lang w:val="tr-TR"/>
        </w:rPr>
      </w:pPr>
    </w:p>
    <w:p w14:paraId="724374F5" w14:textId="124A24C8" w:rsidR="00DB7B74" w:rsidRDefault="00755EA4" w:rsidP="004D4361">
      <w:pPr>
        <w:spacing w:line="360" w:lineRule="auto"/>
        <w:jc w:val="both"/>
        <w:rPr>
          <w:lang w:val="tr-TR"/>
        </w:rPr>
      </w:pPr>
      <w:r w:rsidRPr="00CF336B">
        <w:rPr>
          <w:lang w:val="tr-TR"/>
        </w:rPr>
        <w:t>Kapasite mekanizmasında yer alacak santraller için kriterlerde dönem içinde değişiklik yapılmış ve öncelikle hidroelektrik santrallerinin</w:t>
      </w:r>
      <w:r w:rsidR="00A550DF">
        <w:rPr>
          <w:lang w:val="tr-TR"/>
        </w:rPr>
        <w:t xml:space="preserve"> bir süre boyunca</w:t>
      </w:r>
      <w:r w:rsidRPr="00CF336B">
        <w:rPr>
          <w:lang w:val="tr-TR"/>
        </w:rPr>
        <w:t xml:space="preserve"> mekanizma kapsamına alınmasının önü açılmıştır. </w:t>
      </w:r>
      <w:r w:rsidR="00A550DF">
        <w:rPr>
          <w:lang w:val="tr-TR"/>
        </w:rPr>
        <w:t xml:space="preserve">31 Aralık 2023 tarihli değişiklik </w:t>
      </w:r>
      <w:proofErr w:type="gramStart"/>
      <w:r w:rsidR="00A550DF">
        <w:rPr>
          <w:lang w:val="tr-TR"/>
        </w:rPr>
        <w:t>ile birlikte</w:t>
      </w:r>
      <w:proofErr w:type="gramEnd"/>
      <w:r w:rsidR="00A550DF">
        <w:rPr>
          <w:lang w:val="tr-TR"/>
        </w:rPr>
        <w:t xml:space="preserve"> </w:t>
      </w:r>
      <w:r w:rsidR="000A6D76">
        <w:rPr>
          <w:lang w:val="tr-TR"/>
        </w:rPr>
        <w:t xml:space="preserve">hidroelektrik santraller, kapasite mekanizmasından yararlanabilecek santraller listesinin dışına çıkarılmıştır. </w:t>
      </w:r>
      <w:r w:rsidRPr="00CF336B">
        <w:rPr>
          <w:lang w:val="tr-TR"/>
        </w:rPr>
        <w:t>Daha sonraki yıllarda yapılan değişiklikler ile ithal yakıtlı santrallerin yaş sınırı önce yükseltilmiş ardından tamamen kaldırılmıştır</w:t>
      </w:r>
      <w:r w:rsidR="00DD5101">
        <w:rPr>
          <w:lang w:val="tr-TR"/>
        </w:rPr>
        <w:t xml:space="preserve">. </w:t>
      </w:r>
      <w:r w:rsidR="00DB7B74" w:rsidRPr="00CF336B">
        <w:rPr>
          <w:lang w:val="tr-TR"/>
        </w:rPr>
        <w:t xml:space="preserve">21 Mayıs 2021 tarihli </w:t>
      </w:r>
      <w:r w:rsidR="001D0C6E" w:rsidRPr="00CF336B">
        <w:rPr>
          <w:lang w:val="tr-TR"/>
        </w:rPr>
        <w:t>Resmî</w:t>
      </w:r>
      <w:r w:rsidR="00DB7B74" w:rsidRPr="00CF336B">
        <w:rPr>
          <w:lang w:val="tr-TR"/>
        </w:rPr>
        <w:t xml:space="preserve"> </w:t>
      </w:r>
      <w:proofErr w:type="spellStart"/>
      <w:r w:rsidR="00DB7B74" w:rsidRPr="00CF336B">
        <w:rPr>
          <w:lang w:val="tr-TR"/>
        </w:rPr>
        <w:t>Gazete’de</w:t>
      </w:r>
      <w:proofErr w:type="spellEnd"/>
      <w:r w:rsidR="00DB7B74" w:rsidRPr="00CF336B">
        <w:rPr>
          <w:lang w:val="tr-TR"/>
        </w:rPr>
        <w:t xml:space="preserve"> yayımlanan </w:t>
      </w:r>
      <w:r w:rsidR="00DD5101">
        <w:rPr>
          <w:lang w:val="tr-TR"/>
        </w:rPr>
        <w:t xml:space="preserve">bir diğer değişiklik ile </w:t>
      </w:r>
      <w:r w:rsidR="00DB7B74" w:rsidRPr="00CF336B">
        <w:rPr>
          <w:lang w:val="tr-TR"/>
        </w:rPr>
        <w:t xml:space="preserve">Yap-İşlet Santralleri de </w:t>
      </w:r>
      <w:r w:rsidRPr="00CF336B">
        <w:rPr>
          <w:lang w:val="tr-TR"/>
        </w:rPr>
        <w:t>k</w:t>
      </w:r>
      <w:r w:rsidR="00DB7B74" w:rsidRPr="00CF336B">
        <w:rPr>
          <w:lang w:val="tr-TR"/>
        </w:rPr>
        <w:t xml:space="preserve">apasite </w:t>
      </w:r>
      <w:r w:rsidRPr="00CF336B">
        <w:rPr>
          <w:lang w:val="tr-TR"/>
        </w:rPr>
        <w:t>m</w:t>
      </w:r>
      <w:r w:rsidR="00207326" w:rsidRPr="00CF336B">
        <w:rPr>
          <w:lang w:val="tr-TR"/>
        </w:rPr>
        <w:t xml:space="preserve">ekanizmasına </w:t>
      </w:r>
      <w:r w:rsidR="00DB7B74" w:rsidRPr="00CF336B">
        <w:rPr>
          <w:lang w:val="tr-TR"/>
        </w:rPr>
        <w:t>katılım hakkı kazanmıştır. Normalde başvurular bir önceki yılın sonunda yapılmakta ve ilgili yıl boyunca bu mekanizmadan yararlanacak nihai santraller açıklanmaktadır. Fakat bu düzenleme ardından 2021 yılı Mayıs ayında</w:t>
      </w:r>
      <w:r w:rsidR="006F5579" w:rsidRPr="00CF336B">
        <w:rPr>
          <w:lang w:val="tr-TR"/>
        </w:rPr>
        <w:t>n itibaren</w:t>
      </w:r>
      <w:r w:rsidR="00DB7B74" w:rsidRPr="00CF336B">
        <w:rPr>
          <w:lang w:val="tr-TR"/>
        </w:rPr>
        <w:t xml:space="preserve"> </w:t>
      </w:r>
      <w:proofErr w:type="gramStart"/>
      <w:r w:rsidR="00DB7B74" w:rsidRPr="00CF336B">
        <w:rPr>
          <w:lang w:val="tr-TR"/>
        </w:rPr>
        <w:t>Yap</w:t>
      </w:r>
      <w:r w:rsidR="002F2A85">
        <w:rPr>
          <w:lang w:val="tr-TR"/>
        </w:rPr>
        <w:t xml:space="preserve"> </w:t>
      </w:r>
      <w:r w:rsidR="00DB7B74" w:rsidRPr="00CF336B">
        <w:rPr>
          <w:lang w:val="tr-TR"/>
        </w:rPr>
        <w:t>-</w:t>
      </w:r>
      <w:proofErr w:type="gramEnd"/>
      <w:r w:rsidR="002F2A85">
        <w:rPr>
          <w:lang w:val="tr-TR"/>
        </w:rPr>
        <w:t xml:space="preserve"> </w:t>
      </w:r>
      <w:r w:rsidR="00DB7B74" w:rsidRPr="00CF336B">
        <w:rPr>
          <w:lang w:val="tr-TR"/>
        </w:rPr>
        <w:t>İşlet Santrallerinden bazıları listeye dahil edilmiştir.</w:t>
      </w:r>
      <w:r w:rsidR="006F5579" w:rsidRPr="00CF336B">
        <w:rPr>
          <w:lang w:val="tr-TR"/>
        </w:rPr>
        <w:t xml:space="preserve"> Bu santraller</w:t>
      </w:r>
      <w:r w:rsidR="000F6E61" w:rsidRPr="00CF336B">
        <w:rPr>
          <w:lang w:val="tr-TR"/>
        </w:rPr>
        <w:t xml:space="preserve">in listeye dahil edilmesi ardından bu yıl için belirlenen kapasite mekanizması bütçesinin üzerine çıkılmıştır. </w:t>
      </w:r>
      <w:r w:rsidR="006C2546" w:rsidRPr="00CF336B">
        <w:rPr>
          <w:lang w:val="tr-TR"/>
        </w:rPr>
        <w:t>2018 yılından itibaren aylık belirlenen bütçeler ve yapılan ödemeler</w:t>
      </w:r>
      <w:r w:rsidR="00F27275" w:rsidRPr="00CF336B">
        <w:rPr>
          <w:lang w:val="tr-TR"/>
        </w:rPr>
        <w:t xml:space="preserve"> </w:t>
      </w:r>
      <w:r w:rsidR="00F27275" w:rsidRPr="00CF336B">
        <w:rPr>
          <w:lang w:val="tr-TR"/>
        </w:rPr>
        <w:fldChar w:fldCharType="begin"/>
      </w:r>
      <w:r w:rsidR="00F27275" w:rsidRPr="00CF336B">
        <w:rPr>
          <w:lang w:val="tr-TR"/>
        </w:rPr>
        <w:instrText xml:space="preserve"> REF _Ref149051790 \h </w:instrText>
      </w:r>
      <w:r w:rsidR="004D4361">
        <w:rPr>
          <w:lang w:val="tr-TR"/>
        </w:rPr>
        <w:instrText xml:space="preserve"> \* MERGEFORMAT </w:instrText>
      </w:r>
      <w:r w:rsidR="00F27275" w:rsidRPr="00CF336B">
        <w:rPr>
          <w:lang w:val="tr-TR"/>
        </w:rPr>
      </w:r>
      <w:r w:rsidR="00F27275" w:rsidRPr="00CF336B">
        <w:rPr>
          <w:lang w:val="tr-TR"/>
        </w:rPr>
        <w:fldChar w:fldCharType="separate"/>
      </w:r>
      <w:r w:rsidR="00F27275" w:rsidRPr="008A77BA">
        <w:rPr>
          <w:lang w:val="tr-TR"/>
        </w:rPr>
        <w:t xml:space="preserve">Şekil </w:t>
      </w:r>
      <w:r w:rsidR="00F27275" w:rsidRPr="008A77BA">
        <w:rPr>
          <w:noProof/>
          <w:lang w:val="tr-TR"/>
        </w:rPr>
        <w:t>3</w:t>
      </w:r>
      <w:r w:rsidR="00F27275" w:rsidRPr="00CF336B">
        <w:rPr>
          <w:lang w:val="tr-TR"/>
        </w:rPr>
        <w:fldChar w:fldCharType="end"/>
      </w:r>
      <w:r w:rsidR="006C2546" w:rsidRPr="00CF336B">
        <w:rPr>
          <w:lang w:val="tr-TR"/>
        </w:rPr>
        <w:t>’</w:t>
      </w:r>
      <w:r w:rsidR="00E84205" w:rsidRPr="00CF336B">
        <w:rPr>
          <w:lang w:val="tr-TR"/>
        </w:rPr>
        <w:t>t</w:t>
      </w:r>
      <w:r w:rsidR="006C2546" w:rsidRPr="00CF336B">
        <w:rPr>
          <w:lang w:val="tr-TR"/>
        </w:rPr>
        <w:t>e gösterilmektedir</w:t>
      </w:r>
      <w:r w:rsidR="00C256B5" w:rsidRPr="00CF336B">
        <w:rPr>
          <w:lang w:val="tr-TR"/>
        </w:rPr>
        <w:t xml:space="preserve"> </w:t>
      </w:r>
      <w:sdt>
        <w:sdtPr>
          <w:rPr>
            <w:lang w:val="tr-TR"/>
          </w:rPr>
          <w:id w:val="-779719748"/>
          <w:citation/>
        </w:sdtPr>
        <w:sdtEndPr/>
        <w:sdtContent>
          <w:r w:rsidR="00C256B5" w:rsidRPr="00CF336B">
            <w:rPr>
              <w:lang w:val="tr-TR"/>
            </w:rPr>
            <w:fldChar w:fldCharType="begin"/>
          </w:r>
          <w:r w:rsidR="00C256B5" w:rsidRPr="00CF336B">
            <w:rPr>
              <w:lang w:val="tr-TR"/>
            </w:rPr>
            <w:instrText xml:space="preserve"> CITATION TEİ23 \l 1055 </w:instrText>
          </w:r>
          <w:r w:rsidR="00C256B5" w:rsidRPr="00CF336B">
            <w:rPr>
              <w:lang w:val="tr-TR"/>
            </w:rPr>
            <w:fldChar w:fldCharType="separate"/>
          </w:r>
          <w:r w:rsidR="00D95FF7">
            <w:rPr>
              <w:noProof/>
              <w:lang w:val="tr-TR"/>
            </w:rPr>
            <w:t>(TEİAŞ, 2023)</w:t>
          </w:r>
          <w:r w:rsidR="00C256B5" w:rsidRPr="00CF336B">
            <w:rPr>
              <w:lang w:val="tr-TR"/>
            </w:rPr>
            <w:fldChar w:fldCharType="end"/>
          </w:r>
        </w:sdtContent>
      </w:sdt>
      <w:r w:rsidR="006C2546" w:rsidRPr="00CF336B">
        <w:rPr>
          <w:lang w:val="tr-TR"/>
        </w:rPr>
        <w:t>.</w:t>
      </w:r>
    </w:p>
    <w:p w14:paraId="2AA5C55D" w14:textId="77777777" w:rsidR="004E201B" w:rsidRPr="00CF336B" w:rsidRDefault="004E201B" w:rsidP="004D4361">
      <w:pPr>
        <w:spacing w:line="360" w:lineRule="auto"/>
        <w:jc w:val="both"/>
        <w:rPr>
          <w:lang w:val="tr-TR"/>
        </w:rPr>
      </w:pPr>
    </w:p>
    <w:p w14:paraId="178FC028" w14:textId="0590B957" w:rsidR="00F27275" w:rsidRPr="008A77BA" w:rsidRDefault="005D559F" w:rsidP="005D559F">
      <w:pPr>
        <w:spacing w:line="360" w:lineRule="auto"/>
        <w:rPr>
          <w:lang w:val="tr-TR"/>
        </w:rPr>
      </w:pPr>
      <w:r w:rsidRPr="00CF336B">
        <w:rPr>
          <w:noProof/>
          <w:lang w:val="tr-TR"/>
        </w:rPr>
        <mc:AlternateContent>
          <mc:Choice Requires="wps">
            <w:drawing>
              <wp:anchor distT="0" distB="0" distL="114300" distR="114300" simplePos="0" relativeHeight="251658240" behindDoc="0" locked="0" layoutInCell="1" allowOverlap="1" wp14:anchorId="01695FD0" wp14:editId="70B15E8C">
                <wp:simplePos x="0" y="0"/>
                <wp:positionH relativeFrom="column">
                  <wp:posOffset>3350426</wp:posOffset>
                </wp:positionH>
                <wp:positionV relativeFrom="paragraph">
                  <wp:posOffset>7454</wp:posOffset>
                </wp:positionV>
                <wp:extent cx="1510393" cy="726621"/>
                <wp:effectExtent l="0" t="0" r="0" b="0"/>
                <wp:wrapNone/>
                <wp:docPr id="436298504" name="Text Box 436298504"/>
                <wp:cNvGraphicFramePr/>
                <a:graphic xmlns:a="http://schemas.openxmlformats.org/drawingml/2006/main">
                  <a:graphicData uri="http://schemas.microsoft.com/office/word/2010/wordprocessingShape">
                    <wps:wsp>
                      <wps:cNvSpPr txBox="1"/>
                      <wps:spPr>
                        <a:xfrm>
                          <a:off x="0" y="0"/>
                          <a:ext cx="1510393" cy="726621"/>
                        </a:xfrm>
                        <a:prstGeom prst="rect">
                          <a:avLst/>
                        </a:prstGeom>
                        <a:solidFill>
                          <a:schemeClr val="lt1"/>
                        </a:solidFill>
                        <a:ln w="6350">
                          <a:noFill/>
                        </a:ln>
                      </wps:spPr>
                      <wps:txbx>
                        <w:txbxContent>
                          <w:p w14:paraId="54586195" w14:textId="61D85DF3" w:rsidR="006C2546" w:rsidRPr="006C2546" w:rsidRDefault="006C2546" w:rsidP="002F2A85">
                            <w:pPr>
                              <w:rPr>
                                <w:sz w:val="18"/>
                                <w:szCs w:val="18"/>
                              </w:rPr>
                            </w:pPr>
                            <w:r w:rsidRPr="006C2546">
                              <w:rPr>
                                <w:sz w:val="18"/>
                                <w:szCs w:val="18"/>
                              </w:rPr>
                              <w:t>2021 yılında değişen yönetmelikle beraber yapılan ödemeler bütçenin üzerinde gerçekleş</w:t>
                            </w:r>
                            <w:r w:rsidR="002F2A85">
                              <w:rPr>
                                <w:sz w:val="18"/>
                                <w:szCs w:val="18"/>
                              </w:rPr>
                              <w:t>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95FD0" id="_x0000_t202" coordsize="21600,21600" o:spt="202" path="m,l,21600r21600,l21600,xe">
                <v:stroke joinstyle="miter"/>
                <v:path gradientshapeok="t" o:connecttype="rect"/>
              </v:shapetype>
              <v:shape id="Text Box 436298504" o:spid="_x0000_s1026" type="#_x0000_t202" style="position:absolute;margin-left:263.8pt;margin-top:.6pt;width:118.95pt;height:5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" fillcolor="white [3201]" stroked="f" strokeweight=".5pt">
                <v:textbox>
                  <w:txbxContent>
                    <w:p w14:paraId="54586195" w14:textId="61D85DF3" w:rsidR="006C2546" w:rsidRPr="006C2546" w:rsidRDefault="006C2546" w:rsidP="002F2A85">
                      <w:pPr>
                        <w:rPr>
                          <w:sz w:val="18"/>
                          <w:szCs w:val="18"/>
                        </w:rPr>
                      </w:pPr>
                      <w:r w:rsidRPr="006C2546">
                        <w:rPr>
                          <w:sz w:val="18"/>
                          <w:szCs w:val="18"/>
                        </w:rPr>
                        <w:t>2021 yılında değişen yönetmelikle beraber yapılan ödemeler bütçenin üzerinde gerçekleş</w:t>
                      </w:r>
                      <w:r w:rsidR="002F2A85">
                        <w:rPr>
                          <w:sz w:val="18"/>
                          <w:szCs w:val="18"/>
                        </w:rPr>
                        <w:t>miştir.</w:t>
                      </w:r>
                    </w:p>
                  </w:txbxContent>
                </v:textbox>
              </v:shape>
            </w:pict>
          </mc:Fallback>
        </mc:AlternateContent>
      </w:r>
      <w:r>
        <w:rPr>
          <w:noProof/>
        </w:rPr>
        <w:drawing>
          <wp:inline distT="0" distB="0" distL="0" distR="0" wp14:anchorId="3D1F192D" wp14:editId="2E078149">
            <wp:extent cx="6345141" cy="2878373"/>
            <wp:effectExtent l="0" t="0" r="0" b="0"/>
            <wp:docPr id="1700866992" name="Chart 1">
              <a:extLst xmlns:a="http://schemas.openxmlformats.org/drawingml/2006/main">
                <a:ext uri="{FF2B5EF4-FFF2-40B4-BE49-F238E27FC236}">
                  <a16:creationId xmlns:a16="http://schemas.microsoft.com/office/drawing/2014/main" id="{EBF788D6-158C-BA78-29B8-8848BAC59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13E5A4" w14:textId="261C1ECF" w:rsidR="008F0EA3" w:rsidRPr="005D559F" w:rsidRDefault="00F27275" w:rsidP="005D559F">
      <w:pPr>
        <w:pStyle w:val="Caption"/>
        <w:spacing w:line="360" w:lineRule="auto"/>
        <w:jc w:val="center"/>
        <w:rPr>
          <w:color w:val="auto"/>
          <w:sz w:val="22"/>
          <w:szCs w:val="22"/>
          <w:lang w:val="tr-TR"/>
        </w:rPr>
      </w:pPr>
      <w:bookmarkStart w:id="22" w:name="_Ref149051790"/>
      <w:bookmarkStart w:id="23" w:name="_Toc156210457"/>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3</w:t>
      </w:r>
      <w:r w:rsidRPr="008A77BA">
        <w:rPr>
          <w:color w:val="auto"/>
          <w:sz w:val="22"/>
          <w:szCs w:val="22"/>
          <w:lang w:val="tr-TR"/>
        </w:rPr>
        <w:fldChar w:fldCharType="end"/>
      </w:r>
      <w:bookmarkEnd w:id="22"/>
      <w:r w:rsidRPr="008A77BA">
        <w:rPr>
          <w:color w:val="auto"/>
          <w:sz w:val="22"/>
          <w:szCs w:val="22"/>
          <w:lang w:val="tr-TR"/>
        </w:rPr>
        <w:t>. Kapasite Mekanizması Aylık Bütçe ve Yapılan Ödemeler</w:t>
      </w:r>
      <w:bookmarkEnd w:id="23"/>
    </w:p>
    <w:p w14:paraId="366AFA53" w14:textId="0AB441A6" w:rsidR="000F6E61" w:rsidRPr="00CF336B" w:rsidRDefault="00AB64DB" w:rsidP="004D4361">
      <w:pPr>
        <w:spacing w:line="360" w:lineRule="auto"/>
        <w:jc w:val="both"/>
        <w:rPr>
          <w:lang w:val="tr-TR"/>
        </w:rPr>
      </w:pPr>
      <w:r w:rsidRPr="00CF336B">
        <w:rPr>
          <w:lang w:val="tr-TR"/>
        </w:rPr>
        <w:t xml:space="preserve">Kapasite mekanizması ödemelerine kaynak bazında bakıldığında ise </w:t>
      </w:r>
      <w:r w:rsidR="00791AD8" w:rsidRPr="00CF336B">
        <w:rPr>
          <w:lang w:val="tr-TR"/>
        </w:rPr>
        <w:t xml:space="preserve">yıllara göre </w:t>
      </w:r>
      <w:r w:rsidRPr="00CF336B">
        <w:rPr>
          <w:lang w:val="tr-TR"/>
        </w:rPr>
        <w:t>ödemeler</w:t>
      </w:r>
      <w:r w:rsidR="001D0104" w:rsidRPr="00CF336B">
        <w:rPr>
          <w:lang w:val="tr-TR"/>
        </w:rPr>
        <w:t xml:space="preserve"> </w:t>
      </w:r>
      <w:r w:rsidR="001D0104" w:rsidRPr="00CF336B">
        <w:rPr>
          <w:lang w:val="tr-TR"/>
        </w:rPr>
        <w:fldChar w:fldCharType="begin"/>
      </w:r>
      <w:r w:rsidR="001D0104" w:rsidRPr="00CF336B">
        <w:rPr>
          <w:lang w:val="tr-TR"/>
        </w:rPr>
        <w:instrText xml:space="preserve"> REF _Ref147845605 \h  \* MERGEFORMAT </w:instrText>
      </w:r>
      <w:r w:rsidR="001D0104" w:rsidRPr="00CF336B">
        <w:rPr>
          <w:lang w:val="tr-TR"/>
        </w:rPr>
      </w:r>
      <w:r w:rsidR="001D0104" w:rsidRPr="00CF336B">
        <w:rPr>
          <w:lang w:val="tr-TR"/>
        </w:rPr>
        <w:fldChar w:fldCharType="separate"/>
      </w:r>
      <w:r w:rsidR="00F27275" w:rsidRPr="00CF336B">
        <w:rPr>
          <w:lang w:val="tr-TR"/>
        </w:rPr>
        <w:t xml:space="preserve">Şekil </w:t>
      </w:r>
      <w:r w:rsidR="00F27275" w:rsidRPr="00CF336B">
        <w:rPr>
          <w:noProof/>
          <w:lang w:val="tr-TR"/>
        </w:rPr>
        <w:t>4</w:t>
      </w:r>
      <w:r w:rsidR="001D0104" w:rsidRPr="00CF336B">
        <w:rPr>
          <w:lang w:val="tr-TR"/>
        </w:rPr>
        <w:fldChar w:fldCharType="end"/>
      </w:r>
      <w:r w:rsidR="00C3610E" w:rsidRPr="00CF336B">
        <w:rPr>
          <w:lang w:val="tr-TR"/>
        </w:rPr>
        <w:t>’te</w:t>
      </w:r>
      <w:r w:rsidR="00B66CC3" w:rsidRPr="00CF336B">
        <w:rPr>
          <w:lang w:val="tr-TR"/>
        </w:rPr>
        <w:t xml:space="preserve"> </w:t>
      </w:r>
      <w:r w:rsidR="00C256B5" w:rsidRPr="00CF336B">
        <w:rPr>
          <w:lang w:val="tr-TR"/>
        </w:rPr>
        <w:t xml:space="preserve">gösterildiği </w:t>
      </w:r>
      <w:r w:rsidRPr="00CF336B">
        <w:rPr>
          <w:lang w:val="tr-TR"/>
        </w:rPr>
        <w:t>gibi dağıtılm</w:t>
      </w:r>
      <w:r w:rsidR="00791AD8" w:rsidRPr="00CF336B">
        <w:rPr>
          <w:lang w:val="tr-TR"/>
        </w:rPr>
        <w:t>ıştır</w:t>
      </w:r>
      <w:sdt>
        <w:sdtPr>
          <w:rPr>
            <w:lang w:val="tr-TR"/>
          </w:rPr>
          <w:id w:val="-1384788619"/>
          <w:citation/>
        </w:sdtPr>
        <w:sdtEndPr/>
        <w:sdtContent>
          <w:r w:rsidR="00C256B5" w:rsidRPr="00CF336B">
            <w:rPr>
              <w:lang w:val="tr-TR"/>
            </w:rPr>
            <w:fldChar w:fldCharType="begin"/>
          </w:r>
          <w:r w:rsidR="00C256B5" w:rsidRPr="00CF336B">
            <w:rPr>
              <w:lang w:val="tr-TR"/>
            </w:rPr>
            <w:instrText xml:space="preserve"> CITATION TEİ23 \l 1055 </w:instrText>
          </w:r>
          <w:r w:rsidR="00C256B5" w:rsidRPr="00CF336B">
            <w:rPr>
              <w:lang w:val="tr-TR"/>
            </w:rPr>
            <w:fldChar w:fldCharType="separate"/>
          </w:r>
          <w:r w:rsidR="00D95FF7">
            <w:rPr>
              <w:noProof/>
              <w:lang w:val="tr-TR"/>
            </w:rPr>
            <w:t xml:space="preserve"> (TEİAŞ, 2023)</w:t>
          </w:r>
          <w:r w:rsidR="00C256B5" w:rsidRPr="00CF336B">
            <w:rPr>
              <w:lang w:val="tr-TR"/>
            </w:rPr>
            <w:fldChar w:fldCharType="end"/>
          </w:r>
        </w:sdtContent>
      </w:sdt>
      <w:r w:rsidRPr="00CF336B">
        <w:rPr>
          <w:lang w:val="tr-TR"/>
        </w:rPr>
        <w:t xml:space="preserve">. </w:t>
      </w:r>
      <w:r w:rsidR="000D2464" w:rsidRPr="00CF336B">
        <w:rPr>
          <w:lang w:val="tr-TR"/>
        </w:rPr>
        <w:t xml:space="preserve">Verilere bakıldığında </w:t>
      </w:r>
      <w:r w:rsidR="00655F76" w:rsidRPr="00CF336B">
        <w:rPr>
          <w:lang w:val="tr-TR"/>
        </w:rPr>
        <w:t xml:space="preserve">2022 </w:t>
      </w:r>
      <w:r w:rsidR="00463548">
        <w:rPr>
          <w:lang w:val="tr-TR"/>
        </w:rPr>
        <w:t>itibarıyla</w:t>
      </w:r>
      <w:r w:rsidR="00655F76" w:rsidRPr="00CF336B">
        <w:rPr>
          <w:lang w:val="tr-TR"/>
        </w:rPr>
        <w:t xml:space="preserve"> değişen kapasite mekanizması metodolojisi</w:t>
      </w:r>
      <w:r w:rsidR="000D2464" w:rsidRPr="00CF336B">
        <w:rPr>
          <w:lang w:val="tr-TR"/>
        </w:rPr>
        <w:t>nin</w:t>
      </w:r>
      <w:r w:rsidR="00655F76" w:rsidRPr="00CF336B">
        <w:rPr>
          <w:lang w:val="tr-TR"/>
        </w:rPr>
        <w:t>, ödemelerin daha çok doğal gaz santrallerine kayması</w:t>
      </w:r>
      <w:r w:rsidR="000D2464" w:rsidRPr="00CF336B">
        <w:rPr>
          <w:lang w:val="tr-TR"/>
        </w:rPr>
        <w:t xml:space="preserve"> sonucunu doğurduğu görülmektedir</w:t>
      </w:r>
      <w:r w:rsidR="00C256B5" w:rsidRPr="00CF336B">
        <w:rPr>
          <w:lang w:val="tr-TR"/>
        </w:rPr>
        <w:t>.</w:t>
      </w:r>
      <w:r w:rsidR="002F2A85">
        <w:rPr>
          <w:lang w:val="tr-TR"/>
        </w:rPr>
        <w:t xml:space="preserve"> </w:t>
      </w:r>
      <w:r w:rsidR="00C3610E" w:rsidRPr="00CF336B">
        <w:rPr>
          <w:lang w:val="tr-TR"/>
        </w:rPr>
        <w:t xml:space="preserve">2023 yılı verileri </w:t>
      </w:r>
      <w:r w:rsidR="000E6820">
        <w:rPr>
          <w:lang w:val="tr-TR"/>
        </w:rPr>
        <w:t xml:space="preserve">11 </w:t>
      </w:r>
      <w:r w:rsidR="00C3610E" w:rsidRPr="00CF336B">
        <w:rPr>
          <w:lang w:val="tr-TR"/>
        </w:rPr>
        <w:t xml:space="preserve">aylık dönemi </w:t>
      </w:r>
      <w:r w:rsidR="000E6820">
        <w:rPr>
          <w:lang w:val="tr-TR"/>
        </w:rPr>
        <w:t>kapsamaktadır.</w:t>
      </w:r>
    </w:p>
    <w:p w14:paraId="2EE1EB6C" w14:textId="77777777" w:rsidR="00C3610E" w:rsidRPr="00CF336B" w:rsidRDefault="00905501" w:rsidP="004D4361">
      <w:pPr>
        <w:keepNext/>
        <w:spacing w:line="360" w:lineRule="auto"/>
        <w:jc w:val="center"/>
        <w:rPr>
          <w:lang w:val="tr-TR"/>
        </w:rPr>
      </w:pPr>
      <w:r w:rsidRPr="00CF336B">
        <w:rPr>
          <w:noProof/>
          <w:lang w:val="tr-TR"/>
        </w:rPr>
        <w:drawing>
          <wp:inline distT="0" distB="0" distL="0" distR="0" wp14:anchorId="1A116D6C" wp14:editId="0E1058AA">
            <wp:extent cx="5486400" cy="3200400"/>
            <wp:effectExtent l="0" t="0" r="0" b="0"/>
            <wp:docPr id="19574801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319578" w14:textId="0B1974E9" w:rsidR="00C3610E" w:rsidRPr="00CF336B" w:rsidRDefault="00C3610E" w:rsidP="004D4361">
      <w:pPr>
        <w:pStyle w:val="Caption"/>
        <w:spacing w:line="360" w:lineRule="auto"/>
        <w:jc w:val="center"/>
        <w:rPr>
          <w:lang w:val="tr-TR"/>
        </w:rPr>
      </w:pPr>
      <w:bookmarkStart w:id="24" w:name="_Ref147845605"/>
      <w:bookmarkStart w:id="25" w:name="_Toc156210458"/>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4</w:t>
      </w:r>
      <w:r w:rsidRPr="00CF336B">
        <w:rPr>
          <w:color w:val="auto"/>
          <w:sz w:val="22"/>
          <w:szCs w:val="22"/>
          <w:lang w:val="tr-TR"/>
        </w:rPr>
        <w:fldChar w:fldCharType="end"/>
      </w:r>
      <w:bookmarkEnd w:id="24"/>
      <w:r w:rsidRPr="00CF336B">
        <w:rPr>
          <w:color w:val="auto"/>
          <w:sz w:val="22"/>
          <w:szCs w:val="22"/>
          <w:lang w:val="tr-TR"/>
        </w:rPr>
        <w:t>. Kapasite Mekanizması Ödemesinin Kaynak Bazında Dağılımı</w:t>
      </w:r>
      <w:bookmarkEnd w:id="25"/>
    </w:p>
    <w:p w14:paraId="10284969" w14:textId="21CCB0F3" w:rsidR="00C3610E" w:rsidRPr="00CF336B" w:rsidRDefault="00C3610E" w:rsidP="004D4361">
      <w:pPr>
        <w:keepNext/>
        <w:spacing w:line="360" w:lineRule="auto"/>
        <w:jc w:val="both"/>
        <w:rPr>
          <w:lang w:val="tr-TR"/>
        </w:rPr>
      </w:pPr>
      <w:r w:rsidRPr="00CF336B">
        <w:rPr>
          <w:lang w:val="tr-TR"/>
        </w:rPr>
        <w:t>Yapılan ödemelerde kaynakların toplam bütçeden yararlanma oran</w:t>
      </w:r>
      <w:r w:rsidR="00F27275" w:rsidRPr="00CF336B">
        <w:rPr>
          <w:lang w:val="tr-TR"/>
        </w:rPr>
        <w:t>ları</w:t>
      </w:r>
      <w:r w:rsidRPr="00CF336B">
        <w:rPr>
          <w:lang w:val="tr-TR"/>
        </w:rPr>
        <w:t xml:space="preserve"> yıllar içinde değişkenlik göstermektedir. Uygulamanın devreye alındığı ilk yıl olan 2018 yılında en büyük payı </w:t>
      </w:r>
      <w:proofErr w:type="gramStart"/>
      <w:r w:rsidRPr="00CF336B">
        <w:rPr>
          <w:lang w:val="tr-TR"/>
        </w:rPr>
        <w:t>%52</w:t>
      </w:r>
      <w:proofErr w:type="gramEnd"/>
      <w:r w:rsidRPr="00CF336B">
        <w:rPr>
          <w:lang w:val="tr-TR"/>
        </w:rPr>
        <w:t xml:space="preserve"> ile doğal gaz santralleri alırken</w:t>
      </w:r>
      <w:r w:rsidR="00B66CC3" w:rsidRPr="00CF336B">
        <w:rPr>
          <w:lang w:val="tr-TR"/>
        </w:rPr>
        <w:t>,</w:t>
      </w:r>
      <w:r w:rsidRPr="00CF336B">
        <w:rPr>
          <w:lang w:val="tr-TR"/>
        </w:rPr>
        <w:t xml:space="preserve"> yerli kömür santralleri toplam bütçenin %47’lik kısmını almışlardır. 2019 yılında ise sıralama değişmiş ve yerli kömür santralleri </w:t>
      </w:r>
      <w:proofErr w:type="gramStart"/>
      <w:r w:rsidRPr="00CF336B">
        <w:rPr>
          <w:lang w:val="tr-TR"/>
        </w:rPr>
        <w:t>%59</w:t>
      </w:r>
      <w:proofErr w:type="gramEnd"/>
      <w:r w:rsidRPr="00CF336B">
        <w:rPr>
          <w:lang w:val="tr-TR"/>
        </w:rPr>
        <w:t xml:space="preserve">’luk pay ile kapasite mekanizması bütçesinden en fazla yararlanan kaynak türü olmuştur. </w:t>
      </w:r>
      <w:proofErr w:type="gramStart"/>
      <w:r w:rsidRPr="00CF336B">
        <w:rPr>
          <w:lang w:val="tr-TR"/>
        </w:rPr>
        <w:t>2019</w:t>
      </w:r>
      <w:r w:rsidR="002F2A85">
        <w:rPr>
          <w:lang w:val="tr-TR"/>
        </w:rPr>
        <w:t xml:space="preserve"> </w:t>
      </w:r>
      <w:r w:rsidRPr="00CF336B">
        <w:rPr>
          <w:lang w:val="tr-TR"/>
        </w:rPr>
        <w:t>-</w:t>
      </w:r>
      <w:proofErr w:type="gramEnd"/>
      <w:r w:rsidRPr="00CF336B">
        <w:rPr>
          <w:lang w:val="tr-TR"/>
        </w:rPr>
        <w:t xml:space="preserve"> 2022 yılları arası yerli kömür santralleri bu sırayı korumuş, 2022 yılı </w:t>
      </w:r>
      <w:r w:rsidR="00463548">
        <w:rPr>
          <w:lang w:val="tr-TR"/>
        </w:rPr>
        <w:t>itibarıyla</w:t>
      </w:r>
      <w:r w:rsidRPr="00CF336B">
        <w:rPr>
          <w:lang w:val="tr-TR"/>
        </w:rPr>
        <w:t xml:space="preserve"> uygulamaya koyulan metodoloji ardından doğal gaz santrallerinin toplam bütçeden aldığı</w:t>
      </w:r>
      <w:r w:rsidR="00B66CC3" w:rsidRPr="00CF336B">
        <w:rPr>
          <w:lang w:val="tr-TR"/>
        </w:rPr>
        <w:t xml:space="preserve"> </w:t>
      </w:r>
      <w:r w:rsidRPr="00CF336B">
        <w:rPr>
          <w:lang w:val="tr-TR"/>
        </w:rPr>
        <w:t xml:space="preserve">pay yeniden ilk sıraya yükselmiştir. Kaynak bazında alınan toplam ödemenin toplam içindeki payı </w:t>
      </w:r>
      <w:r w:rsidRPr="00CF336B">
        <w:rPr>
          <w:lang w:val="tr-TR"/>
        </w:rPr>
        <w:fldChar w:fldCharType="begin"/>
      </w:r>
      <w:r w:rsidRPr="00CF336B">
        <w:rPr>
          <w:lang w:val="tr-TR"/>
        </w:rPr>
        <w:instrText xml:space="preserve"> REF _Ref147832358 \h </w:instrText>
      </w:r>
      <w:r w:rsidR="001D0104" w:rsidRPr="00CF336B">
        <w:rPr>
          <w:lang w:val="tr-TR"/>
        </w:rPr>
        <w:instrText xml:space="preserve"> \* MERGEFORMAT </w:instrText>
      </w:r>
      <w:r w:rsidRPr="00CF336B">
        <w:rPr>
          <w:lang w:val="tr-TR"/>
        </w:rPr>
      </w:r>
      <w:r w:rsidRPr="00CF336B">
        <w:rPr>
          <w:lang w:val="tr-TR"/>
        </w:rPr>
        <w:fldChar w:fldCharType="separate"/>
      </w:r>
      <w:r w:rsidR="00F27275" w:rsidRPr="00CF336B">
        <w:rPr>
          <w:lang w:val="tr-TR"/>
        </w:rPr>
        <w:t xml:space="preserve">Şekil </w:t>
      </w:r>
      <w:r w:rsidR="00F27275" w:rsidRPr="00CF336B">
        <w:rPr>
          <w:noProof/>
          <w:lang w:val="tr-TR"/>
        </w:rPr>
        <w:t>5</w:t>
      </w:r>
      <w:r w:rsidRPr="00CF336B">
        <w:rPr>
          <w:lang w:val="tr-TR"/>
        </w:rPr>
        <w:fldChar w:fldCharType="end"/>
      </w:r>
      <w:r w:rsidRPr="00CF336B">
        <w:rPr>
          <w:lang w:val="tr-TR"/>
        </w:rPr>
        <w:t xml:space="preserve">’te gösterilmektedir </w:t>
      </w:r>
      <w:sdt>
        <w:sdtPr>
          <w:rPr>
            <w:lang w:val="tr-TR"/>
          </w:rPr>
          <w:id w:val="-1350946286"/>
          <w:citation/>
        </w:sdtPr>
        <w:sdtEndPr/>
        <w:sdtContent>
          <w:r w:rsidRPr="00CF336B">
            <w:rPr>
              <w:lang w:val="tr-TR"/>
            </w:rPr>
            <w:fldChar w:fldCharType="begin"/>
          </w:r>
          <w:r w:rsidRPr="00CF336B">
            <w:rPr>
              <w:lang w:val="tr-TR"/>
            </w:rPr>
            <w:instrText xml:space="preserve"> CITATION TEİ23 \l 1055 </w:instrText>
          </w:r>
          <w:r w:rsidRPr="00CF336B">
            <w:rPr>
              <w:lang w:val="tr-TR"/>
            </w:rPr>
            <w:fldChar w:fldCharType="separate"/>
          </w:r>
          <w:r w:rsidR="00D95FF7">
            <w:rPr>
              <w:noProof/>
              <w:lang w:val="tr-TR"/>
            </w:rPr>
            <w:t>(TEİAŞ, 2023)</w:t>
          </w:r>
          <w:r w:rsidRPr="00CF336B">
            <w:rPr>
              <w:lang w:val="tr-TR"/>
            </w:rPr>
            <w:fldChar w:fldCharType="end"/>
          </w:r>
        </w:sdtContent>
      </w:sdt>
      <w:r w:rsidRPr="00CF336B">
        <w:rPr>
          <w:lang w:val="tr-TR"/>
        </w:rPr>
        <w:t>.</w:t>
      </w:r>
    </w:p>
    <w:p w14:paraId="51D2E530" w14:textId="77777777" w:rsidR="00C3610E" w:rsidRPr="00CF336B" w:rsidRDefault="00C3610E" w:rsidP="004D4361">
      <w:pPr>
        <w:keepNext/>
        <w:spacing w:line="360" w:lineRule="auto"/>
        <w:rPr>
          <w:lang w:val="tr-TR"/>
        </w:rPr>
      </w:pPr>
      <w:r w:rsidRPr="00CF336B">
        <w:rPr>
          <w:noProof/>
          <w:lang w:val="tr-TR"/>
        </w:rPr>
        <w:drawing>
          <wp:inline distT="0" distB="0" distL="0" distR="0" wp14:anchorId="3C1CEE4B" wp14:editId="5E2B094A">
            <wp:extent cx="5486400" cy="3200400"/>
            <wp:effectExtent l="0" t="0" r="0" b="0"/>
            <wp:docPr id="1992274250" name="Chart 1992274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D10CEC" w14:textId="563C4986" w:rsidR="00C3610E" w:rsidRPr="00CF336B" w:rsidRDefault="00C3610E" w:rsidP="004D4361">
      <w:pPr>
        <w:pStyle w:val="Caption"/>
        <w:spacing w:line="360" w:lineRule="auto"/>
        <w:jc w:val="center"/>
        <w:rPr>
          <w:i w:val="0"/>
          <w:iCs w:val="0"/>
          <w:lang w:val="tr-TR"/>
        </w:rPr>
      </w:pPr>
      <w:bookmarkStart w:id="26" w:name="_Ref147832358"/>
      <w:bookmarkStart w:id="27" w:name="_Toc156210459"/>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5</w:t>
      </w:r>
      <w:r w:rsidRPr="00CF336B">
        <w:rPr>
          <w:color w:val="auto"/>
          <w:sz w:val="22"/>
          <w:szCs w:val="22"/>
          <w:lang w:val="tr-TR"/>
        </w:rPr>
        <w:fldChar w:fldCharType="end"/>
      </w:r>
      <w:bookmarkEnd w:id="26"/>
      <w:r w:rsidRPr="00CF336B">
        <w:rPr>
          <w:color w:val="auto"/>
          <w:sz w:val="22"/>
          <w:szCs w:val="22"/>
          <w:lang w:val="tr-TR"/>
        </w:rPr>
        <w:t>. Kapasite Mekanizması Ödemesinin Kaynak Bazında Yüzdesel Dağılımı</w:t>
      </w:r>
      <w:bookmarkEnd w:id="27"/>
    </w:p>
    <w:p w14:paraId="602ADF67" w14:textId="16F1BE9E" w:rsidR="000E04CB" w:rsidRDefault="004A7099" w:rsidP="004D4361">
      <w:pPr>
        <w:spacing w:line="360" w:lineRule="auto"/>
        <w:jc w:val="both"/>
        <w:rPr>
          <w:lang w:val="tr-TR"/>
        </w:rPr>
      </w:pPr>
      <w:r w:rsidRPr="00CF336B">
        <w:rPr>
          <w:lang w:val="tr-TR"/>
        </w:rPr>
        <w:t xml:space="preserve">Yakıt tipine bağlı olarak birim kurulu güç başına ödenen kapasite mekanizması yıllar içinde </w:t>
      </w:r>
      <w:r w:rsidR="00F27275" w:rsidRPr="00CF336B">
        <w:rPr>
          <w:lang w:val="tr-TR"/>
        </w:rPr>
        <w:t>değişs</w:t>
      </w:r>
      <w:r w:rsidRPr="00CF336B">
        <w:rPr>
          <w:lang w:val="tr-TR"/>
        </w:rPr>
        <w:t>e de kömür santralleri için ödenen miktar 2022 yılındaki değişiklik ardından sert bir düşüş göstermiştir</w:t>
      </w:r>
      <w:sdt>
        <w:sdtPr>
          <w:rPr>
            <w:lang w:val="tr-TR"/>
          </w:rPr>
          <w:id w:val="1408497637"/>
          <w:citation/>
        </w:sdtPr>
        <w:sdtEndPr/>
        <w:sdtContent>
          <w:r w:rsidR="002C2DED" w:rsidRPr="00CF336B">
            <w:rPr>
              <w:lang w:val="tr-TR"/>
            </w:rPr>
            <w:fldChar w:fldCharType="begin"/>
          </w:r>
          <w:r w:rsidR="002C2DED" w:rsidRPr="00CF336B">
            <w:rPr>
              <w:lang w:val="tr-TR"/>
            </w:rPr>
            <w:instrText xml:space="preserve"> CITATION TEİ23 \l 1055 </w:instrText>
          </w:r>
          <w:r w:rsidR="002C2DED" w:rsidRPr="00CF336B">
            <w:rPr>
              <w:lang w:val="tr-TR"/>
            </w:rPr>
            <w:fldChar w:fldCharType="separate"/>
          </w:r>
          <w:r w:rsidR="00D95FF7">
            <w:rPr>
              <w:noProof/>
              <w:lang w:val="tr-TR"/>
            </w:rPr>
            <w:t xml:space="preserve"> (TEİAŞ, 2023)</w:t>
          </w:r>
          <w:r w:rsidR="002C2DED" w:rsidRPr="00CF336B">
            <w:rPr>
              <w:lang w:val="tr-TR"/>
            </w:rPr>
            <w:fldChar w:fldCharType="end"/>
          </w:r>
        </w:sdtContent>
      </w:sdt>
      <w:r w:rsidRPr="00CF336B">
        <w:rPr>
          <w:lang w:val="tr-TR"/>
        </w:rPr>
        <w:t xml:space="preserve">. </w:t>
      </w:r>
      <w:r w:rsidR="00611CB5">
        <w:rPr>
          <w:lang w:val="tr-TR"/>
        </w:rPr>
        <w:t xml:space="preserve">2023 yılı verileri 11 aylık dönemi kapsamaktadır. </w:t>
      </w:r>
      <w:r w:rsidR="002C2DED" w:rsidRPr="00CF336B">
        <w:rPr>
          <w:lang w:val="tr-TR"/>
        </w:rPr>
        <w:t xml:space="preserve">Kaynak bazında MW başına ödenen yıllık kapasite mekanizması tutarı </w:t>
      </w:r>
      <w:r w:rsidR="002C2DED" w:rsidRPr="00CF336B">
        <w:rPr>
          <w:lang w:val="tr-TR"/>
        </w:rPr>
        <w:fldChar w:fldCharType="begin"/>
      </w:r>
      <w:r w:rsidR="002C2DED" w:rsidRPr="00CF336B">
        <w:rPr>
          <w:lang w:val="tr-TR"/>
        </w:rPr>
        <w:instrText xml:space="preserve"> REF _Ref147755641 \h </w:instrText>
      </w:r>
      <w:r w:rsidR="001D0C6E" w:rsidRPr="00CF336B">
        <w:rPr>
          <w:lang w:val="tr-TR"/>
        </w:rPr>
        <w:instrText xml:space="preserve"> \* MERGEFORMAT </w:instrText>
      </w:r>
      <w:r w:rsidR="002C2DED" w:rsidRPr="00CF336B">
        <w:rPr>
          <w:lang w:val="tr-TR"/>
        </w:rPr>
      </w:r>
      <w:r w:rsidR="002C2DED" w:rsidRPr="00CF336B">
        <w:rPr>
          <w:lang w:val="tr-TR"/>
        </w:rPr>
        <w:fldChar w:fldCharType="separate"/>
      </w:r>
      <w:r w:rsidR="001D0104" w:rsidRPr="00CF336B">
        <w:rPr>
          <w:lang w:val="tr-TR"/>
        </w:rPr>
        <w:t xml:space="preserve">Tablo </w:t>
      </w:r>
      <w:r w:rsidR="001D0104" w:rsidRPr="00CF336B">
        <w:rPr>
          <w:noProof/>
          <w:lang w:val="tr-TR"/>
        </w:rPr>
        <w:t>3</w:t>
      </w:r>
      <w:r w:rsidR="002C2DED" w:rsidRPr="00CF336B">
        <w:rPr>
          <w:lang w:val="tr-TR"/>
        </w:rPr>
        <w:fldChar w:fldCharType="end"/>
      </w:r>
      <w:r w:rsidR="002C2DED" w:rsidRPr="00CF336B">
        <w:rPr>
          <w:lang w:val="tr-TR"/>
        </w:rPr>
        <w:t xml:space="preserve"> altında gösterilmektedir.</w:t>
      </w:r>
    </w:p>
    <w:p w14:paraId="7207BE8F" w14:textId="77777777" w:rsidR="00B676C9" w:rsidRDefault="00B676C9" w:rsidP="004D4361">
      <w:pPr>
        <w:spacing w:line="360" w:lineRule="auto"/>
        <w:jc w:val="both"/>
        <w:rPr>
          <w:lang w:val="tr-TR"/>
        </w:rPr>
      </w:pPr>
    </w:p>
    <w:p w14:paraId="54AFE0D2" w14:textId="77777777" w:rsidR="00B676C9" w:rsidRDefault="00B676C9" w:rsidP="004D4361">
      <w:pPr>
        <w:spacing w:line="360" w:lineRule="auto"/>
        <w:jc w:val="both"/>
        <w:rPr>
          <w:lang w:val="tr-TR"/>
        </w:rPr>
      </w:pPr>
    </w:p>
    <w:p w14:paraId="2681E579" w14:textId="77777777" w:rsidR="00B676C9" w:rsidRDefault="00B676C9" w:rsidP="004D4361">
      <w:pPr>
        <w:spacing w:line="360" w:lineRule="auto"/>
        <w:jc w:val="both"/>
        <w:rPr>
          <w:lang w:val="tr-TR"/>
        </w:rPr>
      </w:pPr>
    </w:p>
    <w:p w14:paraId="7724A406" w14:textId="77777777" w:rsidR="00B676C9" w:rsidRPr="00CF336B" w:rsidRDefault="00B676C9" w:rsidP="004D4361">
      <w:pPr>
        <w:spacing w:line="360" w:lineRule="auto"/>
        <w:jc w:val="both"/>
        <w:rPr>
          <w:lang w:val="tr-TR"/>
        </w:rPr>
      </w:pPr>
    </w:p>
    <w:p w14:paraId="28148A41" w14:textId="6CE2E764" w:rsidR="002C2DED" w:rsidRPr="00CF336B" w:rsidRDefault="002C2DED" w:rsidP="004D4361">
      <w:pPr>
        <w:pStyle w:val="Caption"/>
        <w:keepNext/>
        <w:spacing w:line="360" w:lineRule="auto"/>
        <w:jc w:val="center"/>
        <w:rPr>
          <w:color w:val="auto"/>
          <w:sz w:val="22"/>
          <w:szCs w:val="22"/>
          <w:lang w:val="tr-TR"/>
        </w:rPr>
      </w:pPr>
      <w:bookmarkStart w:id="28" w:name="_Ref147755641"/>
      <w:bookmarkStart w:id="29" w:name="_Toc156210498"/>
      <w:r w:rsidRPr="00CF336B">
        <w:rPr>
          <w:color w:val="auto"/>
          <w:sz w:val="22"/>
          <w:szCs w:val="22"/>
          <w:lang w:val="tr-TR"/>
        </w:rPr>
        <w:t xml:space="preserve">Tablo </w:t>
      </w:r>
      <w:r w:rsidR="002F257A" w:rsidRPr="00CF336B">
        <w:rPr>
          <w:color w:val="auto"/>
          <w:sz w:val="22"/>
          <w:szCs w:val="22"/>
          <w:lang w:val="tr-TR"/>
        </w:rPr>
        <w:fldChar w:fldCharType="begin"/>
      </w:r>
      <w:r w:rsidR="002F257A" w:rsidRPr="00CF336B">
        <w:rPr>
          <w:color w:val="auto"/>
          <w:sz w:val="22"/>
          <w:szCs w:val="22"/>
          <w:lang w:val="tr-TR"/>
        </w:rPr>
        <w:instrText xml:space="preserve"> SEQ Tablo \* ARABIC </w:instrText>
      </w:r>
      <w:r w:rsidR="002F257A" w:rsidRPr="00CF336B">
        <w:rPr>
          <w:color w:val="auto"/>
          <w:sz w:val="22"/>
          <w:szCs w:val="22"/>
          <w:lang w:val="tr-TR"/>
        </w:rPr>
        <w:fldChar w:fldCharType="separate"/>
      </w:r>
      <w:r w:rsidR="00A22AF1" w:rsidRPr="00CF336B">
        <w:rPr>
          <w:noProof/>
          <w:color w:val="auto"/>
          <w:sz w:val="22"/>
          <w:szCs w:val="22"/>
          <w:lang w:val="tr-TR"/>
        </w:rPr>
        <w:t>3</w:t>
      </w:r>
      <w:r w:rsidR="002F257A" w:rsidRPr="00CF336B">
        <w:rPr>
          <w:color w:val="auto"/>
          <w:sz w:val="22"/>
          <w:szCs w:val="22"/>
          <w:lang w:val="tr-TR"/>
        </w:rPr>
        <w:fldChar w:fldCharType="end"/>
      </w:r>
      <w:bookmarkEnd w:id="28"/>
      <w:r w:rsidRPr="00CF336B">
        <w:rPr>
          <w:color w:val="auto"/>
          <w:sz w:val="22"/>
          <w:szCs w:val="22"/>
          <w:lang w:val="tr-TR"/>
        </w:rPr>
        <w:t>. Kurulu Güç Başına Yıllık Kapasite Ödemesi</w:t>
      </w:r>
      <w:bookmarkEnd w:id="29"/>
    </w:p>
    <w:tbl>
      <w:tblPr>
        <w:tblStyle w:val="TableGrid"/>
        <w:tblW w:w="0" w:type="auto"/>
        <w:tblLayout w:type="fixed"/>
        <w:tblLook w:val="04A0" w:firstRow="1" w:lastRow="0" w:firstColumn="1" w:lastColumn="0" w:noHBand="0" w:noVBand="1"/>
      </w:tblPr>
      <w:tblGrid>
        <w:gridCol w:w="1413"/>
        <w:gridCol w:w="1258"/>
        <w:gridCol w:w="1336"/>
        <w:gridCol w:w="1335"/>
        <w:gridCol w:w="1336"/>
        <w:gridCol w:w="1336"/>
        <w:gridCol w:w="1336"/>
      </w:tblGrid>
      <w:tr w:rsidR="002C2DED" w:rsidRPr="00CF336B" w14:paraId="6B78A150" w14:textId="6AFAA73A" w:rsidTr="005F4D8E">
        <w:tc>
          <w:tcPr>
            <w:tcW w:w="1413" w:type="dxa"/>
            <w:shd w:val="clear" w:color="auto" w:fill="1F4E79" w:themeFill="accent5" w:themeFillShade="80"/>
            <w:vAlign w:val="center"/>
          </w:tcPr>
          <w:p w14:paraId="1B11DF11" w14:textId="5C3D6A14" w:rsidR="002C2DED" w:rsidRPr="00CF336B" w:rsidRDefault="002C2DED" w:rsidP="004D4361">
            <w:pPr>
              <w:spacing w:line="360" w:lineRule="auto"/>
              <w:jc w:val="center"/>
              <w:rPr>
                <w:b/>
                <w:bCs/>
                <w:color w:val="FFFFFF" w:themeColor="background1"/>
                <w:lang w:val="tr-TR"/>
              </w:rPr>
            </w:pPr>
            <w:r w:rsidRPr="00CF336B">
              <w:rPr>
                <w:b/>
                <w:bCs/>
                <w:color w:val="FFFFFF" w:themeColor="background1"/>
                <w:lang w:val="tr-TR"/>
              </w:rPr>
              <w:t>Kaynak</w:t>
            </w:r>
          </w:p>
        </w:tc>
        <w:tc>
          <w:tcPr>
            <w:tcW w:w="1258" w:type="dxa"/>
            <w:shd w:val="clear" w:color="auto" w:fill="1F4E79" w:themeFill="accent5" w:themeFillShade="80"/>
          </w:tcPr>
          <w:p w14:paraId="17A75024" w14:textId="5871E9DE" w:rsidR="002C2DED" w:rsidRPr="00CF336B" w:rsidRDefault="002C2DED" w:rsidP="004D4361">
            <w:pPr>
              <w:spacing w:line="360" w:lineRule="auto"/>
              <w:jc w:val="center"/>
              <w:rPr>
                <w:b/>
                <w:bCs/>
                <w:color w:val="FFFFFF" w:themeColor="background1"/>
                <w:lang w:val="tr-TR"/>
              </w:rPr>
            </w:pPr>
            <w:r w:rsidRPr="00CF336B">
              <w:rPr>
                <w:b/>
                <w:bCs/>
                <w:color w:val="FFFFFF" w:themeColor="background1"/>
                <w:lang w:val="tr-TR"/>
              </w:rPr>
              <w:t>2018 Yılı Ödeme (TL/MW)</w:t>
            </w:r>
          </w:p>
        </w:tc>
        <w:tc>
          <w:tcPr>
            <w:tcW w:w="1336" w:type="dxa"/>
            <w:shd w:val="clear" w:color="auto" w:fill="1F4E79" w:themeFill="accent5" w:themeFillShade="80"/>
          </w:tcPr>
          <w:p w14:paraId="08BA3B11" w14:textId="4503AE10" w:rsidR="002C2DED" w:rsidRPr="00CF336B" w:rsidRDefault="002C2DED" w:rsidP="004D4361">
            <w:pPr>
              <w:spacing w:line="360" w:lineRule="auto"/>
              <w:jc w:val="center"/>
              <w:rPr>
                <w:b/>
                <w:bCs/>
                <w:color w:val="FFFFFF" w:themeColor="background1"/>
                <w:lang w:val="tr-TR"/>
              </w:rPr>
            </w:pPr>
            <w:r w:rsidRPr="00CF336B">
              <w:rPr>
                <w:b/>
                <w:bCs/>
                <w:color w:val="FFFFFF" w:themeColor="background1"/>
                <w:lang w:val="tr-TR"/>
              </w:rPr>
              <w:t>2019 Yılı Ödeme (TL/MW)</w:t>
            </w:r>
          </w:p>
        </w:tc>
        <w:tc>
          <w:tcPr>
            <w:tcW w:w="1335" w:type="dxa"/>
            <w:shd w:val="clear" w:color="auto" w:fill="1F4E79" w:themeFill="accent5" w:themeFillShade="80"/>
          </w:tcPr>
          <w:p w14:paraId="7B8A9B61" w14:textId="012E7354" w:rsidR="002C2DED" w:rsidRPr="00CF336B" w:rsidRDefault="002C2DED" w:rsidP="004D4361">
            <w:pPr>
              <w:spacing w:line="360" w:lineRule="auto"/>
              <w:jc w:val="center"/>
              <w:rPr>
                <w:b/>
                <w:bCs/>
                <w:color w:val="FFFFFF" w:themeColor="background1"/>
                <w:lang w:val="tr-TR"/>
              </w:rPr>
            </w:pPr>
            <w:r w:rsidRPr="00CF336B">
              <w:rPr>
                <w:b/>
                <w:bCs/>
                <w:color w:val="FFFFFF" w:themeColor="background1"/>
                <w:lang w:val="tr-TR"/>
              </w:rPr>
              <w:t>2020 Yılı Ödeme (TL/MW)</w:t>
            </w:r>
          </w:p>
        </w:tc>
        <w:tc>
          <w:tcPr>
            <w:tcW w:w="1336" w:type="dxa"/>
            <w:shd w:val="clear" w:color="auto" w:fill="1F4E79" w:themeFill="accent5" w:themeFillShade="80"/>
          </w:tcPr>
          <w:p w14:paraId="68E32D6E" w14:textId="0561553A" w:rsidR="002C2DED" w:rsidRPr="00CF336B" w:rsidRDefault="002C2DED" w:rsidP="004D4361">
            <w:pPr>
              <w:spacing w:line="360" w:lineRule="auto"/>
              <w:jc w:val="center"/>
              <w:rPr>
                <w:b/>
                <w:bCs/>
                <w:color w:val="FFFFFF" w:themeColor="background1"/>
                <w:lang w:val="tr-TR"/>
              </w:rPr>
            </w:pPr>
            <w:r w:rsidRPr="00CF336B">
              <w:rPr>
                <w:b/>
                <w:bCs/>
                <w:color w:val="FFFFFF" w:themeColor="background1"/>
                <w:lang w:val="tr-TR"/>
              </w:rPr>
              <w:t>2021 Yılı Ödeme (TL/MW)</w:t>
            </w:r>
          </w:p>
        </w:tc>
        <w:tc>
          <w:tcPr>
            <w:tcW w:w="1336" w:type="dxa"/>
            <w:shd w:val="clear" w:color="auto" w:fill="1F4E79" w:themeFill="accent5" w:themeFillShade="80"/>
          </w:tcPr>
          <w:p w14:paraId="722D24D3" w14:textId="61593129" w:rsidR="002C2DED" w:rsidRPr="00CF336B" w:rsidRDefault="002C2DED" w:rsidP="004D4361">
            <w:pPr>
              <w:spacing w:line="360" w:lineRule="auto"/>
              <w:jc w:val="center"/>
              <w:rPr>
                <w:b/>
                <w:bCs/>
                <w:color w:val="FFFFFF" w:themeColor="background1"/>
                <w:lang w:val="tr-TR"/>
              </w:rPr>
            </w:pPr>
            <w:r w:rsidRPr="00CF336B">
              <w:rPr>
                <w:b/>
                <w:bCs/>
                <w:color w:val="FFFFFF" w:themeColor="background1"/>
                <w:lang w:val="tr-TR"/>
              </w:rPr>
              <w:t>2022 Yılı Ödeme (TL/MW)</w:t>
            </w:r>
          </w:p>
        </w:tc>
        <w:tc>
          <w:tcPr>
            <w:tcW w:w="1336" w:type="dxa"/>
            <w:shd w:val="clear" w:color="auto" w:fill="1F4E79" w:themeFill="accent5" w:themeFillShade="80"/>
          </w:tcPr>
          <w:p w14:paraId="2CEE5B60" w14:textId="3D071BAD" w:rsidR="002C2DED" w:rsidRPr="00CF336B" w:rsidRDefault="002C2DED" w:rsidP="004D4361">
            <w:pPr>
              <w:spacing w:line="360" w:lineRule="auto"/>
              <w:jc w:val="center"/>
              <w:rPr>
                <w:b/>
                <w:bCs/>
                <w:color w:val="FFFFFF" w:themeColor="background1"/>
                <w:lang w:val="tr-TR"/>
              </w:rPr>
            </w:pPr>
            <w:r w:rsidRPr="00CF336B">
              <w:rPr>
                <w:b/>
                <w:bCs/>
                <w:color w:val="FFFFFF" w:themeColor="background1"/>
                <w:lang w:val="tr-TR"/>
              </w:rPr>
              <w:t>2023</w:t>
            </w:r>
            <w:r w:rsidR="00905501" w:rsidRPr="00CF336B">
              <w:rPr>
                <w:rStyle w:val="FootnoteReference"/>
                <w:b/>
                <w:bCs/>
                <w:color w:val="FFFFFF" w:themeColor="background1"/>
                <w:lang w:val="tr-TR"/>
              </w:rPr>
              <w:footnoteReference w:id="9"/>
            </w:r>
            <w:r w:rsidRPr="00CF336B">
              <w:rPr>
                <w:b/>
                <w:bCs/>
                <w:color w:val="FFFFFF" w:themeColor="background1"/>
                <w:lang w:val="tr-TR"/>
              </w:rPr>
              <w:t xml:space="preserve"> Yılı Ödeme (TL/MW)</w:t>
            </w:r>
          </w:p>
        </w:tc>
      </w:tr>
      <w:tr w:rsidR="002C2DED" w:rsidRPr="00CF336B" w14:paraId="20AA565C" w14:textId="4F343CBA" w:rsidTr="00204685">
        <w:trPr>
          <w:trHeight w:val="537"/>
        </w:trPr>
        <w:tc>
          <w:tcPr>
            <w:tcW w:w="1413" w:type="dxa"/>
            <w:vAlign w:val="center"/>
          </w:tcPr>
          <w:p w14:paraId="0DD1655D" w14:textId="568B2369" w:rsidR="002C2DED" w:rsidRPr="00CF336B" w:rsidRDefault="002C2DED" w:rsidP="004D4361">
            <w:pPr>
              <w:spacing w:line="360" w:lineRule="auto"/>
              <w:rPr>
                <w:lang w:val="tr-TR"/>
              </w:rPr>
            </w:pPr>
            <w:r w:rsidRPr="00CF336B">
              <w:rPr>
                <w:lang w:val="tr-TR"/>
              </w:rPr>
              <w:t>Doğal Gaz</w:t>
            </w:r>
          </w:p>
        </w:tc>
        <w:tc>
          <w:tcPr>
            <w:tcW w:w="1258" w:type="dxa"/>
            <w:vAlign w:val="center"/>
          </w:tcPr>
          <w:p w14:paraId="352A5875" w14:textId="7C9FF094" w:rsidR="002C2DED" w:rsidRPr="00CF336B" w:rsidRDefault="002C2DED" w:rsidP="004D4361">
            <w:pPr>
              <w:spacing w:line="360" w:lineRule="auto"/>
              <w:jc w:val="center"/>
              <w:rPr>
                <w:lang w:val="tr-TR"/>
              </w:rPr>
            </w:pPr>
            <w:r w:rsidRPr="00CF336B">
              <w:rPr>
                <w:lang w:val="tr-TR"/>
              </w:rPr>
              <w:t>75.198</w:t>
            </w:r>
          </w:p>
        </w:tc>
        <w:tc>
          <w:tcPr>
            <w:tcW w:w="1336" w:type="dxa"/>
            <w:vAlign w:val="center"/>
          </w:tcPr>
          <w:p w14:paraId="349058C5" w14:textId="0C75BD73" w:rsidR="002C2DED" w:rsidRPr="00CF336B" w:rsidRDefault="002C2DED" w:rsidP="004D4361">
            <w:pPr>
              <w:spacing w:line="360" w:lineRule="auto"/>
              <w:jc w:val="center"/>
              <w:rPr>
                <w:lang w:val="tr-TR"/>
              </w:rPr>
            </w:pPr>
            <w:r w:rsidRPr="00CF336B">
              <w:rPr>
                <w:lang w:val="tr-TR"/>
              </w:rPr>
              <w:t>67.593</w:t>
            </w:r>
          </w:p>
        </w:tc>
        <w:tc>
          <w:tcPr>
            <w:tcW w:w="1335" w:type="dxa"/>
            <w:vAlign w:val="center"/>
          </w:tcPr>
          <w:p w14:paraId="01DCEE37" w14:textId="65D5B6BC" w:rsidR="002C2DED" w:rsidRPr="00CF336B" w:rsidRDefault="002C2DED" w:rsidP="004D4361">
            <w:pPr>
              <w:spacing w:line="360" w:lineRule="auto"/>
              <w:jc w:val="center"/>
              <w:rPr>
                <w:lang w:val="tr-TR"/>
              </w:rPr>
            </w:pPr>
            <w:r w:rsidRPr="00CF336B">
              <w:rPr>
                <w:lang w:val="tr-TR"/>
              </w:rPr>
              <w:t>80.788</w:t>
            </w:r>
          </w:p>
        </w:tc>
        <w:tc>
          <w:tcPr>
            <w:tcW w:w="1336" w:type="dxa"/>
            <w:vAlign w:val="center"/>
          </w:tcPr>
          <w:p w14:paraId="775BC55F" w14:textId="587D05B0" w:rsidR="002C2DED" w:rsidRPr="00CF336B" w:rsidRDefault="002C2DED" w:rsidP="004D4361">
            <w:pPr>
              <w:spacing w:line="360" w:lineRule="auto"/>
              <w:jc w:val="center"/>
              <w:rPr>
                <w:lang w:val="tr-TR"/>
              </w:rPr>
            </w:pPr>
            <w:r w:rsidRPr="00CF336B">
              <w:rPr>
                <w:lang w:val="tr-TR"/>
              </w:rPr>
              <w:t>73.862</w:t>
            </w:r>
          </w:p>
        </w:tc>
        <w:tc>
          <w:tcPr>
            <w:tcW w:w="1336" w:type="dxa"/>
            <w:vAlign w:val="center"/>
          </w:tcPr>
          <w:p w14:paraId="6E77B1C1" w14:textId="2F62380B" w:rsidR="002C2DED" w:rsidRPr="00CF336B" w:rsidRDefault="002C2DED" w:rsidP="004D4361">
            <w:pPr>
              <w:spacing w:line="360" w:lineRule="auto"/>
              <w:jc w:val="center"/>
              <w:rPr>
                <w:lang w:val="tr-TR"/>
              </w:rPr>
            </w:pPr>
            <w:r w:rsidRPr="00CF336B">
              <w:rPr>
                <w:lang w:val="tr-TR"/>
              </w:rPr>
              <w:t>138.820</w:t>
            </w:r>
          </w:p>
        </w:tc>
        <w:tc>
          <w:tcPr>
            <w:tcW w:w="1336" w:type="dxa"/>
            <w:vAlign w:val="center"/>
          </w:tcPr>
          <w:p w14:paraId="220A9705" w14:textId="41A6DEB6" w:rsidR="002C2DED" w:rsidRPr="00CF336B" w:rsidRDefault="000E6820" w:rsidP="004D4361">
            <w:pPr>
              <w:spacing w:line="360" w:lineRule="auto"/>
              <w:jc w:val="center"/>
              <w:rPr>
                <w:lang w:val="tr-TR"/>
              </w:rPr>
            </w:pPr>
            <w:r>
              <w:rPr>
                <w:lang w:val="tr-TR"/>
              </w:rPr>
              <w:t>154.172</w:t>
            </w:r>
          </w:p>
        </w:tc>
      </w:tr>
      <w:tr w:rsidR="002C2DED" w:rsidRPr="00CF336B" w14:paraId="58C4BB96" w14:textId="0B50606E" w:rsidTr="00204685">
        <w:trPr>
          <w:trHeight w:val="537"/>
        </w:trPr>
        <w:tc>
          <w:tcPr>
            <w:tcW w:w="1413" w:type="dxa"/>
            <w:vAlign w:val="center"/>
          </w:tcPr>
          <w:p w14:paraId="41BFC444" w14:textId="15C2F0CD" w:rsidR="002C2DED" w:rsidRPr="00CF336B" w:rsidRDefault="002C2DED" w:rsidP="004D4361">
            <w:pPr>
              <w:spacing w:line="360" w:lineRule="auto"/>
              <w:rPr>
                <w:lang w:val="tr-TR"/>
              </w:rPr>
            </w:pPr>
            <w:r w:rsidRPr="00CF336B">
              <w:rPr>
                <w:lang w:val="tr-TR"/>
              </w:rPr>
              <w:t>Yerli Kömür</w:t>
            </w:r>
          </w:p>
        </w:tc>
        <w:tc>
          <w:tcPr>
            <w:tcW w:w="1258" w:type="dxa"/>
            <w:vAlign w:val="center"/>
          </w:tcPr>
          <w:p w14:paraId="74D92B0F" w14:textId="5E770A30" w:rsidR="002C2DED" w:rsidRPr="00CF336B" w:rsidRDefault="002C2DED" w:rsidP="004D4361">
            <w:pPr>
              <w:spacing w:line="360" w:lineRule="auto"/>
              <w:jc w:val="center"/>
              <w:rPr>
                <w:lang w:val="tr-TR"/>
              </w:rPr>
            </w:pPr>
            <w:r w:rsidRPr="00CF336B">
              <w:rPr>
                <w:lang w:val="tr-TR"/>
              </w:rPr>
              <w:t>107.301</w:t>
            </w:r>
          </w:p>
        </w:tc>
        <w:tc>
          <w:tcPr>
            <w:tcW w:w="1336" w:type="dxa"/>
            <w:vAlign w:val="center"/>
          </w:tcPr>
          <w:p w14:paraId="4A55CDCB" w14:textId="7CFC12A5" w:rsidR="002C2DED" w:rsidRPr="00CF336B" w:rsidRDefault="002C2DED" w:rsidP="004D4361">
            <w:pPr>
              <w:spacing w:line="360" w:lineRule="auto"/>
              <w:jc w:val="center"/>
              <w:rPr>
                <w:lang w:val="tr-TR"/>
              </w:rPr>
            </w:pPr>
            <w:r w:rsidRPr="00CF336B">
              <w:rPr>
                <w:lang w:val="tr-TR"/>
              </w:rPr>
              <w:t>151.388</w:t>
            </w:r>
          </w:p>
        </w:tc>
        <w:tc>
          <w:tcPr>
            <w:tcW w:w="1335" w:type="dxa"/>
            <w:vAlign w:val="center"/>
          </w:tcPr>
          <w:p w14:paraId="321CE023" w14:textId="56D09500" w:rsidR="002C2DED" w:rsidRPr="00CF336B" w:rsidRDefault="002C2DED" w:rsidP="004D4361">
            <w:pPr>
              <w:spacing w:line="360" w:lineRule="auto"/>
              <w:jc w:val="center"/>
              <w:rPr>
                <w:lang w:val="tr-TR"/>
              </w:rPr>
            </w:pPr>
            <w:r w:rsidRPr="00CF336B">
              <w:rPr>
                <w:lang w:val="tr-TR"/>
              </w:rPr>
              <w:t>178.764</w:t>
            </w:r>
          </w:p>
        </w:tc>
        <w:tc>
          <w:tcPr>
            <w:tcW w:w="1336" w:type="dxa"/>
            <w:vAlign w:val="center"/>
          </w:tcPr>
          <w:p w14:paraId="70098785" w14:textId="2E97F10A" w:rsidR="002C2DED" w:rsidRPr="00CF336B" w:rsidRDefault="002C2DED" w:rsidP="004D4361">
            <w:pPr>
              <w:spacing w:line="360" w:lineRule="auto"/>
              <w:jc w:val="center"/>
              <w:rPr>
                <w:lang w:val="tr-TR"/>
              </w:rPr>
            </w:pPr>
            <w:r w:rsidRPr="00CF336B">
              <w:rPr>
                <w:lang w:val="tr-TR"/>
              </w:rPr>
              <w:t>194.055</w:t>
            </w:r>
          </w:p>
        </w:tc>
        <w:tc>
          <w:tcPr>
            <w:tcW w:w="1336" w:type="dxa"/>
            <w:vAlign w:val="center"/>
          </w:tcPr>
          <w:p w14:paraId="598FDAEE" w14:textId="6510E87F" w:rsidR="002C2DED" w:rsidRPr="00CF336B" w:rsidRDefault="002C2DED" w:rsidP="004D4361">
            <w:pPr>
              <w:spacing w:line="360" w:lineRule="auto"/>
              <w:jc w:val="center"/>
              <w:rPr>
                <w:lang w:val="tr-TR"/>
              </w:rPr>
            </w:pPr>
            <w:r w:rsidRPr="00CF336B">
              <w:rPr>
                <w:lang w:val="tr-TR"/>
              </w:rPr>
              <w:t>87.412</w:t>
            </w:r>
          </w:p>
        </w:tc>
        <w:tc>
          <w:tcPr>
            <w:tcW w:w="1336" w:type="dxa"/>
            <w:vAlign w:val="center"/>
          </w:tcPr>
          <w:p w14:paraId="2590059F" w14:textId="19E8CBA9" w:rsidR="002C2DED" w:rsidRPr="00CF336B" w:rsidRDefault="000E6820" w:rsidP="004D4361">
            <w:pPr>
              <w:spacing w:line="360" w:lineRule="auto"/>
              <w:jc w:val="center"/>
              <w:rPr>
                <w:lang w:val="tr-TR"/>
              </w:rPr>
            </w:pPr>
            <w:r>
              <w:rPr>
                <w:lang w:val="tr-TR"/>
              </w:rPr>
              <w:t>154.400</w:t>
            </w:r>
          </w:p>
        </w:tc>
      </w:tr>
      <w:tr w:rsidR="002C2DED" w:rsidRPr="00CF336B" w14:paraId="66409A66" w14:textId="21347E4E" w:rsidTr="00204685">
        <w:trPr>
          <w:trHeight w:val="537"/>
        </w:trPr>
        <w:tc>
          <w:tcPr>
            <w:tcW w:w="1413" w:type="dxa"/>
            <w:vAlign w:val="center"/>
          </w:tcPr>
          <w:p w14:paraId="0E5D5757" w14:textId="33BF9E3A" w:rsidR="002C2DED" w:rsidRPr="00CF336B" w:rsidRDefault="002C2DED" w:rsidP="004D4361">
            <w:pPr>
              <w:spacing w:line="360" w:lineRule="auto"/>
              <w:rPr>
                <w:lang w:val="tr-TR"/>
              </w:rPr>
            </w:pPr>
            <w:r w:rsidRPr="00CF336B">
              <w:rPr>
                <w:lang w:val="tr-TR"/>
              </w:rPr>
              <w:t>Yerli Kömür</w:t>
            </w:r>
            <w:r w:rsidR="005412D5" w:rsidRPr="00CF336B">
              <w:rPr>
                <w:lang w:val="tr-TR"/>
              </w:rPr>
              <w:t xml:space="preserve"> Kullanan İthal Kömür Santralleri</w:t>
            </w:r>
          </w:p>
        </w:tc>
        <w:tc>
          <w:tcPr>
            <w:tcW w:w="1258" w:type="dxa"/>
            <w:vAlign w:val="center"/>
          </w:tcPr>
          <w:p w14:paraId="2DEC6306" w14:textId="1FEB33D3" w:rsidR="002C2DED" w:rsidRPr="00CF336B" w:rsidRDefault="002C2DED" w:rsidP="004D4361">
            <w:pPr>
              <w:spacing w:line="360" w:lineRule="auto"/>
              <w:jc w:val="center"/>
              <w:rPr>
                <w:lang w:val="tr-TR"/>
              </w:rPr>
            </w:pPr>
            <w:r w:rsidRPr="00CF336B">
              <w:rPr>
                <w:lang w:val="tr-TR"/>
              </w:rPr>
              <w:t>3.986</w:t>
            </w:r>
          </w:p>
        </w:tc>
        <w:tc>
          <w:tcPr>
            <w:tcW w:w="1336" w:type="dxa"/>
            <w:vAlign w:val="center"/>
          </w:tcPr>
          <w:p w14:paraId="609F9C6B" w14:textId="6C83EBCA" w:rsidR="002C2DED" w:rsidRPr="00CF336B" w:rsidRDefault="002C2DED" w:rsidP="004D4361">
            <w:pPr>
              <w:spacing w:line="360" w:lineRule="auto"/>
              <w:jc w:val="center"/>
              <w:rPr>
                <w:lang w:val="tr-TR"/>
              </w:rPr>
            </w:pPr>
            <w:r w:rsidRPr="00CF336B">
              <w:rPr>
                <w:lang w:val="tr-TR"/>
              </w:rPr>
              <w:t>3.825</w:t>
            </w:r>
          </w:p>
        </w:tc>
        <w:tc>
          <w:tcPr>
            <w:tcW w:w="1335" w:type="dxa"/>
            <w:vAlign w:val="center"/>
          </w:tcPr>
          <w:p w14:paraId="66DB5917" w14:textId="189660CA" w:rsidR="002C2DED" w:rsidRPr="00CF336B" w:rsidRDefault="002C2DED" w:rsidP="004D4361">
            <w:pPr>
              <w:spacing w:line="360" w:lineRule="auto"/>
              <w:jc w:val="center"/>
              <w:rPr>
                <w:lang w:val="tr-TR"/>
              </w:rPr>
            </w:pPr>
            <w:r w:rsidRPr="00CF336B">
              <w:rPr>
                <w:lang w:val="tr-TR"/>
              </w:rPr>
              <w:t>9.132</w:t>
            </w:r>
          </w:p>
        </w:tc>
        <w:tc>
          <w:tcPr>
            <w:tcW w:w="1336" w:type="dxa"/>
            <w:vAlign w:val="center"/>
          </w:tcPr>
          <w:p w14:paraId="10DF2885" w14:textId="2E3A94F3" w:rsidR="002C2DED" w:rsidRPr="00CF336B" w:rsidRDefault="002C2DED" w:rsidP="004D4361">
            <w:pPr>
              <w:spacing w:line="360" w:lineRule="auto"/>
              <w:jc w:val="center"/>
              <w:rPr>
                <w:lang w:val="tr-TR"/>
              </w:rPr>
            </w:pPr>
            <w:r w:rsidRPr="00CF336B">
              <w:rPr>
                <w:lang w:val="tr-TR"/>
              </w:rPr>
              <w:t>10.393</w:t>
            </w:r>
          </w:p>
        </w:tc>
        <w:tc>
          <w:tcPr>
            <w:tcW w:w="1336" w:type="dxa"/>
            <w:vAlign w:val="center"/>
          </w:tcPr>
          <w:p w14:paraId="5C681745" w14:textId="4A8C4B31" w:rsidR="002C2DED" w:rsidRPr="00CF336B" w:rsidRDefault="002C2DED" w:rsidP="004D4361">
            <w:pPr>
              <w:spacing w:line="360" w:lineRule="auto"/>
              <w:jc w:val="center"/>
              <w:rPr>
                <w:lang w:val="tr-TR"/>
              </w:rPr>
            </w:pPr>
            <w:r w:rsidRPr="00CF336B">
              <w:rPr>
                <w:lang w:val="tr-TR"/>
              </w:rPr>
              <w:t>1.986</w:t>
            </w:r>
          </w:p>
        </w:tc>
        <w:tc>
          <w:tcPr>
            <w:tcW w:w="1336" w:type="dxa"/>
            <w:vAlign w:val="center"/>
          </w:tcPr>
          <w:p w14:paraId="75DE2C22" w14:textId="2847F927" w:rsidR="002C2DED" w:rsidRPr="00CF336B" w:rsidRDefault="000E6820" w:rsidP="004D4361">
            <w:pPr>
              <w:spacing w:line="360" w:lineRule="auto"/>
              <w:jc w:val="center"/>
              <w:rPr>
                <w:lang w:val="tr-TR"/>
              </w:rPr>
            </w:pPr>
            <w:r>
              <w:rPr>
                <w:lang w:val="tr-TR"/>
              </w:rPr>
              <w:t>1.447</w:t>
            </w:r>
          </w:p>
        </w:tc>
      </w:tr>
      <w:tr w:rsidR="002C2DED" w:rsidRPr="00CF336B" w14:paraId="603748D9" w14:textId="674FFE39" w:rsidTr="00204685">
        <w:trPr>
          <w:trHeight w:val="537"/>
        </w:trPr>
        <w:tc>
          <w:tcPr>
            <w:tcW w:w="1413" w:type="dxa"/>
            <w:vAlign w:val="center"/>
          </w:tcPr>
          <w:p w14:paraId="5770199D" w14:textId="34DA08AA" w:rsidR="002C2DED" w:rsidRPr="00CF336B" w:rsidRDefault="002C2DED" w:rsidP="004D4361">
            <w:pPr>
              <w:spacing w:line="360" w:lineRule="auto"/>
              <w:rPr>
                <w:lang w:val="tr-TR"/>
              </w:rPr>
            </w:pPr>
            <w:r w:rsidRPr="00CF336B">
              <w:rPr>
                <w:lang w:val="tr-TR"/>
              </w:rPr>
              <w:t xml:space="preserve">Hidroelektrik </w:t>
            </w:r>
          </w:p>
        </w:tc>
        <w:tc>
          <w:tcPr>
            <w:tcW w:w="1258" w:type="dxa"/>
            <w:vAlign w:val="center"/>
          </w:tcPr>
          <w:p w14:paraId="02937EB8" w14:textId="1D2FF108" w:rsidR="002C2DED" w:rsidRPr="00CF336B" w:rsidRDefault="002C2DED" w:rsidP="004D4361">
            <w:pPr>
              <w:spacing w:line="360" w:lineRule="auto"/>
              <w:jc w:val="center"/>
              <w:rPr>
                <w:lang w:val="tr-TR"/>
              </w:rPr>
            </w:pPr>
            <w:r w:rsidRPr="00CF336B">
              <w:rPr>
                <w:lang w:val="tr-TR"/>
              </w:rPr>
              <w:t>-</w:t>
            </w:r>
          </w:p>
        </w:tc>
        <w:tc>
          <w:tcPr>
            <w:tcW w:w="1336" w:type="dxa"/>
            <w:vAlign w:val="center"/>
          </w:tcPr>
          <w:p w14:paraId="6F7114C9" w14:textId="46453EA9" w:rsidR="002C2DED" w:rsidRPr="00CF336B" w:rsidRDefault="002C2DED" w:rsidP="004D4361">
            <w:pPr>
              <w:spacing w:line="360" w:lineRule="auto"/>
              <w:jc w:val="center"/>
              <w:rPr>
                <w:lang w:val="tr-TR"/>
              </w:rPr>
            </w:pPr>
            <w:r w:rsidRPr="00CF336B">
              <w:rPr>
                <w:lang w:val="tr-TR"/>
              </w:rPr>
              <w:t>81.069</w:t>
            </w:r>
          </w:p>
        </w:tc>
        <w:tc>
          <w:tcPr>
            <w:tcW w:w="1335" w:type="dxa"/>
            <w:vAlign w:val="center"/>
          </w:tcPr>
          <w:p w14:paraId="75A307EB" w14:textId="6D744B4A" w:rsidR="002C2DED" w:rsidRPr="00CF336B" w:rsidRDefault="002C2DED" w:rsidP="004D4361">
            <w:pPr>
              <w:spacing w:line="360" w:lineRule="auto"/>
              <w:jc w:val="center"/>
              <w:rPr>
                <w:lang w:val="tr-TR"/>
              </w:rPr>
            </w:pPr>
            <w:r w:rsidRPr="00CF336B">
              <w:rPr>
                <w:lang w:val="tr-TR"/>
              </w:rPr>
              <w:t>93.232</w:t>
            </w:r>
          </w:p>
        </w:tc>
        <w:tc>
          <w:tcPr>
            <w:tcW w:w="1336" w:type="dxa"/>
            <w:vAlign w:val="center"/>
          </w:tcPr>
          <w:p w14:paraId="26DDB495" w14:textId="29A1BD8E" w:rsidR="002C2DED" w:rsidRPr="00CF336B" w:rsidRDefault="002C2DED" w:rsidP="004D4361">
            <w:pPr>
              <w:spacing w:line="360" w:lineRule="auto"/>
              <w:jc w:val="center"/>
              <w:rPr>
                <w:lang w:val="tr-TR"/>
              </w:rPr>
            </w:pPr>
            <w:r w:rsidRPr="00CF336B">
              <w:rPr>
                <w:lang w:val="tr-TR"/>
              </w:rPr>
              <w:t>99.269</w:t>
            </w:r>
          </w:p>
        </w:tc>
        <w:tc>
          <w:tcPr>
            <w:tcW w:w="1336" w:type="dxa"/>
            <w:vAlign w:val="center"/>
          </w:tcPr>
          <w:p w14:paraId="751A81CF" w14:textId="142811BA" w:rsidR="002C2DED" w:rsidRPr="00CF336B" w:rsidRDefault="002C2DED" w:rsidP="004D4361">
            <w:pPr>
              <w:spacing w:line="360" w:lineRule="auto"/>
              <w:jc w:val="center"/>
              <w:rPr>
                <w:lang w:val="tr-TR"/>
              </w:rPr>
            </w:pPr>
            <w:r w:rsidRPr="00CF336B">
              <w:rPr>
                <w:lang w:val="tr-TR"/>
              </w:rPr>
              <w:t>162.527</w:t>
            </w:r>
          </w:p>
        </w:tc>
        <w:tc>
          <w:tcPr>
            <w:tcW w:w="1336" w:type="dxa"/>
            <w:vAlign w:val="center"/>
          </w:tcPr>
          <w:p w14:paraId="02D8C3E0" w14:textId="20AB8E66" w:rsidR="002C2DED" w:rsidRPr="00CF336B" w:rsidRDefault="000E6820" w:rsidP="004D4361">
            <w:pPr>
              <w:spacing w:line="360" w:lineRule="auto"/>
              <w:jc w:val="center"/>
              <w:rPr>
                <w:lang w:val="tr-TR"/>
              </w:rPr>
            </w:pPr>
            <w:r>
              <w:rPr>
                <w:lang w:val="tr-TR"/>
              </w:rPr>
              <w:t>179.869</w:t>
            </w:r>
          </w:p>
        </w:tc>
      </w:tr>
    </w:tbl>
    <w:p w14:paraId="35BD4047" w14:textId="77777777" w:rsidR="00E84205" w:rsidRPr="00CF336B" w:rsidRDefault="00E84205" w:rsidP="004D4361">
      <w:pPr>
        <w:spacing w:line="360" w:lineRule="auto"/>
        <w:rPr>
          <w:lang w:val="tr-TR"/>
        </w:rPr>
      </w:pPr>
    </w:p>
    <w:p w14:paraId="275D1A55" w14:textId="7EEBDE24" w:rsidR="00E84205" w:rsidRPr="00CF336B" w:rsidRDefault="00E84205" w:rsidP="004D4361">
      <w:pPr>
        <w:spacing w:line="360" w:lineRule="auto"/>
        <w:jc w:val="both"/>
        <w:rPr>
          <w:lang w:val="tr-TR"/>
        </w:rPr>
      </w:pPr>
      <w:r w:rsidRPr="00CF336B">
        <w:rPr>
          <w:lang w:val="tr-TR"/>
        </w:rPr>
        <w:t xml:space="preserve">Mevcut durumda Türkiye’deki doğal gaz, kömür ve hidroelektrik santralleri hem piyasaya katılmakta hem de kapasite mekanizması kapsamında ödeme almaktadırlar. Sistemde arz güvenliği için önem teşvik eden santrallerin sistemde varlıklarını sürdürmeleri için yapılan düzenlemelerde iklim değişikliği hedeflerinin de gözetilmesi gerekmektedir. Karbon emisyon değerleri yüksek olan termik santrallerin sistemde varlıklarını sürdürebilmeleri için verilen kapasite mekanizması ve benzeri teşvik uygulamalarının Türkiye’nin net sıfır hedeflerine uyumlu bir şekilde yürütülmesi oldukça önem arz etmektedir. Nitekim Ulusal Enerji Eylem Planı’nda termik santrallerin üretimdeki payının yıllar içinde azaltılması beklenmektedir </w:t>
      </w:r>
      <w:sdt>
        <w:sdtPr>
          <w:rPr>
            <w:lang w:val="tr-TR"/>
          </w:rPr>
          <w:id w:val="-1508047745"/>
          <w:citation/>
        </w:sdtPr>
        <w:sdtEndPr/>
        <w:sdtContent>
          <w:r w:rsidRPr="00CF336B">
            <w:rPr>
              <w:lang w:val="tr-TR"/>
            </w:rPr>
            <w:fldChar w:fldCharType="begin"/>
          </w:r>
          <w:r w:rsidRPr="008A77BA">
            <w:rPr>
              <w:lang w:val="tr-TR"/>
            </w:rPr>
            <w:instrText xml:space="preserve"> CITATION Ene23 \l 1033 </w:instrText>
          </w:r>
          <w:r w:rsidRPr="00CF336B">
            <w:rPr>
              <w:lang w:val="tr-TR"/>
            </w:rPr>
            <w:fldChar w:fldCharType="separate"/>
          </w:r>
          <w:r w:rsidR="00D95FF7" w:rsidRPr="00D95FF7">
            <w:rPr>
              <w:noProof/>
              <w:lang w:val="tr-TR"/>
            </w:rPr>
            <w:t>(Enerji ve Tabii Kaynaklar Bakanlığı, 2023)</w:t>
          </w:r>
          <w:r w:rsidRPr="00CF336B">
            <w:rPr>
              <w:lang w:val="tr-TR"/>
            </w:rPr>
            <w:fldChar w:fldCharType="end"/>
          </w:r>
        </w:sdtContent>
      </w:sdt>
      <w:r w:rsidRPr="00CF336B">
        <w:rPr>
          <w:lang w:val="tr-TR"/>
        </w:rPr>
        <w:t xml:space="preserve">. </w:t>
      </w:r>
    </w:p>
    <w:p w14:paraId="7CEF546C" w14:textId="66B7D6ED" w:rsidR="00DD1AE0" w:rsidRPr="00CF336B" w:rsidRDefault="00DD1AE0" w:rsidP="004D4361">
      <w:pPr>
        <w:spacing w:line="360" w:lineRule="auto"/>
        <w:rPr>
          <w:lang w:val="tr-TR"/>
        </w:rPr>
      </w:pPr>
      <w:r w:rsidRPr="00CF336B">
        <w:rPr>
          <w:lang w:val="tr-TR"/>
        </w:rPr>
        <w:br w:type="page"/>
      </w:r>
    </w:p>
    <w:p w14:paraId="0EC496FA" w14:textId="686A8648" w:rsidR="00B8015C" w:rsidRPr="00CF336B" w:rsidRDefault="00646960" w:rsidP="004D4361">
      <w:pPr>
        <w:pStyle w:val="Heading1"/>
        <w:numPr>
          <w:ilvl w:val="0"/>
          <w:numId w:val="12"/>
        </w:numPr>
        <w:spacing w:line="360" w:lineRule="auto"/>
        <w:rPr>
          <w:sz w:val="22"/>
          <w:szCs w:val="22"/>
          <w:lang w:val="tr-TR"/>
        </w:rPr>
      </w:pPr>
      <w:bookmarkStart w:id="30" w:name="_Toc156210442"/>
      <w:r w:rsidRPr="00CF336B">
        <w:rPr>
          <w:sz w:val="22"/>
          <w:szCs w:val="22"/>
          <w:lang w:val="tr-TR"/>
        </w:rPr>
        <w:t>Dünyada Örnek Uygulamalar</w:t>
      </w:r>
      <w:bookmarkEnd w:id="30"/>
    </w:p>
    <w:p w14:paraId="76E97D20" w14:textId="29F3D02F" w:rsidR="00B8015C" w:rsidRPr="00CF336B" w:rsidRDefault="00B8015C" w:rsidP="004D4361">
      <w:pPr>
        <w:spacing w:line="360" w:lineRule="auto"/>
        <w:rPr>
          <w:lang w:val="tr-TR"/>
        </w:rPr>
      </w:pPr>
    </w:p>
    <w:p w14:paraId="621C9D70" w14:textId="3B94171B" w:rsidR="002E6EF3" w:rsidRPr="00CF336B" w:rsidRDefault="002670EA" w:rsidP="004D4361">
      <w:pPr>
        <w:spacing w:line="360" w:lineRule="auto"/>
        <w:jc w:val="both"/>
        <w:rPr>
          <w:lang w:val="tr-TR"/>
        </w:rPr>
      </w:pPr>
      <w:r w:rsidRPr="00CF336B">
        <w:rPr>
          <w:noProof/>
          <w:lang w:val="tr-TR"/>
        </w:rPr>
        <w:drawing>
          <wp:anchor distT="0" distB="0" distL="114300" distR="114300" simplePos="0" relativeHeight="251658249" behindDoc="1" locked="0" layoutInCell="1" allowOverlap="1" wp14:anchorId="6A40D9FE" wp14:editId="4071C4F6">
            <wp:simplePos x="0" y="0"/>
            <wp:positionH relativeFrom="column">
              <wp:posOffset>905676</wp:posOffset>
            </wp:positionH>
            <wp:positionV relativeFrom="paragraph">
              <wp:posOffset>1765632</wp:posOffset>
            </wp:positionV>
            <wp:extent cx="4389120" cy="3482975"/>
            <wp:effectExtent l="0" t="0" r="0" b="3175"/>
            <wp:wrapTopAndBottom/>
            <wp:docPr id="1119396251" name="Picture 1119396251" descr="A map of europe with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6251" name="Picture 1" descr="A map of europe with different colored stat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482975"/>
                    </a:xfrm>
                    <a:prstGeom prst="rect">
                      <a:avLst/>
                    </a:prstGeom>
                    <a:noFill/>
                    <a:ln>
                      <a:noFill/>
                    </a:ln>
                  </pic:spPr>
                </pic:pic>
              </a:graphicData>
            </a:graphic>
          </wp:anchor>
        </w:drawing>
      </w:r>
      <w:r w:rsidR="00137C23" w:rsidRPr="00CF336B">
        <w:rPr>
          <w:noProof/>
          <w:lang w:val="tr-TR"/>
        </w:rPr>
        <mc:AlternateContent>
          <mc:Choice Requires="wps">
            <w:drawing>
              <wp:anchor distT="0" distB="0" distL="114300" distR="114300" simplePos="0" relativeHeight="251658250" behindDoc="0" locked="0" layoutInCell="1" allowOverlap="1" wp14:anchorId="359990C2" wp14:editId="4BEC9D7F">
                <wp:simplePos x="0" y="0"/>
                <wp:positionH relativeFrom="column">
                  <wp:posOffset>810260</wp:posOffset>
                </wp:positionH>
                <wp:positionV relativeFrom="paragraph">
                  <wp:posOffset>4932045</wp:posOffset>
                </wp:positionV>
                <wp:extent cx="4389120" cy="635"/>
                <wp:effectExtent l="0" t="0" r="0" b="0"/>
                <wp:wrapTopAndBottom/>
                <wp:docPr id="173732553" name="Text Box 173732553"/>
                <wp:cNvGraphicFramePr/>
                <a:graphic xmlns:a="http://schemas.openxmlformats.org/drawingml/2006/main">
                  <a:graphicData uri="http://schemas.microsoft.com/office/word/2010/wordprocessingShape">
                    <wps:wsp>
                      <wps:cNvSpPr txBox="1"/>
                      <wps:spPr>
                        <a:xfrm>
                          <a:off x="0" y="0"/>
                          <a:ext cx="4389120" cy="635"/>
                        </a:xfrm>
                        <a:prstGeom prst="rect">
                          <a:avLst/>
                        </a:prstGeom>
                        <a:solidFill>
                          <a:prstClr val="white"/>
                        </a:solidFill>
                        <a:ln>
                          <a:noFill/>
                        </a:ln>
                      </wps:spPr>
                      <wps:txbx>
                        <w:txbxContent>
                          <w:p w14:paraId="3AC1372F" w14:textId="2DC6C4CB" w:rsidR="00137C23" w:rsidRPr="007D66E9" w:rsidRDefault="00137C23" w:rsidP="00137C23">
                            <w:pPr>
                              <w:pStyle w:val="Caption"/>
                              <w:jc w:val="center"/>
                              <w:rPr>
                                <w:noProof/>
                                <w:color w:val="auto"/>
                                <w:sz w:val="22"/>
                                <w:szCs w:val="22"/>
                                <w:lang w:val="tr-TR"/>
                              </w:rPr>
                            </w:pPr>
                            <w:bookmarkStart w:id="31" w:name="_Ref148686027"/>
                            <w:bookmarkStart w:id="32" w:name="_Toc156210460"/>
                            <w:r w:rsidRPr="007D66E9">
                              <w:rPr>
                                <w:color w:val="auto"/>
                                <w:sz w:val="22"/>
                                <w:szCs w:val="22"/>
                              </w:rPr>
                              <w:t xml:space="preserve">Şekil </w:t>
                            </w:r>
                            <w:r w:rsidRPr="007D66E9">
                              <w:rPr>
                                <w:color w:val="auto"/>
                                <w:sz w:val="22"/>
                                <w:szCs w:val="22"/>
                              </w:rPr>
                              <w:fldChar w:fldCharType="begin"/>
                            </w:r>
                            <w:r w:rsidRPr="007D66E9">
                              <w:rPr>
                                <w:color w:val="auto"/>
                                <w:sz w:val="22"/>
                                <w:szCs w:val="22"/>
                              </w:rPr>
                              <w:instrText xml:space="preserve"> SEQ Şekil \* ARABIC </w:instrText>
                            </w:r>
                            <w:r w:rsidRPr="007D66E9">
                              <w:rPr>
                                <w:color w:val="auto"/>
                                <w:sz w:val="22"/>
                                <w:szCs w:val="22"/>
                              </w:rPr>
                              <w:fldChar w:fldCharType="separate"/>
                            </w:r>
                            <w:r w:rsidR="0052290F">
                              <w:rPr>
                                <w:noProof/>
                                <w:color w:val="auto"/>
                                <w:sz w:val="22"/>
                                <w:szCs w:val="22"/>
                              </w:rPr>
                              <w:t>6</w:t>
                            </w:r>
                            <w:r w:rsidRPr="007D66E9">
                              <w:rPr>
                                <w:color w:val="auto"/>
                                <w:sz w:val="22"/>
                                <w:szCs w:val="22"/>
                              </w:rPr>
                              <w:fldChar w:fldCharType="end"/>
                            </w:r>
                            <w:bookmarkEnd w:id="31"/>
                            <w:r w:rsidRPr="007D66E9">
                              <w:rPr>
                                <w:color w:val="auto"/>
                                <w:sz w:val="22"/>
                                <w:szCs w:val="22"/>
                              </w:rPr>
                              <w:t>. Avrupa Birliği’nde Uygulanan Kapasite Mekanizması Türleri</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9990C2" id="Text Box 173732553" o:spid="_x0000_s1027" type="#_x0000_t202" style="position:absolute;left:0;text-align:left;margin-left:63.8pt;margin-top:388.35pt;width:345.6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uyGAIAAD8EAAAOAAAAZHJzL2Uyb0RvYy54bWysU8Fu2zAMvQ/YPwi6L07Srei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Hq5vPszmFJMWurz7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" stroked="f">
                <v:textbox style="mso-fit-shape-to-text:t" inset="0,0,0,0">
                  <w:txbxContent>
                    <w:p w14:paraId="3AC1372F" w14:textId="2DC6C4CB" w:rsidR="00137C23" w:rsidRPr="007D66E9" w:rsidRDefault="00137C23" w:rsidP="00137C23">
                      <w:pPr>
                        <w:pStyle w:val="Caption"/>
                        <w:jc w:val="center"/>
                        <w:rPr>
                          <w:noProof/>
                          <w:color w:val="auto"/>
                          <w:sz w:val="22"/>
                          <w:szCs w:val="22"/>
                          <w:lang w:val="tr-TR"/>
                        </w:rPr>
                      </w:pPr>
                      <w:bookmarkStart w:id="33" w:name="_Ref148686027"/>
                      <w:bookmarkStart w:id="34" w:name="_Toc156210460"/>
                      <w:r w:rsidRPr="007D66E9">
                        <w:rPr>
                          <w:color w:val="auto"/>
                          <w:sz w:val="22"/>
                          <w:szCs w:val="22"/>
                        </w:rPr>
                        <w:t xml:space="preserve">Şekil </w:t>
                      </w:r>
                      <w:r w:rsidRPr="007D66E9">
                        <w:rPr>
                          <w:color w:val="auto"/>
                          <w:sz w:val="22"/>
                          <w:szCs w:val="22"/>
                        </w:rPr>
                        <w:fldChar w:fldCharType="begin"/>
                      </w:r>
                      <w:r w:rsidRPr="007D66E9">
                        <w:rPr>
                          <w:color w:val="auto"/>
                          <w:sz w:val="22"/>
                          <w:szCs w:val="22"/>
                        </w:rPr>
                        <w:instrText xml:space="preserve"> SEQ Şekil \* ARABIC </w:instrText>
                      </w:r>
                      <w:r w:rsidRPr="007D66E9">
                        <w:rPr>
                          <w:color w:val="auto"/>
                          <w:sz w:val="22"/>
                          <w:szCs w:val="22"/>
                        </w:rPr>
                        <w:fldChar w:fldCharType="separate"/>
                      </w:r>
                      <w:r w:rsidR="0052290F">
                        <w:rPr>
                          <w:noProof/>
                          <w:color w:val="auto"/>
                          <w:sz w:val="22"/>
                          <w:szCs w:val="22"/>
                        </w:rPr>
                        <w:t>6</w:t>
                      </w:r>
                      <w:r w:rsidRPr="007D66E9">
                        <w:rPr>
                          <w:color w:val="auto"/>
                          <w:sz w:val="22"/>
                          <w:szCs w:val="22"/>
                        </w:rPr>
                        <w:fldChar w:fldCharType="end"/>
                      </w:r>
                      <w:bookmarkEnd w:id="33"/>
                      <w:r w:rsidRPr="007D66E9">
                        <w:rPr>
                          <w:color w:val="auto"/>
                          <w:sz w:val="22"/>
                          <w:szCs w:val="22"/>
                        </w:rPr>
                        <w:t>. Avrupa Birliği’nde Uygulanan Kapasite Mekanizması Türleri</w:t>
                      </w:r>
                      <w:bookmarkEnd w:id="34"/>
                    </w:p>
                  </w:txbxContent>
                </v:textbox>
                <w10:wrap type="topAndBottom"/>
              </v:shape>
            </w:pict>
          </mc:Fallback>
        </mc:AlternateContent>
      </w:r>
      <w:r w:rsidR="002E6EF3" w:rsidRPr="00CF336B">
        <w:rPr>
          <w:lang w:val="tr-TR"/>
        </w:rPr>
        <w:t>Avrupa Birliği’nde kapasite mekanizması</w:t>
      </w:r>
      <w:r w:rsidR="001B1E05" w:rsidRPr="00CF336B">
        <w:rPr>
          <w:lang w:val="tr-TR"/>
        </w:rPr>
        <w:t xml:space="preserve">nın aktif olarak kullanıldığı </w:t>
      </w:r>
      <w:r w:rsidR="002E6EF3" w:rsidRPr="00CF336B">
        <w:rPr>
          <w:lang w:val="tr-TR"/>
        </w:rPr>
        <w:t>8 ülke bulunmaktadır</w:t>
      </w:r>
      <w:r w:rsidR="007253C7" w:rsidRPr="00CF336B">
        <w:rPr>
          <w:lang w:val="tr-TR"/>
        </w:rPr>
        <w:t xml:space="preserve">: </w:t>
      </w:r>
      <w:r w:rsidR="002E6EF3" w:rsidRPr="00CF336B">
        <w:rPr>
          <w:lang w:val="tr-TR"/>
        </w:rPr>
        <w:t>Belçika, Finlandiya, Fransa, Almanya,</w:t>
      </w:r>
      <w:r w:rsidRPr="00CF336B">
        <w:rPr>
          <w:lang w:val="tr-TR"/>
        </w:rPr>
        <w:t xml:space="preserve"> İtalya,</w:t>
      </w:r>
      <w:r w:rsidR="002E6EF3" w:rsidRPr="00CF336B">
        <w:rPr>
          <w:lang w:val="tr-TR"/>
        </w:rPr>
        <w:t xml:space="preserve"> İrlanda, Polonya ve İsveç. Finlandiya, Almanya ve İsveç stratejik rezerv bazlı bir kapasite mekanizması uygularken, </w:t>
      </w:r>
      <w:r w:rsidR="00171427" w:rsidRPr="00CF336B">
        <w:rPr>
          <w:lang w:val="tr-TR"/>
        </w:rPr>
        <w:t>diğer 5</w:t>
      </w:r>
      <w:r w:rsidR="002E6EF3" w:rsidRPr="00CF336B">
        <w:rPr>
          <w:lang w:val="tr-TR"/>
        </w:rPr>
        <w:t xml:space="preserve"> ülke piyasa çaplı bir kapasite mekanizması uygulamaktadır. İspanya ve Portekiz’de aktif olarak </w:t>
      </w:r>
      <w:r w:rsidR="00171427" w:rsidRPr="00CF336B">
        <w:rPr>
          <w:lang w:val="tr-TR"/>
        </w:rPr>
        <w:t>yürüklükte</w:t>
      </w:r>
      <w:r w:rsidR="002E6EF3" w:rsidRPr="00CF336B">
        <w:rPr>
          <w:lang w:val="tr-TR"/>
        </w:rPr>
        <w:t xml:space="preserve"> olan bir kapasite mekanizması yoktur ancak uygulama </w:t>
      </w:r>
      <w:r w:rsidR="00171427" w:rsidRPr="00CF336B">
        <w:rPr>
          <w:lang w:val="tr-TR"/>
        </w:rPr>
        <w:t>yürüklükteyken</w:t>
      </w:r>
      <w:r w:rsidR="002E6EF3" w:rsidRPr="00CF336B">
        <w:rPr>
          <w:lang w:val="tr-TR"/>
        </w:rPr>
        <w:t xml:space="preserve"> yapılan bazı uzun dönemli </w:t>
      </w:r>
      <w:r w:rsidR="003504DF" w:rsidRPr="00CF336B">
        <w:rPr>
          <w:lang w:val="tr-TR"/>
        </w:rPr>
        <w:t>kontratlar</w:t>
      </w:r>
      <w:r w:rsidR="002E6EF3" w:rsidRPr="00CF336B">
        <w:rPr>
          <w:lang w:val="tr-TR"/>
        </w:rPr>
        <w:t xml:space="preserve"> geçerliliğini korumaktadır. 2022 yılı </w:t>
      </w:r>
      <w:r w:rsidR="00463548">
        <w:rPr>
          <w:lang w:val="tr-TR"/>
        </w:rPr>
        <w:t>itibarıyla</w:t>
      </w:r>
      <w:r w:rsidR="002E6EF3" w:rsidRPr="00CF336B">
        <w:rPr>
          <w:lang w:val="tr-TR"/>
        </w:rPr>
        <w:t xml:space="preserve"> Avrupa Birliği’nde uygulanan kapasite mekanizmaları </w:t>
      </w:r>
      <w:r w:rsidRPr="00CF336B">
        <w:rPr>
          <w:lang w:val="tr-TR"/>
        </w:rPr>
        <w:fldChar w:fldCharType="begin"/>
      </w:r>
      <w:r w:rsidRPr="00CF336B">
        <w:rPr>
          <w:lang w:val="tr-TR"/>
        </w:rPr>
        <w:instrText xml:space="preserve"> REF _Ref148686027 \h </w:instrText>
      </w:r>
      <w:r w:rsidR="004D4361">
        <w:rPr>
          <w:lang w:val="tr-TR"/>
        </w:rPr>
        <w:instrText xml:space="preserve"> \* MERGEFORMAT </w:instrText>
      </w:r>
      <w:r w:rsidRPr="00CF336B">
        <w:rPr>
          <w:lang w:val="tr-TR"/>
        </w:rPr>
      </w:r>
      <w:r w:rsidRPr="00CF336B">
        <w:rPr>
          <w:lang w:val="tr-TR"/>
        </w:rPr>
        <w:fldChar w:fldCharType="separate"/>
      </w:r>
      <w:r w:rsidRPr="008A77BA">
        <w:rPr>
          <w:lang w:val="tr-TR"/>
        </w:rPr>
        <w:t xml:space="preserve">Şekil </w:t>
      </w:r>
      <w:r w:rsidRPr="008A77BA">
        <w:rPr>
          <w:noProof/>
          <w:lang w:val="tr-TR"/>
        </w:rPr>
        <w:t>6</w:t>
      </w:r>
      <w:r w:rsidRPr="00CF336B">
        <w:rPr>
          <w:lang w:val="tr-TR"/>
        </w:rPr>
        <w:fldChar w:fldCharType="end"/>
      </w:r>
      <w:r w:rsidR="002E6EF3" w:rsidRPr="00CF336B">
        <w:rPr>
          <w:lang w:val="tr-TR"/>
        </w:rPr>
        <w:fldChar w:fldCharType="begin"/>
      </w:r>
      <w:r w:rsidR="002E6EF3" w:rsidRPr="00CF336B">
        <w:rPr>
          <w:lang w:val="tr-TR"/>
        </w:rPr>
        <w:instrText xml:space="preserve"> REF _Ref148609504 \h </w:instrText>
      </w:r>
      <w:r w:rsidR="00413DBB" w:rsidRPr="00CF336B">
        <w:rPr>
          <w:lang w:val="tr-TR"/>
        </w:rPr>
        <w:instrText xml:space="preserve"> \* MERGEFORMAT </w:instrText>
      </w:r>
      <w:r w:rsidR="002E6EF3" w:rsidRPr="00CF336B">
        <w:rPr>
          <w:lang w:val="tr-TR"/>
        </w:rPr>
      </w:r>
      <w:r w:rsidR="008049C2">
        <w:rPr>
          <w:lang w:val="tr-TR"/>
        </w:rPr>
        <w:fldChar w:fldCharType="separate"/>
      </w:r>
      <w:r w:rsidR="002E6EF3" w:rsidRPr="00CF336B">
        <w:rPr>
          <w:lang w:val="tr-TR"/>
        </w:rPr>
        <w:fldChar w:fldCharType="end"/>
      </w:r>
      <w:r w:rsidR="002E6EF3" w:rsidRPr="00CF336B">
        <w:rPr>
          <w:lang w:val="tr-TR"/>
        </w:rPr>
        <w:t>’</w:t>
      </w:r>
      <w:r w:rsidRPr="00CF336B">
        <w:rPr>
          <w:lang w:val="tr-TR"/>
        </w:rPr>
        <w:t>da</w:t>
      </w:r>
      <w:r w:rsidR="002E6EF3" w:rsidRPr="00CF336B">
        <w:rPr>
          <w:lang w:val="tr-TR"/>
        </w:rPr>
        <w:t xml:space="preserve"> gösteril</w:t>
      </w:r>
      <w:r w:rsidR="007253C7" w:rsidRPr="00CF336B">
        <w:rPr>
          <w:lang w:val="tr-TR"/>
        </w:rPr>
        <w:t>mektedir</w:t>
      </w:r>
      <w:r w:rsidR="00171427" w:rsidRPr="00CF336B">
        <w:rPr>
          <w:lang w:val="tr-TR"/>
        </w:rPr>
        <w:t xml:space="preserve"> </w:t>
      </w:r>
      <w:sdt>
        <w:sdtPr>
          <w:rPr>
            <w:lang w:val="tr-TR"/>
          </w:rPr>
          <w:id w:val="-95403248"/>
          <w:citation/>
        </w:sdtPr>
        <w:sdtEndPr/>
        <w:sdtContent>
          <w:r w:rsidR="00171427" w:rsidRPr="00CF336B">
            <w:rPr>
              <w:lang w:val="tr-TR"/>
            </w:rPr>
            <w:fldChar w:fldCharType="begin"/>
          </w:r>
          <w:r w:rsidR="00171427" w:rsidRPr="00CF336B">
            <w:rPr>
              <w:lang w:val="tr-TR"/>
            </w:rPr>
            <w:instrText xml:space="preserve"> CITATION ACE23 \l 1033 </w:instrText>
          </w:r>
          <w:r w:rsidR="00171427" w:rsidRPr="00CF336B">
            <w:rPr>
              <w:lang w:val="tr-TR"/>
            </w:rPr>
            <w:fldChar w:fldCharType="separate"/>
          </w:r>
          <w:r w:rsidR="00D95FF7" w:rsidRPr="00D95FF7">
            <w:rPr>
              <w:noProof/>
              <w:lang w:val="tr-TR"/>
            </w:rPr>
            <w:t>(ACER, 2023)</w:t>
          </w:r>
          <w:r w:rsidR="00171427" w:rsidRPr="00CF336B">
            <w:rPr>
              <w:lang w:val="tr-TR"/>
            </w:rPr>
            <w:fldChar w:fldCharType="end"/>
          </w:r>
        </w:sdtContent>
      </w:sdt>
      <w:r w:rsidR="00171427" w:rsidRPr="00CF336B">
        <w:rPr>
          <w:lang w:val="tr-TR"/>
        </w:rPr>
        <w:t>.</w:t>
      </w:r>
    </w:p>
    <w:p w14:paraId="7ED0AF92" w14:textId="774D1882" w:rsidR="002E6EF3" w:rsidRPr="00CF336B" w:rsidRDefault="002E6EF3" w:rsidP="004D4361">
      <w:pPr>
        <w:spacing w:line="360" w:lineRule="auto"/>
        <w:jc w:val="both"/>
        <w:rPr>
          <w:lang w:val="tr-TR"/>
        </w:rPr>
      </w:pPr>
      <w:r w:rsidRPr="00CF336B">
        <w:rPr>
          <w:lang w:val="tr-TR"/>
        </w:rPr>
        <w:t xml:space="preserve">Finlandiya’daki stratejik rezerv uygulaması 2022 yılı </w:t>
      </w:r>
      <w:r w:rsidR="00463548">
        <w:rPr>
          <w:lang w:val="tr-TR"/>
        </w:rPr>
        <w:t>itibarıyla</w:t>
      </w:r>
      <w:r w:rsidRPr="00CF336B">
        <w:rPr>
          <w:lang w:val="tr-TR"/>
        </w:rPr>
        <w:t xml:space="preserve"> sona ermiş ve Temmuz 2022 itibarıyla yeni </w:t>
      </w:r>
      <w:r w:rsidR="005A7284">
        <w:rPr>
          <w:lang w:val="tr-TR"/>
        </w:rPr>
        <w:t>uygulama</w:t>
      </w:r>
      <w:r w:rsidRPr="00CF336B">
        <w:rPr>
          <w:lang w:val="tr-TR"/>
        </w:rPr>
        <w:t xml:space="preserve"> yürürlüğe girmiştir. Yeni </w:t>
      </w:r>
      <w:r w:rsidR="005A7284">
        <w:rPr>
          <w:lang w:val="tr-TR"/>
        </w:rPr>
        <w:t>uygulama</w:t>
      </w:r>
      <w:r w:rsidRPr="00CF336B">
        <w:rPr>
          <w:lang w:val="tr-TR"/>
        </w:rPr>
        <w:t xml:space="preserve"> kapsamındaki ilk ihale 2022 yazında yapılmış ve herhangi bir kapasite dağıtımı yapılamamıştır</w:t>
      </w:r>
      <w:r w:rsidR="00E37FBA" w:rsidRPr="00CF336B">
        <w:rPr>
          <w:lang w:val="tr-TR"/>
        </w:rPr>
        <w:t xml:space="preserve">, </w:t>
      </w:r>
      <w:r w:rsidRPr="00CF336B">
        <w:rPr>
          <w:lang w:val="tr-TR"/>
        </w:rPr>
        <w:t>ihaleye katılan kapasite</w:t>
      </w:r>
      <w:r w:rsidR="00E37FBA" w:rsidRPr="00CF336B">
        <w:rPr>
          <w:lang w:val="tr-TR"/>
        </w:rPr>
        <w:t>ler</w:t>
      </w:r>
      <w:r w:rsidRPr="00CF336B">
        <w:rPr>
          <w:lang w:val="tr-TR"/>
        </w:rPr>
        <w:t xml:space="preserve"> enerji piyasasında</w:t>
      </w:r>
      <w:r w:rsidR="00E37FBA" w:rsidRPr="00CF336B">
        <w:rPr>
          <w:lang w:val="tr-TR"/>
        </w:rPr>
        <w:t xml:space="preserve"> emre amade</w:t>
      </w:r>
      <w:r w:rsidRPr="00CF336B">
        <w:rPr>
          <w:lang w:val="tr-TR"/>
        </w:rPr>
        <w:t xml:space="preserve"> bulunmaya devam e</w:t>
      </w:r>
      <w:r w:rsidR="00E37FBA" w:rsidRPr="00CF336B">
        <w:rPr>
          <w:lang w:val="tr-TR"/>
        </w:rPr>
        <w:t>deceklerdir</w:t>
      </w:r>
      <w:r w:rsidRPr="00CF336B">
        <w:rPr>
          <w:lang w:val="tr-TR"/>
        </w:rPr>
        <w:t xml:space="preserve">. İtalya’da 2021 yılına kadar aktif olan kapasite mekanizması uygulaması yerine yürürlüğe giren piyasa çaplı kapasite mekanizması kapsamındaki ilk kapasite </w:t>
      </w:r>
      <w:r w:rsidR="00E37FBA" w:rsidRPr="00CF336B">
        <w:rPr>
          <w:lang w:val="tr-TR"/>
        </w:rPr>
        <w:t xml:space="preserve">tahsisatları </w:t>
      </w:r>
      <w:r w:rsidRPr="00CF336B">
        <w:rPr>
          <w:lang w:val="tr-TR"/>
        </w:rPr>
        <w:t xml:space="preserve">2022 yılında başlamıştır </w:t>
      </w:r>
      <w:sdt>
        <w:sdtPr>
          <w:rPr>
            <w:lang w:val="tr-TR"/>
          </w:rPr>
          <w:id w:val="-269164286"/>
          <w:citation/>
        </w:sdtPr>
        <w:sdtEndPr/>
        <w:sdtContent>
          <w:r w:rsidRPr="00CF336B">
            <w:rPr>
              <w:lang w:val="tr-TR"/>
            </w:rPr>
            <w:fldChar w:fldCharType="begin"/>
          </w:r>
          <w:r w:rsidRPr="00CF336B">
            <w:rPr>
              <w:lang w:val="tr-TR"/>
            </w:rPr>
            <w:instrText xml:space="preserve"> CITATION ACE23 \l 1033 </w:instrText>
          </w:r>
          <w:r w:rsidRPr="00CF336B">
            <w:rPr>
              <w:lang w:val="tr-TR"/>
            </w:rPr>
            <w:fldChar w:fldCharType="separate"/>
          </w:r>
          <w:r w:rsidR="00D95FF7" w:rsidRPr="00D95FF7">
            <w:rPr>
              <w:noProof/>
              <w:lang w:val="tr-TR"/>
            </w:rPr>
            <w:t>(ACER, 2023)</w:t>
          </w:r>
          <w:r w:rsidRPr="00CF336B">
            <w:rPr>
              <w:lang w:val="tr-TR"/>
            </w:rPr>
            <w:fldChar w:fldCharType="end"/>
          </w:r>
        </w:sdtContent>
      </w:sdt>
      <w:r w:rsidRPr="00CF336B">
        <w:rPr>
          <w:lang w:val="tr-TR"/>
        </w:rPr>
        <w:t xml:space="preserve">. </w:t>
      </w:r>
    </w:p>
    <w:p w14:paraId="26EC64BC" w14:textId="615D0BB7" w:rsidR="002E6EF3" w:rsidRPr="00CF336B" w:rsidRDefault="002E6EF3" w:rsidP="004D4361">
      <w:pPr>
        <w:spacing w:line="360" w:lineRule="auto"/>
        <w:jc w:val="both"/>
        <w:rPr>
          <w:lang w:val="tr-TR"/>
        </w:rPr>
      </w:pPr>
      <w:r w:rsidRPr="00CF336B">
        <w:rPr>
          <w:lang w:val="tr-TR"/>
        </w:rPr>
        <w:t>Üye ülkelerde uygulanan kapasite mekanizmalarının finansmanı elektrik sistemi kullanıcıları tarafından karşılanmaktadır</w:t>
      </w:r>
      <w:r w:rsidR="00E37FBA" w:rsidRPr="00CF336B">
        <w:rPr>
          <w:lang w:val="tr-TR"/>
        </w:rPr>
        <w:t xml:space="preserve">. Bunun </w:t>
      </w:r>
      <w:r w:rsidRPr="00CF336B">
        <w:rPr>
          <w:lang w:val="tr-TR"/>
        </w:rPr>
        <w:t xml:space="preserve">son kullanıcılara, tedarikçilere veya dengeleme sorumlusu taraflara </w:t>
      </w:r>
      <w:r w:rsidR="00E37FBA" w:rsidRPr="00CF336B">
        <w:rPr>
          <w:lang w:val="tr-TR"/>
        </w:rPr>
        <w:t xml:space="preserve">yansıtılması </w:t>
      </w:r>
      <w:r w:rsidRPr="00CF336B">
        <w:rPr>
          <w:lang w:val="tr-TR"/>
        </w:rPr>
        <w:t xml:space="preserve">iletim tarifeleri </w:t>
      </w:r>
      <w:r w:rsidR="00E37FBA" w:rsidRPr="00CF336B">
        <w:rPr>
          <w:lang w:val="tr-TR"/>
        </w:rPr>
        <w:t>veya</w:t>
      </w:r>
      <w:r w:rsidRPr="00CF336B">
        <w:rPr>
          <w:lang w:val="tr-TR"/>
        </w:rPr>
        <w:t xml:space="preserve"> ek ücretlendirmeler ile</w:t>
      </w:r>
      <w:r w:rsidR="00E37FBA" w:rsidRPr="00CF336B">
        <w:rPr>
          <w:lang w:val="tr-TR"/>
        </w:rPr>
        <w:t xml:space="preserve"> yapılmaktadır</w:t>
      </w:r>
      <w:r w:rsidRPr="00CF336B">
        <w:rPr>
          <w:lang w:val="tr-TR"/>
        </w:rPr>
        <w:t xml:space="preserve">. 2022 ve 2023 yıllarındaki toplam kapasite mekanizması maliyetlerinde artış </w:t>
      </w:r>
      <w:r w:rsidR="00E37FBA" w:rsidRPr="00CF336B">
        <w:rPr>
          <w:lang w:val="tr-TR"/>
        </w:rPr>
        <w:t>görüşmüştü</w:t>
      </w:r>
      <w:r w:rsidRPr="00CF336B">
        <w:rPr>
          <w:lang w:val="tr-TR"/>
        </w:rPr>
        <w:t xml:space="preserve">r. 2021 yılı teslimat döneminde yıllık 4,8 milyar </w:t>
      </w:r>
      <w:proofErr w:type="gramStart"/>
      <w:r w:rsidRPr="00CF336B">
        <w:rPr>
          <w:lang w:val="tr-TR"/>
        </w:rPr>
        <w:t>Avro</w:t>
      </w:r>
      <w:proofErr w:type="gramEnd"/>
      <w:r w:rsidRPr="00CF336B">
        <w:rPr>
          <w:lang w:val="tr-TR"/>
        </w:rPr>
        <w:t xml:space="preserve"> olan kapasite mekanizması maliyeti, 2022 yılı teslimat döneminde yıllık 5,2 milyar </w:t>
      </w:r>
      <w:proofErr w:type="spellStart"/>
      <w:r w:rsidRPr="00CF336B">
        <w:rPr>
          <w:lang w:val="tr-TR"/>
        </w:rPr>
        <w:t>Avro’ya</w:t>
      </w:r>
      <w:proofErr w:type="spellEnd"/>
      <w:r w:rsidRPr="00CF336B">
        <w:rPr>
          <w:lang w:val="tr-TR"/>
        </w:rPr>
        <w:t xml:space="preserve"> ulaşmıştır. 2023 yılında ise uygulama maliyetinin yıllık bazda %40 oranında bir artış göstererek 7,4 milyar </w:t>
      </w:r>
      <w:proofErr w:type="gramStart"/>
      <w:r w:rsidRPr="00CF336B">
        <w:rPr>
          <w:lang w:val="tr-TR"/>
        </w:rPr>
        <w:t>Avro</w:t>
      </w:r>
      <w:proofErr w:type="gramEnd"/>
      <w:r w:rsidRPr="00CF336B">
        <w:rPr>
          <w:lang w:val="tr-TR"/>
        </w:rPr>
        <w:t xml:space="preserve"> seviyesine ulaşacağı</w:t>
      </w:r>
      <w:r w:rsidR="00E37FBA" w:rsidRPr="00CF336B">
        <w:rPr>
          <w:lang w:val="tr-TR"/>
        </w:rPr>
        <w:t xml:space="preserve"> </w:t>
      </w:r>
      <w:r w:rsidRPr="00CF336B">
        <w:rPr>
          <w:lang w:val="tr-TR"/>
        </w:rPr>
        <w:t xml:space="preserve">öngörülmektedir. Bu </w:t>
      </w:r>
      <w:r w:rsidR="00E37FBA" w:rsidRPr="00CF336B">
        <w:rPr>
          <w:lang w:val="tr-TR"/>
        </w:rPr>
        <w:t xml:space="preserve">toplam </w:t>
      </w:r>
      <w:r w:rsidRPr="00CF336B">
        <w:rPr>
          <w:lang w:val="tr-TR"/>
        </w:rPr>
        <w:t>artışın temel seb</w:t>
      </w:r>
      <w:r w:rsidR="00E37FBA" w:rsidRPr="00CF336B">
        <w:rPr>
          <w:lang w:val="tr-TR"/>
        </w:rPr>
        <w:t>eb</w:t>
      </w:r>
      <w:r w:rsidRPr="00CF336B">
        <w:rPr>
          <w:lang w:val="tr-TR"/>
        </w:rPr>
        <w:t xml:space="preserve">i Fransa ve İtalya’nın kapasite mekanizmaları maliyetlerindeki artıştır </w:t>
      </w:r>
      <w:sdt>
        <w:sdtPr>
          <w:rPr>
            <w:lang w:val="tr-TR"/>
          </w:rPr>
          <w:id w:val="435406884"/>
          <w:citation/>
        </w:sdtPr>
        <w:sdtEndPr/>
        <w:sdtContent>
          <w:r w:rsidRPr="00CF336B">
            <w:rPr>
              <w:lang w:val="tr-TR"/>
            </w:rPr>
            <w:fldChar w:fldCharType="begin"/>
          </w:r>
          <w:r w:rsidRPr="00CF336B">
            <w:rPr>
              <w:lang w:val="tr-TR"/>
            </w:rPr>
            <w:instrText xml:space="preserve"> CITATION ACE23 \l 1033 </w:instrText>
          </w:r>
          <w:r w:rsidRPr="00CF336B">
            <w:rPr>
              <w:lang w:val="tr-TR"/>
            </w:rPr>
            <w:fldChar w:fldCharType="separate"/>
          </w:r>
          <w:r w:rsidR="00D95FF7" w:rsidRPr="00D95FF7">
            <w:rPr>
              <w:noProof/>
              <w:lang w:val="tr-TR"/>
            </w:rPr>
            <w:t>(ACER, 2023)</w:t>
          </w:r>
          <w:r w:rsidRPr="00CF336B">
            <w:rPr>
              <w:lang w:val="tr-TR"/>
            </w:rPr>
            <w:fldChar w:fldCharType="end"/>
          </w:r>
        </w:sdtContent>
      </w:sdt>
      <w:r w:rsidRPr="00CF336B">
        <w:rPr>
          <w:lang w:val="tr-TR"/>
        </w:rPr>
        <w:t>.</w:t>
      </w:r>
      <w:r w:rsidR="007D3DC7" w:rsidRPr="00CF336B">
        <w:rPr>
          <w:lang w:val="tr-TR"/>
        </w:rPr>
        <w:t xml:space="preserve"> </w:t>
      </w:r>
      <w:r w:rsidR="009F6732" w:rsidRPr="00CF336B">
        <w:rPr>
          <w:lang w:val="tr-TR"/>
        </w:rPr>
        <w:fldChar w:fldCharType="begin"/>
      </w:r>
      <w:r w:rsidR="009F6732" w:rsidRPr="00CF336B">
        <w:rPr>
          <w:lang w:val="tr-TR"/>
        </w:rPr>
        <w:instrText xml:space="preserve"> REF _Ref149080831 \h </w:instrText>
      </w:r>
      <w:r w:rsidR="004D4361">
        <w:rPr>
          <w:lang w:val="tr-TR"/>
        </w:rPr>
        <w:instrText xml:space="preserve"> \* MERGEFORMAT </w:instrText>
      </w:r>
      <w:r w:rsidR="009F6732" w:rsidRPr="00CF336B">
        <w:rPr>
          <w:lang w:val="tr-TR"/>
        </w:rPr>
      </w:r>
      <w:r w:rsidR="009F6732" w:rsidRPr="00CF336B">
        <w:rPr>
          <w:lang w:val="tr-TR"/>
        </w:rPr>
        <w:fldChar w:fldCharType="separate"/>
      </w:r>
      <w:r w:rsidR="009F6732" w:rsidRPr="008A77BA">
        <w:rPr>
          <w:lang w:val="tr-TR"/>
        </w:rPr>
        <w:t xml:space="preserve">Şekil </w:t>
      </w:r>
      <w:r w:rsidR="009F6732" w:rsidRPr="008A77BA">
        <w:rPr>
          <w:noProof/>
          <w:lang w:val="tr-TR"/>
        </w:rPr>
        <w:t>7</w:t>
      </w:r>
      <w:r w:rsidR="009F6732" w:rsidRPr="00CF336B">
        <w:rPr>
          <w:lang w:val="tr-TR"/>
        </w:rPr>
        <w:fldChar w:fldCharType="end"/>
      </w:r>
      <w:r w:rsidR="00C636C9" w:rsidRPr="00CF336B">
        <w:rPr>
          <w:lang w:val="tr-TR"/>
        </w:rPr>
        <w:t xml:space="preserve">, </w:t>
      </w:r>
      <w:r w:rsidR="007D3DC7" w:rsidRPr="00CF336B">
        <w:rPr>
          <w:lang w:val="tr-TR"/>
        </w:rPr>
        <w:t>k</w:t>
      </w:r>
      <w:r w:rsidRPr="00CF336B">
        <w:rPr>
          <w:lang w:val="tr-TR"/>
        </w:rPr>
        <w:t>apasite mekanizmasının teslimat yıllarındaki maliyetini göstermektedir. 2023 yılında gerçekleştirilen T-1 ihaleleri 2024 yılına dair maliyet tahminlerinde hesaba katılmamıştır, bu nedenle 2024 yılına ait değerler indikatif niteliktedir.</w:t>
      </w:r>
      <w:r w:rsidR="00536375" w:rsidRPr="00CF336B">
        <w:rPr>
          <w:lang w:val="tr-TR"/>
        </w:rPr>
        <w:t xml:space="preserve"> </w:t>
      </w:r>
      <w:r w:rsidR="00536375" w:rsidRPr="00CF336B">
        <w:rPr>
          <w:lang w:val="tr-TR"/>
        </w:rPr>
        <w:fldChar w:fldCharType="begin"/>
      </w:r>
      <w:r w:rsidR="00536375" w:rsidRPr="00CF336B">
        <w:rPr>
          <w:lang w:val="tr-TR"/>
        </w:rPr>
        <w:instrText xml:space="preserve"> REF _Ref149081092 \h </w:instrText>
      </w:r>
      <w:r w:rsidR="004D4361">
        <w:rPr>
          <w:lang w:val="tr-TR"/>
        </w:rPr>
        <w:instrText xml:space="preserve"> \* MERGEFORMAT </w:instrText>
      </w:r>
      <w:r w:rsidR="00536375" w:rsidRPr="00CF336B">
        <w:rPr>
          <w:lang w:val="tr-TR"/>
        </w:rPr>
      </w:r>
      <w:r w:rsidR="00536375" w:rsidRPr="00CF336B">
        <w:rPr>
          <w:lang w:val="tr-TR"/>
        </w:rPr>
        <w:fldChar w:fldCharType="separate"/>
      </w:r>
      <w:r w:rsidR="00536375" w:rsidRPr="008A77BA">
        <w:rPr>
          <w:lang w:val="tr-TR"/>
        </w:rPr>
        <w:t xml:space="preserve">Şekil </w:t>
      </w:r>
      <w:r w:rsidR="00536375" w:rsidRPr="008A77BA">
        <w:rPr>
          <w:noProof/>
          <w:lang w:val="tr-TR"/>
        </w:rPr>
        <w:t>8</w:t>
      </w:r>
      <w:r w:rsidR="00536375" w:rsidRPr="00CF336B">
        <w:rPr>
          <w:lang w:val="tr-TR"/>
        </w:rPr>
        <w:fldChar w:fldCharType="end"/>
      </w:r>
      <w:r w:rsidR="00536375" w:rsidRPr="00CF336B">
        <w:rPr>
          <w:lang w:val="tr-TR"/>
        </w:rPr>
        <w:t xml:space="preserve"> ve </w:t>
      </w:r>
      <w:r w:rsidR="00536375" w:rsidRPr="00CF336B">
        <w:rPr>
          <w:lang w:val="tr-TR"/>
        </w:rPr>
        <w:fldChar w:fldCharType="begin"/>
      </w:r>
      <w:r w:rsidR="00536375" w:rsidRPr="00CF336B">
        <w:rPr>
          <w:lang w:val="tr-TR"/>
        </w:rPr>
        <w:instrText xml:space="preserve"> REF _Ref149081093 \h </w:instrText>
      </w:r>
      <w:r w:rsidR="004D4361">
        <w:rPr>
          <w:lang w:val="tr-TR"/>
        </w:rPr>
        <w:instrText xml:space="preserve"> \* MERGEFORMAT </w:instrText>
      </w:r>
      <w:r w:rsidR="00536375" w:rsidRPr="00CF336B">
        <w:rPr>
          <w:lang w:val="tr-TR"/>
        </w:rPr>
      </w:r>
      <w:r w:rsidR="00536375" w:rsidRPr="00CF336B">
        <w:rPr>
          <w:lang w:val="tr-TR"/>
        </w:rPr>
        <w:fldChar w:fldCharType="separate"/>
      </w:r>
      <w:r w:rsidR="00536375" w:rsidRPr="008A77BA">
        <w:rPr>
          <w:lang w:val="tr-TR"/>
        </w:rPr>
        <w:t xml:space="preserve">Şekil </w:t>
      </w:r>
      <w:r w:rsidR="00536375" w:rsidRPr="008A77BA">
        <w:rPr>
          <w:noProof/>
          <w:lang w:val="tr-TR"/>
        </w:rPr>
        <w:t>9</w:t>
      </w:r>
      <w:r w:rsidR="00536375" w:rsidRPr="00CF336B">
        <w:rPr>
          <w:lang w:val="tr-TR"/>
        </w:rPr>
        <w:fldChar w:fldCharType="end"/>
      </w:r>
      <w:r w:rsidR="00536375" w:rsidRPr="00CF336B">
        <w:rPr>
          <w:lang w:val="tr-TR"/>
        </w:rPr>
        <w:t xml:space="preserve"> ise AB ülkelerinde yapılan kapasite mekanizması ödemelerini göstermektedir </w:t>
      </w:r>
      <w:sdt>
        <w:sdtPr>
          <w:rPr>
            <w:lang w:val="tr-TR"/>
          </w:rPr>
          <w:id w:val="-1929412062"/>
          <w:citation/>
        </w:sdtPr>
        <w:sdtEndPr/>
        <w:sdtContent>
          <w:r w:rsidR="00536375" w:rsidRPr="00CF336B">
            <w:rPr>
              <w:lang w:val="tr-TR"/>
            </w:rPr>
            <w:fldChar w:fldCharType="begin"/>
          </w:r>
          <w:r w:rsidR="00536375" w:rsidRPr="008A77BA">
            <w:rPr>
              <w:lang w:val="tr-TR"/>
            </w:rPr>
            <w:instrText xml:space="preserve"> CITATION ACE23 \l 1033 </w:instrText>
          </w:r>
          <w:r w:rsidR="00536375" w:rsidRPr="00CF336B">
            <w:rPr>
              <w:lang w:val="tr-TR"/>
            </w:rPr>
            <w:fldChar w:fldCharType="separate"/>
          </w:r>
          <w:r w:rsidR="00D95FF7" w:rsidRPr="00D95FF7">
            <w:rPr>
              <w:noProof/>
              <w:lang w:val="tr-TR"/>
            </w:rPr>
            <w:t>(ACER, 2023)</w:t>
          </w:r>
          <w:r w:rsidR="00536375" w:rsidRPr="00CF336B">
            <w:rPr>
              <w:lang w:val="tr-TR"/>
            </w:rPr>
            <w:fldChar w:fldCharType="end"/>
          </w:r>
        </w:sdtContent>
      </w:sdt>
      <w:r w:rsidR="00536375" w:rsidRPr="00CF336B">
        <w:rPr>
          <w:lang w:val="tr-TR"/>
        </w:rPr>
        <w:t>.</w:t>
      </w:r>
    </w:p>
    <w:p w14:paraId="1815C936" w14:textId="02D6F47C" w:rsidR="00A769C2" w:rsidRPr="008A77BA" w:rsidRDefault="009F6732" w:rsidP="004D4361">
      <w:pPr>
        <w:keepNext/>
        <w:spacing w:line="360" w:lineRule="auto"/>
        <w:rPr>
          <w:lang w:val="tr-TR"/>
        </w:rPr>
      </w:pPr>
      <w:r w:rsidRPr="008A77BA">
        <w:rPr>
          <w:noProof/>
          <w:lang w:val="tr-TR"/>
        </w:rPr>
        <w:drawing>
          <wp:inline distT="0" distB="0" distL="0" distR="0" wp14:anchorId="77B02B66" wp14:editId="153F08DD">
            <wp:extent cx="5486400" cy="3200400"/>
            <wp:effectExtent l="0" t="0" r="0" b="0"/>
            <wp:docPr id="1446702753" name="Chart 14467027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6D7A29" w14:textId="31215879" w:rsidR="00C636C9" w:rsidRPr="008A77BA" w:rsidRDefault="009F6732" w:rsidP="004D4361">
      <w:pPr>
        <w:pStyle w:val="Caption"/>
        <w:spacing w:line="360" w:lineRule="auto"/>
        <w:jc w:val="center"/>
        <w:rPr>
          <w:lang w:val="tr-TR"/>
        </w:rPr>
      </w:pPr>
      <w:bookmarkStart w:id="35" w:name="_Ref149080831"/>
      <w:bookmarkStart w:id="36" w:name="_Toc156210461"/>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7</w:t>
      </w:r>
      <w:r w:rsidRPr="008A77BA">
        <w:rPr>
          <w:color w:val="auto"/>
          <w:sz w:val="22"/>
          <w:szCs w:val="22"/>
          <w:lang w:val="tr-TR"/>
        </w:rPr>
        <w:fldChar w:fldCharType="end"/>
      </w:r>
      <w:bookmarkEnd w:id="35"/>
      <w:r w:rsidRPr="008A77BA">
        <w:rPr>
          <w:color w:val="auto"/>
          <w:sz w:val="22"/>
          <w:szCs w:val="22"/>
          <w:lang w:val="tr-TR"/>
        </w:rPr>
        <w:t>. EU-27 İçerisinde Gerçekleşen ve Öngörülen Kapasite Mekanizması Maliyetleri</w:t>
      </w:r>
      <w:bookmarkEnd w:id="36"/>
    </w:p>
    <w:p w14:paraId="5683061B" w14:textId="77777777" w:rsidR="00C636C9" w:rsidRPr="008A77BA" w:rsidRDefault="00C636C9" w:rsidP="004D4361">
      <w:pPr>
        <w:spacing w:line="360" w:lineRule="auto"/>
        <w:rPr>
          <w:lang w:val="tr-TR"/>
        </w:rPr>
      </w:pPr>
    </w:p>
    <w:p w14:paraId="57BAAB7A" w14:textId="77777777" w:rsidR="00256985" w:rsidRPr="008A77BA" w:rsidRDefault="00F84F86" w:rsidP="004D4361">
      <w:pPr>
        <w:keepNext/>
        <w:spacing w:line="360" w:lineRule="auto"/>
        <w:rPr>
          <w:lang w:val="tr-TR"/>
        </w:rPr>
      </w:pPr>
      <w:r w:rsidRPr="00CF336B">
        <w:rPr>
          <w:noProof/>
          <w:sz w:val="28"/>
          <w:szCs w:val="28"/>
          <w:lang w:val="tr-TR"/>
        </w:rPr>
        <w:drawing>
          <wp:inline distT="0" distB="0" distL="0" distR="0" wp14:anchorId="669FC25C" wp14:editId="1916A830">
            <wp:extent cx="5486400" cy="3200400"/>
            <wp:effectExtent l="0" t="0" r="0" b="0"/>
            <wp:docPr id="11008687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148A7" w14:textId="5395F1F0" w:rsidR="00256985" w:rsidRPr="008A77BA" w:rsidRDefault="00256985" w:rsidP="004D4361">
      <w:pPr>
        <w:pStyle w:val="Caption"/>
        <w:spacing w:line="360" w:lineRule="auto"/>
        <w:jc w:val="center"/>
        <w:rPr>
          <w:color w:val="auto"/>
          <w:sz w:val="22"/>
          <w:szCs w:val="22"/>
          <w:lang w:val="tr-TR"/>
        </w:rPr>
      </w:pPr>
      <w:bookmarkStart w:id="37" w:name="_Ref149081092"/>
      <w:bookmarkStart w:id="38" w:name="_Toc156210462"/>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8</w:t>
      </w:r>
      <w:r w:rsidRPr="008A77BA">
        <w:rPr>
          <w:color w:val="auto"/>
          <w:sz w:val="22"/>
          <w:szCs w:val="22"/>
          <w:lang w:val="tr-TR"/>
        </w:rPr>
        <w:fldChar w:fldCharType="end"/>
      </w:r>
      <w:bookmarkEnd w:id="37"/>
      <w:r w:rsidR="000613F8" w:rsidRPr="008A77BA">
        <w:rPr>
          <w:color w:val="auto"/>
          <w:sz w:val="22"/>
          <w:szCs w:val="22"/>
          <w:lang w:val="tr-TR"/>
        </w:rPr>
        <w:t>.</w:t>
      </w:r>
      <w:r w:rsidR="004617CA" w:rsidRPr="008A77BA">
        <w:rPr>
          <w:color w:val="auto"/>
          <w:sz w:val="22"/>
          <w:szCs w:val="22"/>
          <w:lang w:val="tr-TR"/>
        </w:rPr>
        <w:t xml:space="preserve"> 2020-2024 Yılları Arasında Fransa, İrlanda, İ</w:t>
      </w:r>
      <w:r w:rsidR="00834ACF" w:rsidRPr="008A77BA">
        <w:rPr>
          <w:color w:val="auto"/>
          <w:sz w:val="22"/>
          <w:szCs w:val="22"/>
          <w:lang w:val="tr-TR"/>
        </w:rPr>
        <w:t>talya ve Polonya’da Kapasite Mekanizması Kapsamında Yapılan ve Yapılması Öngörülen Ödemeler</w:t>
      </w:r>
      <w:bookmarkEnd w:id="38"/>
    </w:p>
    <w:p w14:paraId="0E86D500" w14:textId="77777777" w:rsidR="000D68C0" w:rsidRPr="008A77BA" w:rsidRDefault="000D68C0" w:rsidP="004D4361">
      <w:pPr>
        <w:keepNext/>
        <w:spacing w:line="360" w:lineRule="auto"/>
        <w:rPr>
          <w:lang w:val="tr-TR"/>
        </w:rPr>
      </w:pPr>
      <w:r w:rsidRPr="00CF336B">
        <w:rPr>
          <w:noProof/>
          <w:sz w:val="28"/>
          <w:szCs w:val="28"/>
          <w:lang w:val="tr-TR"/>
        </w:rPr>
        <w:drawing>
          <wp:inline distT="0" distB="0" distL="0" distR="0" wp14:anchorId="0C7250FF" wp14:editId="73C383CE">
            <wp:extent cx="5486400" cy="3200400"/>
            <wp:effectExtent l="0" t="0" r="0" b="0"/>
            <wp:docPr id="1024766765" name="Chart 1024766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A62050" w14:textId="0041CC36" w:rsidR="000D68C0" w:rsidRPr="00BE1CEF" w:rsidRDefault="000D68C0" w:rsidP="004D4361">
      <w:pPr>
        <w:pStyle w:val="Caption"/>
        <w:spacing w:line="360" w:lineRule="auto"/>
        <w:jc w:val="center"/>
        <w:rPr>
          <w:color w:val="auto"/>
          <w:sz w:val="22"/>
          <w:szCs w:val="22"/>
          <w:lang w:val="tr-TR"/>
        </w:rPr>
      </w:pPr>
      <w:bookmarkStart w:id="39" w:name="_Ref149081093"/>
      <w:bookmarkStart w:id="40" w:name="_Toc156210463"/>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9</w:t>
      </w:r>
      <w:r w:rsidRPr="008A77BA">
        <w:rPr>
          <w:color w:val="auto"/>
          <w:sz w:val="22"/>
          <w:szCs w:val="22"/>
          <w:lang w:val="tr-TR"/>
        </w:rPr>
        <w:fldChar w:fldCharType="end"/>
      </w:r>
      <w:bookmarkEnd w:id="39"/>
      <w:r w:rsidR="000613F8" w:rsidRPr="008A77BA">
        <w:rPr>
          <w:color w:val="auto"/>
          <w:sz w:val="22"/>
          <w:szCs w:val="22"/>
          <w:lang w:val="tr-TR"/>
        </w:rPr>
        <w:t>.</w:t>
      </w:r>
      <w:r w:rsidR="006F42D9" w:rsidRPr="008A77BA">
        <w:rPr>
          <w:color w:val="auto"/>
          <w:sz w:val="22"/>
          <w:szCs w:val="22"/>
          <w:lang w:val="tr-TR"/>
        </w:rPr>
        <w:t xml:space="preserve"> 2020-2024 Yılları Arasında Almanya, Finlandiya, İspanya, İtalya ve Portekiz’de Kapasite Mekanizması Kapsamında Yapılan ve Yapılması Öngörülen Ödemeler</w:t>
      </w:r>
      <w:bookmarkEnd w:id="40"/>
    </w:p>
    <w:p w14:paraId="6246F246" w14:textId="4E4D5F1C" w:rsidR="007D3DC7" w:rsidRPr="00CF336B" w:rsidRDefault="007D3DC7" w:rsidP="004D4361">
      <w:pPr>
        <w:spacing w:line="360" w:lineRule="auto"/>
        <w:rPr>
          <w:sz w:val="28"/>
          <w:szCs w:val="28"/>
          <w:lang w:val="tr-TR"/>
        </w:rPr>
      </w:pPr>
    </w:p>
    <w:p w14:paraId="600116D6" w14:textId="49974F49" w:rsidR="002E6EF3" w:rsidRPr="00CF336B" w:rsidRDefault="002E6EF3" w:rsidP="004D4361">
      <w:pPr>
        <w:spacing w:line="360" w:lineRule="auto"/>
        <w:jc w:val="both"/>
        <w:rPr>
          <w:lang w:val="tr-TR"/>
        </w:rPr>
      </w:pPr>
      <w:r w:rsidRPr="00CF336B">
        <w:rPr>
          <w:lang w:val="tr-TR"/>
        </w:rPr>
        <w:t>Oluşturulan kapasitenin birim maliyeti incelendiğinde ise bazı ülkelerde bu değerin yükseldiği gözlemlenmektedir. 2022 yılında Fransa’da çeşitli nedenlerle nükleer enerjinin elektrik üretim</w:t>
      </w:r>
      <w:r w:rsidR="00E37FBA" w:rsidRPr="00CF336B">
        <w:rPr>
          <w:lang w:val="tr-TR"/>
        </w:rPr>
        <w:t>deki payının düşmesi</w:t>
      </w:r>
      <w:r w:rsidRPr="00CF336B">
        <w:rPr>
          <w:lang w:val="tr-TR"/>
        </w:rPr>
        <w:t xml:space="preserve">, ihale fiyatlarının ve dolayısıyla kapasite birim maliyetinin artmasına </w:t>
      </w:r>
      <w:r w:rsidR="00E37FBA" w:rsidRPr="00CF336B">
        <w:rPr>
          <w:lang w:val="tr-TR"/>
        </w:rPr>
        <w:t>neden</w:t>
      </w:r>
      <w:r w:rsidRPr="00CF336B">
        <w:rPr>
          <w:lang w:val="tr-TR"/>
        </w:rPr>
        <w:t xml:space="preserve"> olmuştur. 2024 yılında Almanya’daki birim kapasite maliyetindeki artışın sebebi ise, yetkili otoritelerin şu ana kadar yapılan en büyük ödemenin 2023 yılında sonuçlanacak olan kapasite mekanizması ihalesinde yaşanacağını öngörmesinden kaynaklanmaktadır. İrlanda’da ise 2024 yılındaki maliyetlerin artmasında 2024/</w:t>
      </w:r>
      <w:r w:rsidR="00E37FBA" w:rsidRPr="00CF336B">
        <w:rPr>
          <w:lang w:val="tr-TR"/>
        </w:rPr>
        <w:t>20</w:t>
      </w:r>
      <w:r w:rsidRPr="00CF336B">
        <w:rPr>
          <w:lang w:val="tr-TR"/>
        </w:rPr>
        <w:t>25 kış dönemi teslimatı için yapılan T-3 ihalesinin sonucunun etkisi olmuştur. Oluşturulan kapasitenin birim maliyeti ülkeler bazında</w:t>
      </w:r>
      <w:r w:rsidR="006B41BB" w:rsidRPr="00CF336B">
        <w:rPr>
          <w:lang w:val="tr-TR"/>
        </w:rPr>
        <w:t xml:space="preserve"> </w:t>
      </w:r>
      <w:r w:rsidR="006B41BB" w:rsidRPr="00CF336B">
        <w:rPr>
          <w:lang w:val="tr-TR"/>
        </w:rPr>
        <w:fldChar w:fldCharType="begin"/>
      </w:r>
      <w:r w:rsidR="006B41BB" w:rsidRPr="00CF336B">
        <w:rPr>
          <w:lang w:val="tr-TR"/>
        </w:rPr>
        <w:instrText xml:space="preserve"> REF _Ref149059391 \h </w:instrText>
      </w:r>
      <w:r w:rsidR="004D4361">
        <w:rPr>
          <w:lang w:val="tr-TR"/>
        </w:rPr>
        <w:instrText xml:space="preserve"> \* MERGEFORMAT </w:instrText>
      </w:r>
      <w:r w:rsidR="006B41BB" w:rsidRPr="00CF336B">
        <w:rPr>
          <w:lang w:val="tr-TR"/>
        </w:rPr>
      </w:r>
      <w:r w:rsidR="006B41BB" w:rsidRPr="00CF336B">
        <w:rPr>
          <w:lang w:val="tr-TR"/>
        </w:rPr>
        <w:fldChar w:fldCharType="separate"/>
      </w:r>
      <w:r w:rsidR="000408C7" w:rsidRPr="008A77BA">
        <w:rPr>
          <w:lang w:val="tr-TR"/>
        </w:rPr>
        <w:t xml:space="preserve">Şekil </w:t>
      </w:r>
      <w:r w:rsidR="000408C7" w:rsidRPr="008A77BA">
        <w:rPr>
          <w:noProof/>
          <w:lang w:val="tr-TR"/>
        </w:rPr>
        <w:t>10</w:t>
      </w:r>
      <w:r w:rsidR="006B41BB" w:rsidRPr="00CF336B">
        <w:rPr>
          <w:lang w:val="tr-TR"/>
        </w:rPr>
        <w:fldChar w:fldCharType="end"/>
      </w:r>
      <w:r w:rsidR="006B41BB" w:rsidRPr="00CF336B">
        <w:rPr>
          <w:lang w:val="tr-TR"/>
        </w:rPr>
        <w:t>’</w:t>
      </w:r>
      <w:r w:rsidRPr="00CF336B">
        <w:rPr>
          <w:lang w:val="tr-TR"/>
        </w:rPr>
        <w:t>de gösterilm</w:t>
      </w:r>
      <w:r w:rsidR="00E37FBA" w:rsidRPr="00CF336B">
        <w:rPr>
          <w:lang w:val="tr-TR"/>
        </w:rPr>
        <w:t>ektedir</w:t>
      </w:r>
      <w:r w:rsidRPr="00CF336B">
        <w:rPr>
          <w:lang w:val="tr-TR"/>
        </w:rPr>
        <w:t xml:space="preserve">. Birim maliyetler, teslimat yıllarındaki toplam kapasite maliyetinin teslimat yıllarında oluşturulan toplam kapasiteye bölünmesi ile hesaplanmıştır </w:t>
      </w:r>
      <w:sdt>
        <w:sdtPr>
          <w:rPr>
            <w:lang w:val="tr-TR"/>
          </w:rPr>
          <w:id w:val="1566220131"/>
          <w:citation/>
        </w:sdtPr>
        <w:sdtEndPr/>
        <w:sdtContent>
          <w:r w:rsidR="00E37FBA" w:rsidRPr="00CF336B">
            <w:rPr>
              <w:lang w:val="tr-TR"/>
            </w:rPr>
            <w:fldChar w:fldCharType="begin"/>
          </w:r>
          <w:r w:rsidR="00E37FBA" w:rsidRPr="00CF336B">
            <w:rPr>
              <w:lang w:val="tr-TR"/>
            </w:rPr>
            <w:instrText xml:space="preserve"> CITATION ACE23 \l 1033 </w:instrText>
          </w:r>
          <w:r w:rsidR="00E37FBA" w:rsidRPr="00CF336B">
            <w:rPr>
              <w:lang w:val="tr-TR"/>
            </w:rPr>
            <w:fldChar w:fldCharType="separate"/>
          </w:r>
          <w:r w:rsidR="00D95FF7" w:rsidRPr="00D95FF7">
            <w:rPr>
              <w:noProof/>
              <w:lang w:val="tr-TR"/>
            </w:rPr>
            <w:t>(ACER, 2023)</w:t>
          </w:r>
          <w:r w:rsidR="00E37FBA" w:rsidRPr="00CF336B">
            <w:rPr>
              <w:lang w:val="tr-TR"/>
            </w:rPr>
            <w:fldChar w:fldCharType="end"/>
          </w:r>
        </w:sdtContent>
      </w:sdt>
      <w:r w:rsidR="00E37FBA" w:rsidRPr="00CF336B">
        <w:rPr>
          <w:lang w:val="tr-TR"/>
        </w:rPr>
        <w:t>.</w:t>
      </w:r>
    </w:p>
    <w:p w14:paraId="42EDBB88" w14:textId="77777777" w:rsidR="001C097B" w:rsidRPr="008A77BA" w:rsidRDefault="005D62AA" w:rsidP="004D4361">
      <w:pPr>
        <w:keepNext/>
        <w:spacing w:line="360" w:lineRule="auto"/>
        <w:jc w:val="both"/>
        <w:rPr>
          <w:lang w:val="tr-TR"/>
        </w:rPr>
      </w:pPr>
      <w:r w:rsidRPr="00CF336B">
        <w:rPr>
          <w:noProof/>
          <w:sz w:val="28"/>
          <w:szCs w:val="28"/>
          <w:lang w:val="tr-TR"/>
        </w:rPr>
        <w:drawing>
          <wp:inline distT="0" distB="0" distL="0" distR="0" wp14:anchorId="083E6610" wp14:editId="2E43CE71">
            <wp:extent cx="5486400" cy="3200400"/>
            <wp:effectExtent l="0" t="0" r="0" b="0"/>
            <wp:docPr id="394283885" name="Chart 394283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CE92E8" w14:textId="06C0697D" w:rsidR="004853CD" w:rsidRPr="00BE1CEF" w:rsidRDefault="001C097B" w:rsidP="004D4361">
      <w:pPr>
        <w:pStyle w:val="Caption"/>
        <w:spacing w:line="360" w:lineRule="auto"/>
        <w:jc w:val="center"/>
        <w:rPr>
          <w:color w:val="auto"/>
          <w:sz w:val="22"/>
          <w:szCs w:val="22"/>
          <w:lang w:val="tr-TR"/>
        </w:rPr>
      </w:pPr>
      <w:bookmarkStart w:id="41" w:name="_Ref149059391"/>
      <w:bookmarkStart w:id="42" w:name="_Toc156210464"/>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10</w:t>
      </w:r>
      <w:r w:rsidRPr="008A77BA">
        <w:rPr>
          <w:color w:val="auto"/>
          <w:sz w:val="22"/>
          <w:szCs w:val="22"/>
          <w:lang w:val="tr-TR"/>
        </w:rPr>
        <w:fldChar w:fldCharType="end"/>
      </w:r>
      <w:bookmarkEnd w:id="41"/>
      <w:r w:rsidR="000613F8" w:rsidRPr="008A77BA">
        <w:rPr>
          <w:color w:val="auto"/>
          <w:sz w:val="22"/>
          <w:szCs w:val="22"/>
          <w:lang w:val="tr-TR"/>
        </w:rPr>
        <w:t>.</w:t>
      </w:r>
      <w:r w:rsidR="00945296" w:rsidRPr="008A77BA">
        <w:rPr>
          <w:color w:val="auto"/>
          <w:sz w:val="22"/>
          <w:szCs w:val="22"/>
          <w:lang w:val="tr-TR"/>
        </w:rPr>
        <w:t xml:space="preserve"> </w:t>
      </w:r>
      <w:r w:rsidR="002166DD" w:rsidRPr="008A77BA">
        <w:rPr>
          <w:color w:val="auto"/>
          <w:sz w:val="22"/>
          <w:szCs w:val="22"/>
          <w:lang w:val="tr-TR"/>
        </w:rPr>
        <w:t xml:space="preserve">Kapasite Mekanizması Kapsamında </w:t>
      </w:r>
      <w:r w:rsidR="00945296" w:rsidRPr="008A77BA">
        <w:rPr>
          <w:color w:val="auto"/>
          <w:sz w:val="22"/>
          <w:szCs w:val="22"/>
          <w:lang w:val="tr-TR"/>
        </w:rPr>
        <w:t xml:space="preserve">MW </w:t>
      </w:r>
      <w:r w:rsidR="002166DD" w:rsidRPr="008A77BA">
        <w:rPr>
          <w:color w:val="auto"/>
          <w:sz w:val="22"/>
          <w:szCs w:val="22"/>
          <w:lang w:val="tr-TR"/>
        </w:rPr>
        <w:t>Başına Yapılan Kapasite Ödemesi</w:t>
      </w:r>
      <w:bookmarkEnd w:id="42"/>
    </w:p>
    <w:p w14:paraId="24D601EF" w14:textId="4CC97B43" w:rsidR="002E6EF3" w:rsidRPr="00CF336B" w:rsidRDefault="008B04F0" w:rsidP="004D4361">
      <w:pPr>
        <w:spacing w:line="360" w:lineRule="auto"/>
        <w:jc w:val="both"/>
        <w:rPr>
          <w:rStyle w:val="Heading2Char"/>
          <w:rFonts w:asciiTheme="minorHAnsi" w:hAnsiTheme="minorHAnsi" w:cstheme="minorHAnsi"/>
          <w:b w:val="0"/>
          <w:bCs/>
          <w:sz w:val="22"/>
          <w:szCs w:val="22"/>
          <w:lang w:val="tr-TR"/>
        </w:rPr>
      </w:pPr>
      <w:r w:rsidRPr="00CF336B">
        <w:rPr>
          <w:lang w:val="tr-TR"/>
        </w:rPr>
        <w:t>Birim e</w:t>
      </w:r>
      <w:r w:rsidR="002E6EF3" w:rsidRPr="00CF336B">
        <w:rPr>
          <w:lang w:val="tr-TR"/>
        </w:rPr>
        <w:t xml:space="preserve">lektrik talebi </w:t>
      </w:r>
      <w:r w:rsidRPr="00CF336B">
        <w:rPr>
          <w:lang w:val="tr-TR"/>
        </w:rPr>
        <w:t>için</w:t>
      </w:r>
      <w:r w:rsidR="002E6EF3" w:rsidRPr="00CF336B">
        <w:rPr>
          <w:lang w:val="tr-TR"/>
        </w:rPr>
        <w:t xml:space="preserve"> kapasite mekanizması birim maliyeti ve kapasite ödemelerinin Gün Öncesi Piyasası’nda oluşan fiyata oranı </w:t>
      </w:r>
      <w:r w:rsidR="002E6EF3" w:rsidRPr="00CF336B">
        <w:rPr>
          <w:lang w:val="tr-TR"/>
        </w:rPr>
        <w:fldChar w:fldCharType="begin"/>
      </w:r>
      <w:r w:rsidR="002E6EF3" w:rsidRPr="00CF336B">
        <w:rPr>
          <w:lang w:val="tr-TR"/>
        </w:rPr>
        <w:instrText xml:space="preserve"> REF _Ref148631217 \h </w:instrText>
      </w:r>
      <w:r w:rsidR="00413DBB" w:rsidRPr="00CF336B">
        <w:rPr>
          <w:lang w:val="tr-TR"/>
        </w:rPr>
        <w:instrText xml:space="preserve"> \* MERGEFORMAT </w:instrText>
      </w:r>
      <w:r w:rsidR="002E6EF3" w:rsidRPr="00CF336B">
        <w:rPr>
          <w:lang w:val="tr-TR"/>
        </w:rPr>
      </w:r>
      <w:r w:rsidR="002E6EF3" w:rsidRPr="00CF336B">
        <w:rPr>
          <w:lang w:val="tr-TR"/>
        </w:rPr>
        <w:fldChar w:fldCharType="separate"/>
      </w:r>
      <w:r w:rsidR="002E6EF3" w:rsidRPr="00CF336B">
        <w:rPr>
          <w:lang w:val="tr-TR"/>
        </w:rPr>
        <w:t xml:space="preserve">Şekil </w:t>
      </w:r>
      <w:r w:rsidR="002E6EF3" w:rsidRPr="00CF336B">
        <w:rPr>
          <w:noProof/>
          <w:lang w:val="tr-TR"/>
        </w:rPr>
        <w:t>8</w:t>
      </w:r>
      <w:r w:rsidR="002E6EF3" w:rsidRPr="00CF336B">
        <w:rPr>
          <w:lang w:val="tr-TR"/>
        </w:rPr>
        <w:fldChar w:fldCharType="end"/>
      </w:r>
      <w:r w:rsidR="002E6EF3" w:rsidRPr="00CF336B">
        <w:rPr>
          <w:lang w:val="tr-TR"/>
        </w:rPr>
        <w:t>’de gösterilm</w:t>
      </w:r>
      <w:r w:rsidRPr="00CF336B">
        <w:rPr>
          <w:lang w:val="tr-TR"/>
        </w:rPr>
        <w:t>ektedir</w:t>
      </w:r>
      <w:r w:rsidR="002E6EF3" w:rsidRPr="00CF336B">
        <w:rPr>
          <w:rStyle w:val="Heading2Char"/>
          <w:rFonts w:asciiTheme="minorHAnsi" w:hAnsiTheme="minorHAnsi" w:cstheme="minorHAnsi"/>
          <w:b w:val="0"/>
          <w:bCs/>
          <w:sz w:val="22"/>
          <w:szCs w:val="22"/>
          <w:lang w:val="tr-TR"/>
        </w:rPr>
        <w:t>. Bu birim maliyet, teslimat yıllarında yapılan veya yapılması öngörülen toplam ödemenin o yıllarda ilgili ülkenin toplam elektrik talebine bölünmesi ile elde edilmiştir. 2023 ve 2024 talep verileri için 2022 verileri kullanılmıştır.</w:t>
      </w:r>
      <w:r w:rsidRPr="00CF336B">
        <w:rPr>
          <w:rStyle w:val="Heading2Char"/>
          <w:rFonts w:asciiTheme="minorHAnsi" w:hAnsiTheme="minorHAnsi" w:cstheme="minorHAnsi"/>
          <w:b w:val="0"/>
          <w:bCs/>
          <w:sz w:val="22"/>
          <w:szCs w:val="22"/>
          <w:lang w:val="tr-TR"/>
        </w:rPr>
        <w:t xml:space="preserve"> </w:t>
      </w:r>
      <w:r w:rsidR="002E6EF3" w:rsidRPr="00CF336B">
        <w:rPr>
          <w:rStyle w:val="Heading2Char"/>
          <w:rFonts w:asciiTheme="minorHAnsi" w:hAnsiTheme="minorHAnsi" w:cstheme="minorHAnsi"/>
          <w:b w:val="0"/>
          <w:bCs/>
          <w:sz w:val="22"/>
          <w:szCs w:val="22"/>
          <w:lang w:val="tr-TR"/>
        </w:rPr>
        <w:t xml:space="preserve">Bu değer kapasite mekanizmasının elektrik </w:t>
      </w:r>
      <w:r w:rsidRPr="00CF336B">
        <w:rPr>
          <w:rStyle w:val="Heading2Char"/>
          <w:rFonts w:asciiTheme="minorHAnsi" w:hAnsiTheme="minorHAnsi" w:cstheme="minorHAnsi"/>
          <w:b w:val="0"/>
          <w:bCs/>
          <w:sz w:val="22"/>
          <w:szCs w:val="22"/>
          <w:lang w:val="tr-TR"/>
        </w:rPr>
        <w:t>faturalarındaki</w:t>
      </w:r>
      <w:r w:rsidR="002E6EF3" w:rsidRPr="00CF336B">
        <w:rPr>
          <w:rStyle w:val="Heading2Char"/>
          <w:rFonts w:asciiTheme="minorHAnsi" w:hAnsiTheme="minorHAnsi" w:cstheme="minorHAnsi"/>
          <w:b w:val="0"/>
          <w:bCs/>
          <w:sz w:val="22"/>
          <w:szCs w:val="22"/>
          <w:lang w:val="tr-TR"/>
        </w:rPr>
        <w:t xml:space="preserve"> önemine dair </w:t>
      </w:r>
      <w:r w:rsidRPr="00CF336B">
        <w:rPr>
          <w:rStyle w:val="Heading2Char"/>
          <w:rFonts w:asciiTheme="minorHAnsi" w:hAnsiTheme="minorHAnsi" w:cstheme="minorHAnsi"/>
          <w:b w:val="0"/>
          <w:bCs/>
          <w:sz w:val="22"/>
          <w:szCs w:val="22"/>
          <w:lang w:val="tr-TR"/>
        </w:rPr>
        <w:t>bir gösterge</w:t>
      </w:r>
      <w:r w:rsidR="002E6EF3" w:rsidRPr="00CF336B">
        <w:rPr>
          <w:rStyle w:val="Heading2Char"/>
          <w:rFonts w:asciiTheme="minorHAnsi" w:hAnsiTheme="minorHAnsi" w:cstheme="minorHAnsi"/>
          <w:b w:val="0"/>
          <w:bCs/>
          <w:sz w:val="22"/>
          <w:szCs w:val="22"/>
          <w:lang w:val="tr-TR"/>
        </w:rPr>
        <w:t xml:space="preserve"> niteli</w:t>
      </w:r>
      <w:r w:rsidRPr="00CF336B">
        <w:rPr>
          <w:rStyle w:val="Heading2Char"/>
          <w:rFonts w:asciiTheme="minorHAnsi" w:hAnsiTheme="minorHAnsi" w:cstheme="minorHAnsi"/>
          <w:b w:val="0"/>
          <w:bCs/>
          <w:sz w:val="22"/>
          <w:szCs w:val="22"/>
          <w:lang w:val="tr-TR"/>
        </w:rPr>
        <w:t>ğindedir</w:t>
      </w:r>
      <w:r w:rsidR="002E6EF3" w:rsidRPr="00CF336B">
        <w:rPr>
          <w:rStyle w:val="Heading2Char"/>
          <w:rFonts w:asciiTheme="minorHAnsi" w:hAnsiTheme="minorHAnsi" w:cstheme="minorHAnsi"/>
          <w:b w:val="0"/>
          <w:bCs/>
          <w:sz w:val="22"/>
          <w:szCs w:val="22"/>
          <w:lang w:val="tr-TR"/>
        </w:rPr>
        <w:t xml:space="preserve">. </w:t>
      </w:r>
      <w:r w:rsidRPr="00CF336B">
        <w:rPr>
          <w:rStyle w:val="Heading2Char"/>
          <w:rFonts w:asciiTheme="minorHAnsi" w:hAnsiTheme="minorHAnsi" w:cstheme="minorHAnsi"/>
          <w:b w:val="0"/>
          <w:bCs/>
          <w:sz w:val="22"/>
          <w:szCs w:val="22"/>
          <w:lang w:val="tr-TR"/>
        </w:rPr>
        <w:t>Hesaplanan d</w:t>
      </w:r>
      <w:r w:rsidR="002E6EF3" w:rsidRPr="00CF336B">
        <w:rPr>
          <w:rStyle w:val="Heading2Char"/>
          <w:rFonts w:asciiTheme="minorHAnsi" w:hAnsiTheme="minorHAnsi" w:cstheme="minorHAnsi"/>
          <w:b w:val="0"/>
          <w:bCs/>
          <w:sz w:val="22"/>
          <w:szCs w:val="22"/>
          <w:lang w:val="tr-TR"/>
        </w:rPr>
        <w:t>eğer gerçek bir tarife değeri olmamak</w:t>
      </w:r>
      <w:r w:rsidRPr="00CF336B">
        <w:rPr>
          <w:rStyle w:val="Heading2Char"/>
          <w:rFonts w:asciiTheme="minorHAnsi" w:hAnsiTheme="minorHAnsi" w:cstheme="minorHAnsi"/>
          <w:b w:val="0"/>
          <w:bCs/>
          <w:sz w:val="22"/>
          <w:szCs w:val="22"/>
          <w:lang w:val="tr-TR"/>
        </w:rPr>
        <w:t>la</w:t>
      </w:r>
      <w:r w:rsidR="002E6EF3" w:rsidRPr="00CF336B">
        <w:rPr>
          <w:rStyle w:val="Heading2Char"/>
          <w:rFonts w:asciiTheme="minorHAnsi" w:hAnsiTheme="minorHAnsi" w:cstheme="minorHAnsi"/>
          <w:b w:val="0"/>
          <w:bCs/>
          <w:sz w:val="22"/>
          <w:szCs w:val="22"/>
          <w:lang w:val="tr-TR"/>
        </w:rPr>
        <w:t xml:space="preserve"> beraber elektrik maliyetinin elektrik kullanıcılarına, kullandıkları elektrik ile </w:t>
      </w:r>
      <w:r w:rsidRPr="00CF336B">
        <w:rPr>
          <w:rStyle w:val="Heading2Char"/>
          <w:rFonts w:asciiTheme="minorHAnsi" w:hAnsiTheme="minorHAnsi" w:cstheme="minorHAnsi"/>
          <w:b w:val="0"/>
          <w:bCs/>
          <w:sz w:val="22"/>
          <w:szCs w:val="22"/>
          <w:lang w:val="tr-TR"/>
        </w:rPr>
        <w:t>orantılı</w:t>
      </w:r>
      <w:r w:rsidR="002E6EF3" w:rsidRPr="00CF336B">
        <w:rPr>
          <w:rStyle w:val="Heading2Char"/>
          <w:rFonts w:asciiTheme="minorHAnsi" w:hAnsiTheme="minorHAnsi" w:cstheme="minorHAnsi"/>
          <w:b w:val="0"/>
          <w:bCs/>
          <w:sz w:val="22"/>
          <w:szCs w:val="22"/>
          <w:lang w:val="tr-TR"/>
        </w:rPr>
        <w:t xml:space="preserve"> bir şekilde dağıtıldığı kabulü ile hesaplanmıştır.</w:t>
      </w:r>
      <w:r w:rsidR="002E6EF3" w:rsidRPr="00CF336B" w:rsidDel="00CD4603">
        <w:rPr>
          <w:rStyle w:val="Heading2Char"/>
          <w:rFonts w:asciiTheme="minorHAnsi" w:hAnsiTheme="minorHAnsi" w:cstheme="minorHAnsi"/>
          <w:b w:val="0"/>
          <w:bCs/>
          <w:sz w:val="22"/>
          <w:szCs w:val="22"/>
          <w:lang w:val="tr-TR"/>
        </w:rPr>
        <w:t xml:space="preserve"> </w:t>
      </w:r>
      <w:r w:rsidR="00D859C9" w:rsidRPr="00CF336B">
        <w:rPr>
          <w:rStyle w:val="Heading2Char"/>
          <w:rFonts w:asciiTheme="minorHAnsi" w:hAnsiTheme="minorHAnsi" w:cstheme="minorHAnsi"/>
          <w:b w:val="0"/>
          <w:bCs/>
          <w:sz w:val="22"/>
          <w:szCs w:val="22"/>
          <w:lang w:val="tr-TR"/>
        </w:rPr>
        <w:fldChar w:fldCharType="begin"/>
      </w:r>
      <w:r w:rsidR="00D859C9" w:rsidRPr="00CF336B">
        <w:rPr>
          <w:rStyle w:val="Heading2Char"/>
          <w:rFonts w:asciiTheme="minorHAnsi" w:hAnsiTheme="minorHAnsi" w:cstheme="minorHAnsi"/>
          <w:b w:val="0"/>
          <w:bCs/>
          <w:sz w:val="22"/>
          <w:szCs w:val="22"/>
          <w:lang w:val="tr-TR"/>
        </w:rPr>
        <w:instrText xml:space="preserve"> REF _Ref149130228 \h </w:instrText>
      </w:r>
      <w:r w:rsidR="004D4361">
        <w:rPr>
          <w:rStyle w:val="Heading2Char"/>
          <w:rFonts w:asciiTheme="minorHAnsi" w:hAnsiTheme="minorHAnsi" w:cstheme="minorHAnsi"/>
          <w:b w:val="0"/>
          <w:bCs/>
          <w:sz w:val="22"/>
          <w:szCs w:val="22"/>
          <w:lang w:val="tr-TR"/>
        </w:rPr>
        <w:instrText xml:space="preserve"> \* MERGEFORMAT </w:instrText>
      </w:r>
      <w:r w:rsidR="00D859C9" w:rsidRPr="00CF336B">
        <w:rPr>
          <w:rStyle w:val="Heading2Char"/>
          <w:rFonts w:asciiTheme="minorHAnsi" w:hAnsiTheme="minorHAnsi" w:cstheme="minorHAnsi"/>
          <w:b w:val="0"/>
          <w:bCs/>
          <w:sz w:val="22"/>
          <w:szCs w:val="22"/>
          <w:lang w:val="tr-TR"/>
        </w:rPr>
      </w:r>
      <w:r w:rsidR="00D859C9" w:rsidRPr="00CF336B">
        <w:rPr>
          <w:rStyle w:val="Heading2Char"/>
          <w:rFonts w:asciiTheme="minorHAnsi" w:hAnsiTheme="minorHAnsi" w:cstheme="minorHAnsi"/>
          <w:b w:val="0"/>
          <w:bCs/>
          <w:sz w:val="22"/>
          <w:szCs w:val="22"/>
          <w:lang w:val="tr-TR"/>
        </w:rPr>
        <w:fldChar w:fldCharType="separate"/>
      </w:r>
      <w:r w:rsidR="00D859C9" w:rsidRPr="008A77BA">
        <w:rPr>
          <w:lang w:val="tr-TR"/>
        </w:rPr>
        <w:t>Şekil 11</w:t>
      </w:r>
      <w:r w:rsidR="00D859C9" w:rsidRPr="00CF336B">
        <w:rPr>
          <w:rStyle w:val="Heading2Char"/>
          <w:rFonts w:asciiTheme="minorHAnsi" w:hAnsiTheme="minorHAnsi" w:cstheme="minorHAnsi"/>
          <w:b w:val="0"/>
          <w:bCs/>
          <w:sz w:val="22"/>
          <w:szCs w:val="22"/>
          <w:lang w:val="tr-TR"/>
        </w:rPr>
        <w:fldChar w:fldCharType="end"/>
      </w:r>
      <w:r w:rsidR="00D859C9" w:rsidRPr="00CF336B">
        <w:rPr>
          <w:rStyle w:val="Heading2Char"/>
          <w:rFonts w:asciiTheme="minorHAnsi" w:hAnsiTheme="minorHAnsi" w:cstheme="minorHAnsi"/>
          <w:b w:val="0"/>
          <w:bCs/>
          <w:sz w:val="22"/>
          <w:szCs w:val="22"/>
          <w:lang w:val="tr-TR"/>
        </w:rPr>
        <w:t xml:space="preserve">’de </w:t>
      </w:r>
      <w:r w:rsidR="002E6EF3" w:rsidRPr="00CF336B">
        <w:rPr>
          <w:rStyle w:val="Heading2Char"/>
          <w:rFonts w:asciiTheme="minorHAnsi" w:hAnsiTheme="minorHAnsi" w:cstheme="minorHAnsi"/>
          <w:b w:val="0"/>
          <w:bCs/>
          <w:sz w:val="22"/>
          <w:szCs w:val="22"/>
          <w:lang w:val="tr-TR"/>
        </w:rPr>
        <w:t>gösterilen yüzdesel değerler, 2022 yılındaki talep başına düşen toplam kapasite mekanizması maliyetlerinin, 2022 yılında Gün Öncesi Piyasası’nda oluşan yıllık ortalama fiyata oranını ifade etmektedir. 2022 yılındaki yüksek piyasa fiyatlarından dolayı 2022 yılında bu oran, 2021 yılından daha düşük bir değere sahiptir</w:t>
      </w:r>
      <w:r w:rsidRPr="00CF336B">
        <w:rPr>
          <w:rStyle w:val="Heading2Char"/>
          <w:rFonts w:asciiTheme="minorHAnsi" w:hAnsiTheme="minorHAnsi" w:cstheme="minorHAnsi"/>
          <w:b w:val="0"/>
          <w:bCs/>
          <w:sz w:val="22"/>
          <w:szCs w:val="22"/>
          <w:lang w:val="tr-TR"/>
        </w:rPr>
        <w:t xml:space="preserve"> </w:t>
      </w:r>
      <w:sdt>
        <w:sdtPr>
          <w:rPr>
            <w:rStyle w:val="Heading2Char"/>
            <w:rFonts w:asciiTheme="minorHAnsi" w:hAnsiTheme="minorHAnsi" w:cstheme="minorHAnsi"/>
            <w:b w:val="0"/>
            <w:bCs/>
            <w:sz w:val="22"/>
            <w:szCs w:val="22"/>
            <w:lang w:val="tr-TR"/>
          </w:rPr>
          <w:id w:val="-325286795"/>
          <w:citation/>
        </w:sdtPr>
        <w:sdtEndPr>
          <w:rPr>
            <w:rStyle w:val="Heading2Char"/>
          </w:rPr>
        </w:sdtEndPr>
        <w:sdtContent>
          <w:r w:rsidRPr="00CF336B">
            <w:rPr>
              <w:rStyle w:val="Heading2Char"/>
              <w:rFonts w:asciiTheme="minorHAnsi" w:hAnsiTheme="minorHAnsi" w:cstheme="minorHAnsi"/>
              <w:b w:val="0"/>
              <w:bCs/>
              <w:sz w:val="22"/>
              <w:szCs w:val="22"/>
              <w:lang w:val="tr-TR"/>
            </w:rPr>
            <w:fldChar w:fldCharType="begin"/>
          </w:r>
          <w:r w:rsidRPr="00CF336B">
            <w:rPr>
              <w:rStyle w:val="Heading2Char"/>
              <w:rFonts w:asciiTheme="minorHAnsi" w:hAnsiTheme="minorHAnsi" w:cstheme="minorHAnsi"/>
              <w:b w:val="0"/>
              <w:bCs/>
              <w:sz w:val="22"/>
              <w:szCs w:val="22"/>
              <w:lang w:val="tr-TR"/>
            </w:rPr>
            <w:instrText xml:space="preserve"> CITATION ACE23 \l 1033 </w:instrText>
          </w:r>
          <w:r w:rsidRPr="00CF336B">
            <w:rPr>
              <w:rStyle w:val="Heading2Char"/>
              <w:rFonts w:asciiTheme="minorHAnsi" w:hAnsiTheme="minorHAnsi" w:cstheme="minorHAnsi"/>
              <w:b w:val="0"/>
              <w:bCs/>
              <w:sz w:val="22"/>
              <w:szCs w:val="22"/>
              <w:lang w:val="tr-TR"/>
            </w:rPr>
            <w:fldChar w:fldCharType="separate"/>
          </w:r>
          <w:r w:rsidR="00D95FF7" w:rsidRPr="00D95FF7">
            <w:rPr>
              <w:rFonts w:eastAsiaTheme="majorEastAsia" w:cstheme="minorHAnsi"/>
              <w:noProof/>
              <w:lang w:val="tr-TR"/>
            </w:rPr>
            <w:t>(ACER, 2023)</w:t>
          </w:r>
          <w:r w:rsidRPr="00CF336B">
            <w:rPr>
              <w:rStyle w:val="Heading2Char"/>
              <w:rFonts w:asciiTheme="minorHAnsi" w:hAnsiTheme="minorHAnsi" w:cstheme="minorHAnsi"/>
              <w:b w:val="0"/>
              <w:bCs/>
              <w:sz w:val="22"/>
              <w:szCs w:val="22"/>
              <w:lang w:val="tr-TR"/>
            </w:rPr>
            <w:fldChar w:fldCharType="end"/>
          </w:r>
        </w:sdtContent>
      </w:sdt>
      <w:r w:rsidRPr="00CF336B">
        <w:rPr>
          <w:rStyle w:val="Heading2Char"/>
          <w:rFonts w:asciiTheme="minorHAnsi" w:hAnsiTheme="minorHAnsi" w:cstheme="minorHAnsi"/>
          <w:b w:val="0"/>
          <w:bCs/>
          <w:sz w:val="22"/>
          <w:szCs w:val="22"/>
          <w:lang w:val="tr-TR"/>
        </w:rPr>
        <w:t>.</w:t>
      </w:r>
    </w:p>
    <w:p w14:paraId="469652A3" w14:textId="77777777" w:rsidR="008725A2" w:rsidRPr="008A77BA" w:rsidRDefault="000050CD" w:rsidP="004D4361">
      <w:pPr>
        <w:keepNext/>
        <w:spacing w:line="360" w:lineRule="auto"/>
        <w:rPr>
          <w:lang w:val="tr-TR"/>
        </w:rPr>
      </w:pPr>
      <w:r w:rsidRPr="00CF336B">
        <w:rPr>
          <w:rStyle w:val="Heading2Char"/>
          <w:rFonts w:asciiTheme="minorHAnsi" w:hAnsiTheme="minorHAnsi" w:cstheme="minorHAnsi"/>
          <w:b w:val="0"/>
          <w:bCs/>
          <w:noProof/>
          <w:sz w:val="22"/>
          <w:szCs w:val="22"/>
          <w:lang w:val="tr-TR"/>
        </w:rPr>
        <w:t xml:space="preserve"> </w:t>
      </w:r>
      <w:r w:rsidR="00811983" w:rsidRPr="00CF336B">
        <w:rPr>
          <w:noProof/>
          <w:sz w:val="28"/>
          <w:szCs w:val="28"/>
          <w:lang w:val="tr-TR"/>
        </w:rPr>
        <w:drawing>
          <wp:inline distT="0" distB="0" distL="0" distR="0" wp14:anchorId="580D60ED" wp14:editId="7A539BD1">
            <wp:extent cx="5486400" cy="3163330"/>
            <wp:effectExtent l="0" t="0" r="0" b="0"/>
            <wp:docPr id="219656620" name="Chart 219656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1500C5" w14:textId="6D03B56D" w:rsidR="002E6EF3" w:rsidRPr="00CF336B" w:rsidRDefault="008725A2" w:rsidP="004D4361">
      <w:pPr>
        <w:pStyle w:val="Caption"/>
        <w:spacing w:line="360" w:lineRule="auto"/>
        <w:jc w:val="center"/>
        <w:rPr>
          <w:color w:val="auto"/>
          <w:sz w:val="22"/>
          <w:szCs w:val="22"/>
          <w:lang w:val="tr-TR"/>
        </w:rPr>
      </w:pPr>
      <w:bookmarkStart w:id="43" w:name="_Ref149130228"/>
      <w:bookmarkStart w:id="44" w:name="_Toc156210465"/>
      <w:r w:rsidRPr="00BE1CEF">
        <w:rPr>
          <w:color w:val="auto"/>
          <w:sz w:val="22"/>
          <w:szCs w:val="22"/>
          <w:lang w:val="tr-TR"/>
        </w:rPr>
        <w:t xml:space="preserve">Şekil </w:t>
      </w:r>
      <w:r w:rsidRPr="00BE1CEF">
        <w:rPr>
          <w:color w:val="auto"/>
          <w:sz w:val="22"/>
          <w:szCs w:val="22"/>
          <w:lang w:val="tr-TR"/>
        </w:rPr>
        <w:fldChar w:fldCharType="begin"/>
      </w:r>
      <w:r w:rsidRPr="00BE1CEF">
        <w:rPr>
          <w:color w:val="auto"/>
          <w:sz w:val="22"/>
          <w:szCs w:val="22"/>
          <w:lang w:val="tr-TR"/>
        </w:rPr>
        <w:instrText xml:space="preserve"> SEQ Şekil \* ARABIC </w:instrText>
      </w:r>
      <w:r w:rsidRPr="00BE1CEF">
        <w:rPr>
          <w:color w:val="auto"/>
          <w:sz w:val="22"/>
          <w:szCs w:val="22"/>
          <w:lang w:val="tr-TR"/>
        </w:rPr>
        <w:fldChar w:fldCharType="separate"/>
      </w:r>
      <w:r w:rsidR="0052290F">
        <w:rPr>
          <w:noProof/>
          <w:color w:val="auto"/>
          <w:sz w:val="22"/>
          <w:szCs w:val="22"/>
          <w:lang w:val="tr-TR"/>
        </w:rPr>
        <w:t>11</w:t>
      </w:r>
      <w:r w:rsidRPr="00BE1CEF">
        <w:rPr>
          <w:color w:val="auto"/>
          <w:sz w:val="22"/>
          <w:szCs w:val="22"/>
          <w:lang w:val="tr-TR"/>
        </w:rPr>
        <w:fldChar w:fldCharType="end"/>
      </w:r>
      <w:bookmarkEnd w:id="43"/>
      <w:r w:rsidR="002B2A75" w:rsidRPr="00BE1CEF">
        <w:rPr>
          <w:color w:val="auto"/>
          <w:sz w:val="22"/>
          <w:szCs w:val="22"/>
          <w:lang w:val="tr-TR"/>
        </w:rPr>
        <w:t xml:space="preserve">. </w:t>
      </w:r>
      <w:r w:rsidR="002B2A75" w:rsidRPr="00CF336B">
        <w:rPr>
          <w:color w:val="auto"/>
          <w:sz w:val="22"/>
          <w:szCs w:val="22"/>
          <w:lang w:val="tr-TR"/>
        </w:rPr>
        <w:t>Talep Başına Düşen Birim Kapasite Maliyeti ve</w:t>
      </w:r>
      <w:r w:rsidR="00BE0F91" w:rsidRPr="00CF336B">
        <w:rPr>
          <w:color w:val="auto"/>
          <w:sz w:val="22"/>
          <w:szCs w:val="22"/>
          <w:lang w:val="tr-TR"/>
        </w:rPr>
        <w:t xml:space="preserve"> 2022 Yılında</w:t>
      </w:r>
      <w:r w:rsidR="002B2A75" w:rsidRPr="00CF336B">
        <w:rPr>
          <w:color w:val="auto"/>
          <w:sz w:val="22"/>
          <w:szCs w:val="22"/>
          <w:lang w:val="tr-TR"/>
        </w:rPr>
        <w:t xml:space="preserve"> Kapasite Ödemelerinin Gün Öncesi Piyasasında Oluşan Fiyata Oranı</w:t>
      </w:r>
      <w:bookmarkEnd w:id="44"/>
    </w:p>
    <w:p w14:paraId="5E880568" w14:textId="5B87753C" w:rsidR="002E6EF3" w:rsidRPr="00CF336B" w:rsidRDefault="002E6EF3" w:rsidP="004D4361">
      <w:pPr>
        <w:spacing w:line="360" w:lineRule="auto"/>
        <w:jc w:val="both"/>
        <w:rPr>
          <w:lang w:val="tr-TR"/>
        </w:rPr>
      </w:pPr>
      <w:r w:rsidRPr="00CF336B">
        <w:rPr>
          <w:lang w:val="tr-TR"/>
        </w:rPr>
        <w:t xml:space="preserve">Elektrik tüketicileri açısından bakıldığında ise, Finlandiya, Almanya ve İsveç’te uygulanan stratejik rezerv uygulaması diğer </w:t>
      </w:r>
      <w:r w:rsidR="008B04F0" w:rsidRPr="00CF336B">
        <w:rPr>
          <w:lang w:val="tr-TR"/>
        </w:rPr>
        <w:t>ülkelerde</w:t>
      </w:r>
      <w:r w:rsidRPr="00CF336B">
        <w:rPr>
          <w:lang w:val="tr-TR"/>
        </w:rPr>
        <w:t xml:space="preserve"> uygulanan piyasa çaplı kapasite mekanizmasına göre daha düşük bir maliyete sahiptir. </w:t>
      </w:r>
    </w:p>
    <w:p w14:paraId="4B64BD5F" w14:textId="688A87B6" w:rsidR="00697017" w:rsidRPr="00CF336B" w:rsidRDefault="00583D2C" w:rsidP="004D4361">
      <w:pPr>
        <w:spacing w:line="360" w:lineRule="auto"/>
        <w:jc w:val="both"/>
        <w:rPr>
          <w:lang w:val="tr-TR"/>
        </w:rPr>
      </w:pPr>
      <w:r w:rsidRPr="00CF336B">
        <w:rPr>
          <w:lang w:val="tr-TR"/>
        </w:rPr>
        <w:fldChar w:fldCharType="begin"/>
      </w:r>
      <w:r w:rsidRPr="00CF336B">
        <w:rPr>
          <w:lang w:val="tr-TR"/>
        </w:rPr>
        <w:instrText xml:space="preserve"> REF _Ref149079519 \h </w:instrText>
      </w:r>
      <w:r w:rsidR="004D4361">
        <w:rPr>
          <w:lang w:val="tr-TR"/>
        </w:rPr>
        <w:instrText xml:space="preserve"> \* MERGEFORMAT </w:instrText>
      </w:r>
      <w:r w:rsidRPr="00CF336B">
        <w:rPr>
          <w:lang w:val="tr-TR"/>
        </w:rPr>
      </w:r>
      <w:r w:rsidRPr="00CF336B">
        <w:rPr>
          <w:lang w:val="tr-TR"/>
        </w:rPr>
        <w:fldChar w:fldCharType="separate"/>
      </w:r>
      <w:r w:rsidR="000408C7" w:rsidRPr="008A77BA">
        <w:rPr>
          <w:lang w:val="tr-TR"/>
        </w:rPr>
        <w:t xml:space="preserve">Şekil </w:t>
      </w:r>
      <w:r w:rsidR="000408C7" w:rsidRPr="008A77BA">
        <w:rPr>
          <w:noProof/>
          <w:lang w:val="tr-TR"/>
        </w:rPr>
        <w:t>12</w:t>
      </w:r>
      <w:r w:rsidRPr="00CF336B">
        <w:rPr>
          <w:lang w:val="tr-TR"/>
        </w:rPr>
        <w:fldChar w:fldCharType="end"/>
      </w:r>
      <w:r w:rsidR="00697017" w:rsidRPr="00CF336B">
        <w:rPr>
          <w:lang w:val="tr-TR"/>
        </w:rPr>
        <w:fldChar w:fldCharType="begin"/>
      </w:r>
      <w:r w:rsidR="00697017" w:rsidRPr="00CF336B">
        <w:rPr>
          <w:lang w:val="tr-TR"/>
        </w:rPr>
        <w:instrText xml:space="preserve"> REF _Ref148955887 \h </w:instrText>
      </w:r>
      <w:r w:rsidR="00413DBB" w:rsidRPr="00CF336B">
        <w:rPr>
          <w:lang w:val="tr-TR"/>
        </w:rPr>
        <w:instrText xml:space="preserve"> \* MERGEFORMAT </w:instrText>
      </w:r>
      <w:r w:rsidR="00697017" w:rsidRPr="00CF336B">
        <w:rPr>
          <w:lang w:val="tr-TR"/>
        </w:rPr>
      </w:r>
      <w:r w:rsidR="00697017" w:rsidRPr="00CF336B">
        <w:rPr>
          <w:lang w:val="tr-TR"/>
        </w:rPr>
        <w:fldChar w:fldCharType="end"/>
      </w:r>
      <w:r w:rsidR="00697017" w:rsidRPr="00CF336B">
        <w:rPr>
          <w:lang w:val="tr-TR"/>
        </w:rPr>
        <w:t xml:space="preserve">, 2019'dan 2023'e kadar AB genelinde kapasite mekanizmaları yoluyla </w:t>
      </w:r>
      <w:r w:rsidR="00B67F20" w:rsidRPr="00CF336B">
        <w:rPr>
          <w:lang w:val="tr-TR"/>
        </w:rPr>
        <w:t xml:space="preserve">teşvik verilen </w:t>
      </w:r>
      <w:r w:rsidR="00697017" w:rsidRPr="00CF336B">
        <w:rPr>
          <w:lang w:val="tr-TR"/>
        </w:rPr>
        <w:t xml:space="preserve">teknolojilerin dağılımını göstermektedir. Toplamda, 2022'de yaklaşık 174 </w:t>
      </w:r>
      <w:proofErr w:type="spellStart"/>
      <w:r w:rsidR="00697017" w:rsidRPr="00CF336B">
        <w:rPr>
          <w:lang w:val="tr-TR"/>
        </w:rPr>
        <w:t>GW'lık</w:t>
      </w:r>
      <w:proofErr w:type="spellEnd"/>
      <w:r w:rsidR="00697017" w:rsidRPr="00CF336B">
        <w:rPr>
          <w:lang w:val="tr-TR"/>
        </w:rPr>
        <w:t xml:space="preserve"> kapasite</w:t>
      </w:r>
      <w:r w:rsidR="0000399F" w:rsidRPr="00CF336B">
        <w:rPr>
          <w:lang w:val="tr-TR"/>
        </w:rPr>
        <w:t>ye ödeme yapılmı</w:t>
      </w:r>
      <w:r w:rsidR="00697017" w:rsidRPr="00CF336B">
        <w:rPr>
          <w:lang w:val="tr-TR"/>
        </w:rPr>
        <w:t xml:space="preserve">ş olup, bunun büyük kısmı doğal gaz, nükleer ve kömür santrallerine </w:t>
      </w:r>
      <w:r w:rsidR="0000399F" w:rsidRPr="00CF336B">
        <w:rPr>
          <w:lang w:val="tr-TR"/>
        </w:rPr>
        <w:t>yapılmıştır</w:t>
      </w:r>
      <w:r w:rsidR="00697017" w:rsidRPr="00CF336B">
        <w:rPr>
          <w:lang w:val="tr-TR"/>
        </w:rPr>
        <w:t>. Doğal gaz kapasitesinin 2022 ve 2023'te 2021'e kıyasla artması, büyük ölçüde İtalya'da yeni kapasite mekanizmasının devreye girmesin</w:t>
      </w:r>
      <w:r w:rsidR="0000399F" w:rsidRPr="00CF336B">
        <w:rPr>
          <w:lang w:val="tr-TR"/>
        </w:rPr>
        <w:t>den kaynaklanmaktadır</w:t>
      </w:r>
      <w:r w:rsidR="00697017" w:rsidRPr="00CF336B">
        <w:rPr>
          <w:lang w:val="tr-TR"/>
        </w:rPr>
        <w:t>.</w:t>
      </w:r>
      <w:r w:rsidR="004F6885" w:rsidRPr="00CF336B">
        <w:rPr>
          <w:lang w:val="tr-TR"/>
        </w:rPr>
        <w:t xml:space="preserve"> </w:t>
      </w:r>
      <w:r w:rsidR="00697017" w:rsidRPr="00CF336B">
        <w:rPr>
          <w:lang w:val="tr-TR"/>
        </w:rPr>
        <w:fldChar w:fldCharType="begin"/>
      </w:r>
      <w:r w:rsidR="00697017" w:rsidRPr="00CF336B">
        <w:rPr>
          <w:lang w:val="tr-TR"/>
        </w:rPr>
        <w:instrText xml:space="preserve"> REF _Ref148955887 \h </w:instrText>
      </w:r>
      <w:r w:rsidR="00413DBB" w:rsidRPr="00CF336B">
        <w:rPr>
          <w:lang w:val="tr-TR"/>
        </w:rPr>
        <w:instrText xml:space="preserve"> \* MERGEFORMAT </w:instrText>
      </w:r>
      <w:r w:rsidR="00697017" w:rsidRPr="00CF336B">
        <w:rPr>
          <w:lang w:val="tr-TR"/>
        </w:rPr>
      </w:r>
      <w:r w:rsidR="00697017" w:rsidRPr="00CF336B">
        <w:rPr>
          <w:lang w:val="tr-TR"/>
        </w:rPr>
        <w:fldChar w:fldCharType="separate"/>
      </w:r>
      <w:r w:rsidR="00CD4603" w:rsidRPr="00CF336B">
        <w:rPr>
          <w:lang w:val="tr-TR"/>
        </w:rPr>
        <w:t xml:space="preserve">Şekil </w:t>
      </w:r>
      <w:r w:rsidR="00CD4603" w:rsidRPr="00CF336B">
        <w:rPr>
          <w:noProof/>
          <w:lang w:val="tr-TR"/>
        </w:rPr>
        <w:t>10</w:t>
      </w:r>
      <w:r w:rsidR="00697017" w:rsidRPr="00CF336B">
        <w:rPr>
          <w:lang w:val="tr-TR"/>
        </w:rPr>
        <w:fldChar w:fldCharType="end"/>
      </w:r>
      <w:r w:rsidR="004F6885" w:rsidRPr="00CF336B">
        <w:rPr>
          <w:lang w:val="tr-TR"/>
        </w:rPr>
        <w:t>’da</w:t>
      </w:r>
      <w:r w:rsidR="00697017" w:rsidRPr="00CF336B">
        <w:rPr>
          <w:lang w:val="tr-TR"/>
        </w:rPr>
        <w:t xml:space="preserve"> ayrıca 2022 yılında talep tarafı katılımı ve batarya depolamadan yaklaşık 5 GW kapasite tedarik edildiği gö</w:t>
      </w:r>
      <w:r w:rsidR="004F6885" w:rsidRPr="00CF336B">
        <w:rPr>
          <w:lang w:val="tr-TR"/>
        </w:rPr>
        <w:t>rülmektedir</w:t>
      </w:r>
      <w:r w:rsidR="00697017" w:rsidRPr="00CF336B">
        <w:rPr>
          <w:lang w:val="tr-TR"/>
        </w:rPr>
        <w:t xml:space="preserve">. Bu kapasite sağlayıcılardan tedarik edilen kapasitenin payı, </w:t>
      </w:r>
      <w:r w:rsidR="00F5366C" w:rsidRPr="00CF336B">
        <w:rPr>
          <w:lang w:val="tr-TR"/>
        </w:rPr>
        <w:t xml:space="preserve">konvansiyonel </w:t>
      </w:r>
      <w:r w:rsidR="00697017" w:rsidRPr="00CF336B">
        <w:rPr>
          <w:lang w:val="tr-TR"/>
        </w:rPr>
        <w:t xml:space="preserve">teknolojilere kıyasla düşüktür, ancak pay </w:t>
      </w:r>
      <w:r w:rsidR="00F5366C" w:rsidRPr="00CF336B">
        <w:rPr>
          <w:lang w:val="tr-TR"/>
        </w:rPr>
        <w:t>günden güne artış göstermektedir</w:t>
      </w:r>
      <w:r w:rsidR="00697017" w:rsidRPr="00CF336B">
        <w:rPr>
          <w:lang w:val="tr-TR"/>
        </w:rPr>
        <w:t xml:space="preserve">. Örneğin, İrlanda ve Polonya kapasite mekanizmalarında 2026 teslim yılı için tedarik edilen toplam kapasite içinde talep tarafı katılımı ve batarya depolama kapasitesinin payı </w:t>
      </w:r>
      <w:proofErr w:type="gramStart"/>
      <w:r w:rsidR="00697017" w:rsidRPr="00CF336B">
        <w:rPr>
          <w:lang w:val="tr-TR"/>
        </w:rPr>
        <w:t>%10</w:t>
      </w:r>
      <w:proofErr w:type="gramEnd"/>
      <w:r w:rsidR="00697017" w:rsidRPr="00CF336B">
        <w:rPr>
          <w:lang w:val="tr-TR"/>
        </w:rPr>
        <w:t>'a yakındır. Buna ek olarak, 2022 yılında yaklaşık 12 GW sınır ötesi kapasite tedarik edilmiştir</w:t>
      </w:r>
      <w:r w:rsidR="00DC2693" w:rsidRPr="00CF336B">
        <w:rPr>
          <w:lang w:val="tr-TR"/>
        </w:rPr>
        <w:t xml:space="preserve"> </w:t>
      </w:r>
      <w:sdt>
        <w:sdtPr>
          <w:rPr>
            <w:lang w:val="tr-TR"/>
          </w:rPr>
          <w:id w:val="750697029"/>
          <w:citation/>
        </w:sdtPr>
        <w:sdtEndPr/>
        <w:sdtContent>
          <w:r w:rsidR="00DC2693" w:rsidRPr="00CF336B">
            <w:rPr>
              <w:lang w:val="tr-TR"/>
            </w:rPr>
            <w:fldChar w:fldCharType="begin"/>
          </w:r>
          <w:r w:rsidR="00DC2693" w:rsidRPr="00CF336B">
            <w:rPr>
              <w:lang w:val="tr-TR"/>
            </w:rPr>
            <w:instrText xml:space="preserve"> CITATION ACE23 \l 1055 </w:instrText>
          </w:r>
          <w:r w:rsidR="00DC2693" w:rsidRPr="00CF336B">
            <w:rPr>
              <w:lang w:val="tr-TR"/>
            </w:rPr>
            <w:fldChar w:fldCharType="separate"/>
          </w:r>
          <w:r w:rsidR="00D95FF7">
            <w:rPr>
              <w:noProof/>
              <w:lang w:val="tr-TR"/>
            </w:rPr>
            <w:t>(ACER, 2023)</w:t>
          </w:r>
          <w:r w:rsidR="00DC2693" w:rsidRPr="00CF336B">
            <w:rPr>
              <w:lang w:val="tr-TR"/>
            </w:rPr>
            <w:fldChar w:fldCharType="end"/>
          </w:r>
        </w:sdtContent>
      </w:sdt>
      <w:r w:rsidR="00697017" w:rsidRPr="00CF336B">
        <w:rPr>
          <w:lang w:val="tr-TR"/>
        </w:rPr>
        <w:t>.</w:t>
      </w:r>
    </w:p>
    <w:p w14:paraId="330F39CC" w14:textId="7386DC24" w:rsidR="00697017" w:rsidRPr="008A77BA" w:rsidRDefault="00583D2C" w:rsidP="004D4361">
      <w:pPr>
        <w:keepNext/>
        <w:spacing w:line="360" w:lineRule="auto"/>
        <w:jc w:val="both"/>
        <w:rPr>
          <w:lang w:val="tr-TR"/>
        </w:rPr>
      </w:pPr>
      <w:r w:rsidRPr="008A77BA">
        <w:rPr>
          <w:noProof/>
          <w:lang w:val="tr-TR"/>
        </w:rPr>
        <w:drawing>
          <wp:inline distT="0" distB="0" distL="0" distR="0" wp14:anchorId="20717532" wp14:editId="2CA77DB0">
            <wp:extent cx="5943600" cy="3057957"/>
            <wp:effectExtent l="0" t="0" r="0" b="0"/>
            <wp:docPr id="14796165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8D419E" w14:textId="4F1F96E1" w:rsidR="00583D2C" w:rsidRPr="00CF336B" w:rsidRDefault="00697017" w:rsidP="004D4361">
      <w:pPr>
        <w:pStyle w:val="Caption"/>
        <w:spacing w:line="360" w:lineRule="auto"/>
        <w:jc w:val="center"/>
        <w:rPr>
          <w:lang w:val="tr-TR"/>
        </w:rPr>
      </w:pPr>
      <w:bookmarkStart w:id="45" w:name="_Ref148955887"/>
      <w:bookmarkStart w:id="46" w:name="_Ref149079519"/>
      <w:bookmarkStart w:id="47" w:name="_Toc156210466"/>
      <w:r w:rsidRPr="008A77BA">
        <w:rPr>
          <w:color w:val="auto"/>
          <w:sz w:val="22"/>
          <w:szCs w:val="22"/>
          <w:lang w:val="tr-TR"/>
        </w:rPr>
        <w:t xml:space="preserve">Şekil </w:t>
      </w:r>
      <w:r w:rsidRPr="008A77BA">
        <w:rPr>
          <w:color w:val="auto"/>
          <w:sz w:val="22"/>
          <w:szCs w:val="22"/>
          <w:lang w:val="tr-TR"/>
        </w:rPr>
        <w:fldChar w:fldCharType="begin"/>
      </w:r>
      <w:r w:rsidRPr="00CF336B">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12</w:t>
      </w:r>
      <w:r w:rsidRPr="008A77BA">
        <w:rPr>
          <w:color w:val="auto"/>
          <w:sz w:val="22"/>
          <w:szCs w:val="22"/>
          <w:lang w:val="tr-TR"/>
        </w:rPr>
        <w:fldChar w:fldCharType="end"/>
      </w:r>
      <w:bookmarkEnd w:id="45"/>
      <w:bookmarkEnd w:id="46"/>
      <w:r w:rsidRPr="008A77BA">
        <w:rPr>
          <w:color w:val="auto"/>
          <w:sz w:val="22"/>
          <w:szCs w:val="22"/>
          <w:lang w:val="tr-TR"/>
        </w:rPr>
        <w:t xml:space="preserve">. Teknoloji </w:t>
      </w:r>
      <w:r w:rsidR="005412D5" w:rsidRPr="008A77BA">
        <w:rPr>
          <w:color w:val="auto"/>
          <w:sz w:val="22"/>
          <w:szCs w:val="22"/>
          <w:lang w:val="tr-TR"/>
        </w:rPr>
        <w:t xml:space="preserve">Türüne Göre </w:t>
      </w:r>
      <w:r w:rsidRPr="008A77BA">
        <w:rPr>
          <w:color w:val="auto"/>
          <w:sz w:val="22"/>
          <w:szCs w:val="22"/>
          <w:lang w:val="tr-TR"/>
        </w:rPr>
        <w:t xml:space="preserve">AB </w:t>
      </w:r>
      <w:r w:rsidR="005412D5" w:rsidRPr="008A77BA">
        <w:rPr>
          <w:color w:val="auto"/>
          <w:sz w:val="22"/>
          <w:szCs w:val="22"/>
          <w:lang w:val="tr-TR"/>
        </w:rPr>
        <w:t>Kapasite Mekanizmalarında Teşvik Verilen Toplam Kapasite</w:t>
      </w:r>
      <w:bookmarkEnd w:id="47"/>
    </w:p>
    <w:p w14:paraId="0C834391" w14:textId="2585512C" w:rsidR="00697017" w:rsidRPr="00CF336B" w:rsidRDefault="008E561D" w:rsidP="004D4361">
      <w:pPr>
        <w:spacing w:line="360" w:lineRule="auto"/>
        <w:jc w:val="both"/>
        <w:rPr>
          <w:lang w:val="tr-TR"/>
        </w:rPr>
      </w:pPr>
      <w:r w:rsidRPr="00CF336B">
        <w:rPr>
          <w:lang w:val="tr-TR"/>
        </w:rPr>
        <w:fldChar w:fldCharType="begin"/>
      </w:r>
      <w:r w:rsidRPr="00CF336B">
        <w:rPr>
          <w:lang w:val="tr-TR"/>
        </w:rPr>
        <w:instrText xml:space="preserve"> REF _Ref149079584 \h </w:instrText>
      </w:r>
      <w:r w:rsidR="004D4361">
        <w:rPr>
          <w:lang w:val="tr-TR"/>
        </w:rPr>
        <w:instrText xml:space="preserve"> \* MERGEFORMAT </w:instrText>
      </w:r>
      <w:r w:rsidRPr="00CF336B">
        <w:rPr>
          <w:lang w:val="tr-TR"/>
        </w:rPr>
      </w:r>
      <w:r w:rsidRPr="00CF336B">
        <w:rPr>
          <w:lang w:val="tr-TR"/>
        </w:rPr>
        <w:fldChar w:fldCharType="separate"/>
      </w:r>
      <w:r w:rsidR="000408C7" w:rsidRPr="008A77BA">
        <w:rPr>
          <w:lang w:val="tr-TR"/>
        </w:rPr>
        <w:t xml:space="preserve">Şekil </w:t>
      </w:r>
      <w:r w:rsidR="000408C7" w:rsidRPr="008A77BA">
        <w:rPr>
          <w:noProof/>
          <w:lang w:val="tr-TR"/>
        </w:rPr>
        <w:t>13</w:t>
      </w:r>
      <w:r w:rsidRPr="00CF336B">
        <w:rPr>
          <w:lang w:val="tr-TR"/>
        </w:rPr>
        <w:fldChar w:fldCharType="end"/>
      </w:r>
      <w:r w:rsidR="00697017" w:rsidRPr="00CF336B">
        <w:rPr>
          <w:lang w:val="tr-TR"/>
        </w:rPr>
        <w:t xml:space="preserve">, 2027 ve 2035 yılları arasında uzun vadeli sözleşmeler kapsamında </w:t>
      </w:r>
      <w:r w:rsidR="00F87A51" w:rsidRPr="00CF336B">
        <w:rPr>
          <w:lang w:val="tr-TR"/>
        </w:rPr>
        <w:t>teşvik verilen</w:t>
      </w:r>
      <w:r w:rsidR="00697017" w:rsidRPr="00CF336B">
        <w:rPr>
          <w:lang w:val="tr-TR"/>
        </w:rPr>
        <w:t xml:space="preserve"> kapasitenin ilgili maliyetlerle birlikte dağılımını göstermektedir. Uzun vadeli sözleşmeler Avrupa'da piyasa çapında kapasite mekanizmalarının ortak bir özelliği olarak </w:t>
      </w:r>
      <w:proofErr w:type="spellStart"/>
      <w:r w:rsidR="00697017" w:rsidRPr="00CF336B">
        <w:rPr>
          <w:lang w:val="tr-TR"/>
        </w:rPr>
        <w:t>gösterilebilir</w:t>
      </w:r>
      <w:r w:rsidR="00BE1CEF">
        <w:rPr>
          <w:lang w:val="tr-TR"/>
        </w:rPr>
        <w:t>mektedir</w:t>
      </w:r>
      <w:proofErr w:type="spellEnd"/>
      <w:r w:rsidR="00697017" w:rsidRPr="00CF336B">
        <w:rPr>
          <w:lang w:val="tr-TR"/>
        </w:rPr>
        <w:t xml:space="preserve">. Bununla beraber, uzun vadeli sözleşmeler yeni kapasitenin devreye alınmasını kolaylaştırabilmekte ve yatırım risklerini </w:t>
      </w:r>
      <w:r w:rsidR="004D2BA2" w:rsidRPr="00CF336B">
        <w:rPr>
          <w:lang w:val="tr-TR"/>
        </w:rPr>
        <w:t xml:space="preserve">ve finansman maliyetlerini </w:t>
      </w:r>
      <w:r w:rsidR="00697017" w:rsidRPr="00CF336B">
        <w:rPr>
          <w:lang w:val="tr-TR"/>
        </w:rPr>
        <w:t xml:space="preserve">azaltarak rekabeti kolaylaştırabilmektedir. Öte yandan </w:t>
      </w:r>
      <w:r w:rsidR="005412D5" w:rsidRPr="00CF336B">
        <w:rPr>
          <w:lang w:val="tr-TR"/>
        </w:rPr>
        <w:t xml:space="preserve">gereğinden daha </w:t>
      </w:r>
      <w:r w:rsidR="00697017" w:rsidRPr="00CF336B">
        <w:rPr>
          <w:lang w:val="tr-TR"/>
        </w:rPr>
        <w:t xml:space="preserve">uzun vadeli </w:t>
      </w:r>
      <w:r w:rsidR="005412D5" w:rsidRPr="00CF336B">
        <w:rPr>
          <w:lang w:val="tr-TR"/>
        </w:rPr>
        <w:t xml:space="preserve">yapılan </w:t>
      </w:r>
      <w:r w:rsidR="00697017" w:rsidRPr="00CF336B">
        <w:rPr>
          <w:lang w:val="tr-TR"/>
        </w:rPr>
        <w:t>sözleşmeler, uzun vadeli desteğin konvansiyonel kaynaklara yönlendirilmesi halinde yeni kapasite sağlayıcı türlerinin girişine engel teşkil edebilmektedir. Ayrıca, uzun vadeli sözleşmeler, yeterlilikle ilgili herhangi bir sorunun öngörülmediği dönemlerde bile destek kapasite kaynaklarına verimsiz bir şekilde tahsis edilebileceğinden, tüketiciler için ek maliyetler anlamına gelebilmektedir. Daha da önemlisi, uzun vadeli sözleşmeler AB emisyon ve iklim-nötrlük hedeflerini de tehlikeye atabilmektedir, bu tür sözleşmeler yoluyla üye devletler fosil yakıtlı enerji santrallerini 2030'un çok ötesinde desteklemeye devam etmiş olacaklardır.</w:t>
      </w:r>
    </w:p>
    <w:p w14:paraId="4B6C5AF8" w14:textId="032C2859" w:rsidR="00697017" w:rsidRPr="00CF336B" w:rsidRDefault="00697017" w:rsidP="004D4361">
      <w:pPr>
        <w:spacing w:line="360" w:lineRule="auto"/>
        <w:jc w:val="both"/>
        <w:rPr>
          <w:lang w:val="tr-TR"/>
        </w:rPr>
      </w:pPr>
      <w:r w:rsidRPr="00CF336B">
        <w:rPr>
          <w:lang w:val="tr-TR"/>
        </w:rPr>
        <w:t xml:space="preserve">Özellikle, uzun vadeli sözleşmelere sahip kapasite hacmi son rapor döneminden bu yana önemli ölçüde artmıştır. İrlanda, İtalya ve Polonya kapasite mekanizmalarında yaklaşık 13 </w:t>
      </w:r>
      <w:proofErr w:type="spellStart"/>
      <w:r w:rsidRPr="00CF336B">
        <w:rPr>
          <w:lang w:val="tr-TR"/>
        </w:rPr>
        <w:t>GW'lık</w:t>
      </w:r>
      <w:proofErr w:type="spellEnd"/>
      <w:r w:rsidRPr="00CF336B">
        <w:rPr>
          <w:lang w:val="tr-TR"/>
        </w:rPr>
        <w:t xml:space="preserve"> yeni kapasite bu tür sözleşmeler imzalamıştır.</w:t>
      </w:r>
    </w:p>
    <w:p w14:paraId="2D3E69EA" w14:textId="77777777" w:rsidR="00583D2C" w:rsidRPr="008A77BA" w:rsidRDefault="00583D2C" w:rsidP="004D4361">
      <w:pPr>
        <w:keepNext/>
        <w:spacing w:line="360" w:lineRule="auto"/>
        <w:jc w:val="center"/>
        <w:rPr>
          <w:lang w:val="tr-TR"/>
        </w:rPr>
      </w:pPr>
      <w:r w:rsidRPr="008A77BA">
        <w:rPr>
          <w:noProof/>
          <w:lang w:val="tr-TR"/>
        </w:rPr>
        <w:drawing>
          <wp:inline distT="0" distB="0" distL="0" distR="0" wp14:anchorId="12679F12" wp14:editId="308D8E8C">
            <wp:extent cx="5486400" cy="3200400"/>
            <wp:effectExtent l="0" t="0" r="0" b="0"/>
            <wp:docPr id="11222545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9BF4D3" w14:textId="750E5D52" w:rsidR="00583D2C" w:rsidRPr="00CF336B" w:rsidRDefault="00697017" w:rsidP="004D4361">
      <w:pPr>
        <w:pStyle w:val="Caption"/>
        <w:spacing w:line="360" w:lineRule="auto"/>
        <w:jc w:val="center"/>
        <w:rPr>
          <w:lang w:val="tr-TR"/>
        </w:rPr>
      </w:pPr>
      <w:bookmarkStart w:id="48" w:name="_Ref148959169"/>
      <w:bookmarkStart w:id="49" w:name="_Ref149079584"/>
      <w:bookmarkStart w:id="50" w:name="_Toc156210467"/>
      <w:r w:rsidRPr="008A77BA">
        <w:rPr>
          <w:color w:val="auto"/>
          <w:sz w:val="22"/>
          <w:szCs w:val="22"/>
          <w:lang w:val="tr-TR"/>
        </w:rPr>
        <w:t xml:space="preserve">Şekil </w:t>
      </w:r>
      <w:r w:rsidRPr="008A77BA">
        <w:rPr>
          <w:color w:val="auto"/>
          <w:sz w:val="22"/>
          <w:szCs w:val="22"/>
          <w:lang w:val="tr-TR"/>
        </w:rPr>
        <w:fldChar w:fldCharType="begin"/>
      </w:r>
      <w:r w:rsidRPr="00CF336B">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13</w:t>
      </w:r>
      <w:r w:rsidRPr="008A77BA">
        <w:rPr>
          <w:color w:val="auto"/>
          <w:sz w:val="22"/>
          <w:szCs w:val="22"/>
          <w:lang w:val="tr-TR"/>
        </w:rPr>
        <w:fldChar w:fldCharType="end"/>
      </w:r>
      <w:bookmarkEnd w:id="48"/>
      <w:bookmarkEnd w:id="49"/>
      <w:r w:rsidR="00583D2C" w:rsidRPr="008A77BA">
        <w:rPr>
          <w:color w:val="auto"/>
          <w:sz w:val="22"/>
          <w:szCs w:val="22"/>
          <w:lang w:val="tr-TR"/>
        </w:rPr>
        <w:t>. AB-27'de Teknoloji Türüne Göre Uzun Vadeli Sözleşmeye Bağlanmış Kapasite ve İlgili Maliyetler</w:t>
      </w:r>
      <w:bookmarkEnd w:id="50"/>
    </w:p>
    <w:p w14:paraId="390AF438" w14:textId="77777777" w:rsidR="00E007D0" w:rsidRPr="00BE1CEF" w:rsidRDefault="00E007D0" w:rsidP="004D4361">
      <w:pPr>
        <w:pStyle w:val="ListParagraph"/>
        <w:numPr>
          <w:ilvl w:val="1"/>
          <w:numId w:val="12"/>
        </w:numPr>
        <w:spacing w:line="360" w:lineRule="auto"/>
        <w:rPr>
          <w:rStyle w:val="Heading2Char"/>
          <w:color w:val="000000" w:themeColor="text1"/>
          <w:sz w:val="22"/>
          <w:szCs w:val="22"/>
          <w:lang w:val="tr-TR"/>
        </w:rPr>
      </w:pPr>
      <w:bookmarkStart w:id="51" w:name="_Toc156210443"/>
      <w:r w:rsidRPr="00BE1CEF">
        <w:rPr>
          <w:rStyle w:val="Heading2Char"/>
          <w:color w:val="000000" w:themeColor="text1"/>
          <w:sz w:val="22"/>
          <w:szCs w:val="22"/>
          <w:lang w:val="tr-TR"/>
        </w:rPr>
        <w:t>Almanya</w:t>
      </w:r>
      <w:bookmarkEnd w:id="51"/>
    </w:p>
    <w:p w14:paraId="09F05E6C" w14:textId="4A49C058" w:rsidR="00312DE2" w:rsidRPr="00CF336B" w:rsidRDefault="00312DE2" w:rsidP="004D4361">
      <w:pPr>
        <w:spacing w:line="360" w:lineRule="auto"/>
        <w:jc w:val="both"/>
        <w:rPr>
          <w:lang w:val="tr-TR"/>
        </w:rPr>
      </w:pPr>
      <w:r w:rsidRPr="00CF336B">
        <w:rPr>
          <w:lang w:val="tr-TR"/>
        </w:rPr>
        <w:t xml:space="preserve">Almanya, ilk olarak 26 Temmuz 2016’da Alman Enerji Yasası’nda yaptığı bir değişiklik ile kapasite mekanizmasını gündemine almıştır. 23 Ocak 2017 tarihinde ise kapasite mekanizması uygulaması kapsamında stratejik bir rezerv oluşturmak adına tasarladığı destek şemasını Avrupa Komisyonu'na bildirmiştir. Bu uygulamaya ait komisyon değerlendirmeleri 2018/860 sayılı, 15/06/2018 tarihli Avrupa Birliği Resmî Gazetesi’nde yayımlanmıştır </w:t>
      </w:r>
      <w:sdt>
        <w:sdtPr>
          <w:rPr>
            <w:lang w:val="tr-TR"/>
          </w:rPr>
          <w:id w:val="1213769892"/>
          <w:citation/>
        </w:sdtPr>
        <w:sdtEndPr/>
        <w:sdtContent>
          <w:r w:rsidR="00A224A9">
            <w:rPr>
              <w:lang w:val="tr-TR"/>
            </w:rPr>
            <w:fldChar w:fldCharType="begin"/>
          </w:r>
          <w:r w:rsidR="00A224A9">
            <w:instrText xml:space="preserve"> CITATION Eur18 \l 1033 </w:instrText>
          </w:r>
          <w:r w:rsidR="00A224A9">
            <w:rPr>
              <w:lang w:val="tr-TR"/>
            </w:rPr>
            <w:fldChar w:fldCharType="separate"/>
          </w:r>
          <w:r w:rsidR="00D95FF7">
            <w:rPr>
              <w:noProof/>
            </w:rPr>
            <w:t>(European Commission, 2018)</w:t>
          </w:r>
          <w:r w:rsidR="00A224A9">
            <w:rPr>
              <w:lang w:val="tr-TR"/>
            </w:rPr>
            <w:fldChar w:fldCharType="end"/>
          </w:r>
        </w:sdtContent>
      </w:sdt>
      <w:r w:rsidR="00A224A9">
        <w:rPr>
          <w:lang w:val="tr-TR"/>
        </w:rPr>
        <w:t xml:space="preserve">. </w:t>
      </w:r>
      <w:r w:rsidRPr="00CF336B">
        <w:rPr>
          <w:lang w:val="tr-TR"/>
        </w:rPr>
        <w:t>Kapasite rezervine dair hukuksal dayanak Alman Enerji Yasası’nda</w:t>
      </w:r>
      <w:r w:rsidR="00CB4325">
        <w:rPr>
          <w:lang w:val="tr-TR"/>
        </w:rPr>
        <w:t xml:space="preserve"> </w:t>
      </w:r>
      <w:sdt>
        <w:sdtPr>
          <w:rPr>
            <w:lang w:val="tr-TR"/>
          </w:rPr>
          <w:id w:val="1034924541"/>
          <w:citation/>
        </w:sdtPr>
        <w:sdtEndPr/>
        <w:sdtContent>
          <w:r w:rsidR="00CB4325">
            <w:rPr>
              <w:lang w:val="tr-TR"/>
            </w:rPr>
            <w:fldChar w:fldCharType="begin"/>
          </w:r>
          <w:r w:rsidR="00CB4325">
            <w:instrText xml:space="preserve"> CITATION Ges05 \l 1033 </w:instrText>
          </w:r>
          <w:r w:rsidR="00CB4325">
            <w:rPr>
              <w:lang w:val="tr-TR"/>
            </w:rPr>
            <w:fldChar w:fldCharType="separate"/>
          </w:r>
          <w:r w:rsidR="00D95FF7">
            <w:rPr>
              <w:noProof/>
            </w:rPr>
            <w:t>(Gesetze im Internet, 2005)</w:t>
          </w:r>
          <w:r w:rsidR="00CB4325">
            <w:rPr>
              <w:lang w:val="tr-TR"/>
            </w:rPr>
            <w:fldChar w:fldCharType="end"/>
          </w:r>
        </w:sdtContent>
      </w:sdt>
      <w:r w:rsidRPr="00CF336B">
        <w:rPr>
          <w:lang w:val="tr-TR"/>
        </w:rPr>
        <w:t>, uygulama kapsamındaki ihale yöntemleri, prosedürler ve teşvik mekanizması ise ilgili yönetmelik olan “</w:t>
      </w:r>
      <w:proofErr w:type="spellStart"/>
      <w:r w:rsidRPr="00CF336B">
        <w:rPr>
          <w:lang w:val="tr-TR"/>
        </w:rPr>
        <w:t>Capacity</w:t>
      </w:r>
      <w:proofErr w:type="spellEnd"/>
      <w:r w:rsidRPr="00CF336B">
        <w:rPr>
          <w:lang w:val="tr-TR"/>
        </w:rPr>
        <w:t xml:space="preserve"> </w:t>
      </w:r>
      <w:proofErr w:type="spellStart"/>
      <w:r w:rsidRPr="00CF336B">
        <w:rPr>
          <w:lang w:val="tr-TR"/>
        </w:rPr>
        <w:t>Reserve</w:t>
      </w:r>
      <w:proofErr w:type="spellEnd"/>
      <w:r w:rsidRPr="00CF336B">
        <w:rPr>
          <w:lang w:val="tr-TR"/>
        </w:rPr>
        <w:t xml:space="preserve"> </w:t>
      </w:r>
      <w:proofErr w:type="spellStart"/>
      <w:r w:rsidRPr="00CF336B">
        <w:rPr>
          <w:lang w:val="tr-TR"/>
        </w:rPr>
        <w:t>Ordinance</w:t>
      </w:r>
      <w:proofErr w:type="spellEnd"/>
      <w:r w:rsidRPr="00CF336B">
        <w:rPr>
          <w:lang w:val="tr-TR"/>
        </w:rPr>
        <w:t>” altında bulunmaktadır</w:t>
      </w:r>
      <w:r w:rsidR="00DD238F">
        <w:rPr>
          <w:lang w:val="tr-TR"/>
        </w:rPr>
        <w:t xml:space="preserve"> </w:t>
      </w:r>
      <w:sdt>
        <w:sdtPr>
          <w:rPr>
            <w:lang w:val="tr-TR"/>
          </w:rPr>
          <w:id w:val="-898590966"/>
          <w:citation/>
        </w:sdtPr>
        <w:sdtEndPr/>
        <w:sdtContent>
          <w:r w:rsidR="00DD238F">
            <w:rPr>
              <w:lang w:val="tr-TR"/>
            </w:rPr>
            <w:fldChar w:fldCharType="begin"/>
          </w:r>
          <w:r w:rsidR="00DD238F">
            <w:instrText xml:space="preserve"> CITATION Ges19 \l 1033 </w:instrText>
          </w:r>
          <w:r w:rsidR="00DD238F">
            <w:rPr>
              <w:lang w:val="tr-TR"/>
            </w:rPr>
            <w:fldChar w:fldCharType="separate"/>
          </w:r>
          <w:r w:rsidR="00D95FF7">
            <w:rPr>
              <w:noProof/>
            </w:rPr>
            <w:t>(Gesetze im Internet, 2019)</w:t>
          </w:r>
          <w:r w:rsidR="00DD238F">
            <w:rPr>
              <w:lang w:val="tr-TR"/>
            </w:rPr>
            <w:fldChar w:fldCharType="end"/>
          </w:r>
        </w:sdtContent>
      </w:sdt>
      <w:r w:rsidR="00222C21">
        <w:rPr>
          <w:lang w:val="tr-TR"/>
        </w:rPr>
        <w:t>.</w:t>
      </w:r>
      <w:r w:rsidRPr="00CF336B">
        <w:rPr>
          <w:lang w:val="tr-TR"/>
        </w:rPr>
        <w:t xml:space="preserve"> </w:t>
      </w:r>
    </w:p>
    <w:p w14:paraId="65631D2A" w14:textId="7F4E0B07" w:rsidR="00312DE2" w:rsidRPr="00CF336B" w:rsidRDefault="00312DE2" w:rsidP="004D4361">
      <w:pPr>
        <w:spacing w:line="360" w:lineRule="auto"/>
        <w:jc w:val="both"/>
        <w:rPr>
          <w:lang w:val="tr-TR"/>
        </w:rPr>
      </w:pPr>
      <w:r w:rsidRPr="00CF336B">
        <w:rPr>
          <w:lang w:val="tr-TR"/>
        </w:rPr>
        <w:t xml:space="preserve">Alman Hükümeti 2016 yılında, 2020 emisyon hedeflerine ulaşmak amacıyla fosil yakıt kullanan santrallere yaptırım uygulamayı değerlendirirken, kömür sektöründen gelen tepkiler ve enerji arz güvenliği ihtiyacı nedeniyle bu yaptırımdan vazgeçerek yüksek emisyona neden olan eski linyit santrallerini rezerv kapasite olarak değerlendirme kararı almıştır. 2016 yılından itibaren </w:t>
      </w:r>
      <w:r w:rsidR="005A23BE" w:rsidRPr="00CF336B">
        <w:rPr>
          <w:lang w:val="tr-TR"/>
        </w:rPr>
        <w:fldChar w:fldCharType="begin"/>
      </w:r>
      <w:r w:rsidR="005A23BE" w:rsidRPr="00CF336B">
        <w:rPr>
          <w:lang w:val="tr-TR"/>
        </w:rPr>
        <w:instrText xml:space="preserve"> REF _Ref147845651 \h </w:instrText>
      </w:r>
      <w:r w:rsidR="00413DBB" w:rsidRPr="00CF336B">
        <w:rPr>
          <w:lang w:val="tr-TR"/>
        </w:rPr>
        <w:instrText xml:space="preserve"> \* MERGEFORMAT </w:instrText>
      </w:r>
      <w:r w:rsidR="005A23BE" w:rsidRPr="00CF336B">
        <w:rPr>
          <w:lang w:val="tr-TR"/>
        </w:rPr>
      </w:r>
      <w:r w:rsidR="005A23BE" w:rsidRPr="00CF336B">
        <w:rPr>
          <w:lang w:val="tr-TR"/>
        </w:rPr>
        <w:fldChar w:fldCharType="separate"/>
      </w:r>
      <w:r w:rsidR="005A23BE" w:rsidRPr="00CF336B">
        <w:rPr>
          <w:lang w:val="tr-TR"/>
        </w:rPr>
        <w:t xml:space="preserve">Tablo </w:t>
      </w:r>
      <w:r w:rsidR="005A23BE" w:rsidRPr="00CF336B">
        <w:rPr>
          <w:noProof/>
          <w:lang w:val="tr-TR"/>
        </w:rPr>
        <w:t>4</w:t>
      </w:r>
      <w:r w:rsidR="005A23BE" w:rsidRPr="00CF336B">
        <w:rPr>
          <w:lang w:val="tr-TR"/>
        </w:rPr>
        <w:fldChar w:fldCharType="end"/>
      </w:r>
      <w:r w:rsidRPr="00CF336B">
        <w:rPr>
          <w:lang w:val="tr-TR"/>
        </w:rPr>
        <w:fldChar w:fldCharType="begin"/>
      </w:r>
      <w:r w:rsidRPr="00CF336B">
        <w:rPr>
          <w:lang w:val="tr-TR"/>
        </w:rPr>
        <w:instrText xml:space="preserve"> REF _Ref147676840 \h  \* MERGEFORMAT </w:instrText>
      </w:r>
      <w:r w:rsidRPr="00CF336B">
        <w:rPr>
          <w:lang w:val="tr-TR"/>
        </w:rPr>
      </w:r>
      <w:r w:rsidRPr="00CF336B">
        <w:rPr>
          <w:lang w:val="tr-TR"/>
        </w:rPr>
        <w:fldChar w:fldCharType="end"/>
      </w:r>
      <w:r w:rsidRPr="00CF336B">
        <w:rPr>
          <w:lang w:val="tr-TR"/>
        </w:rPr>
        <w:t xml:space="preserve">’te belirtilen santraller kademeli olarak rezerv kapasiteye geçmiş ve dört yıllık periyotlar süresince arz güvenliği için hazırda bekler </w:t>
      </w:r>
      <w:r w:rsidR="005A7284">
        <w:rPr>
          <w:lang w:val="tr-TR"/>
        </w:rPr>
        <w:t>durum</w:t>
      </w:r>
      <w:r w:rsidRPr="00CF336B">
        <w:rPr>
          <w:lang w:val="tr-TR"/>
        </w:rPr>
        <w:t>da bulunmuşlardır.</w:t>
      </w:r>
    </w:p>
    <w:p w14:paraId="2662BC7C" w14:textId="078BF817" w:rsidR="00312DE2" w:rsidRPr="00CF336B" w:rsidRDefault="00312DE2" w:rsidP="004D4361">
      <w:pPr>
        <w:pStyle w:val="Caption"/>
        <w:keepNext/>
        <w:spacing w:line="360" w:lineRule="auto"/>
        <w:jc w:val="center"/>
        <w:rPr>
          <w:color w:val="auto"/>
          <w:sz w:val="22"/>
          <w:szCs w:val="22"/>
          <w:lang w:val="tr-TR"/>
        </w:rPr>
      </w:pPr>
      <w:bookmarkStart w:id="52" w:name="_Ref147845651"/>
      <w:bookmarkStart w:id="53" w:name="_Toc156210499"/>
      <w:r w:rsidRPr="00CF336B">
        <w:rPr>
          <w:color w:val="auto"/>
          <w:sz w:val="22"/>
          <w:szCs w:val="22"/>
          <w:lang w:val="tr-TR"/>
        </w:rPr>
        <w:t xml:space="preserve">Tablo </w:t>
      </w:r>
      <w:r w:rsidR="002F257A" w:rsidRPr="00CF336B">
        <w:rPr>
          <w:color w:val="auto"/>
          <w:sz w:val="22"/>
          <w:szCs w:val="22"/>
          <w:lang w:val="tr-TR"/>
        </w:rPr>
        <w:fldChar w:fldCharType="begin"/>
      </w:r>
      <w:r w:rsidR="002F257A" w:rsidRPr="00CF336B">
        <w:rPr>
          <w:color w:val="auto"/>
          <w:sz w:val="22"/>
          <w:szCs w:val="22"/>
          <w:lang w:val="tr-TR"/>
        </w:rPr>
        <w:instrText xml:space="preserve"> SEQ Tablo \* ARABIC </w:instrText>
      </w:r>
      <w:r w:rsidR="002F257A" w:rsidRPr="00CF336B">
        <w:rPr>
          <w:color w:val="auto"/>
          <w:sz w:val="22"/>
          <w:szCs w:val="22"/>
          <w:lang w:val="tr-TR"/>
        </w:rPr>
        <w:fldChar w:fldCharType="separate"/>
      </w:r>
      <w:r w:rsidR="00A22AF1" w:rsidRPr="00CF336B">
        <w:rPr>
          <w:noProof/>
          <w:color w:val="auto"/>
          <w:sz w:val="22"/>
          <w:szCs w:val="22"/>
          <w:lang w:val="tr-TR"/>
        </w:rPr>
        <w:t>4</w:t>
      </w:r>
      <w:r w:rsidR="002F257A" w:rsidRPr="00CF336B">
        <w:rPr>
          <w:color w:val="auto"/>
          <w:sz w:val="22"/>
          <w:szCs w:val="22"/>
          <w:lang w:val="tr-TR"/>
        </w:rPr>
        <w:fldChar w:fldCharType="end"/>
      </w:r>
      <w:bookmarkEnd w:id="52"/>
      <w:r w:rsidRPr="00CF336B">
        <w:rPr>
          <w:color w:val="auto"/>
          <w:sz w:val="22"/>
          <w:szCs w:val="22"/>
          <w:lang w:val="tr-TR"/>
        </w:rPr>
        <w:t>. Almanya Kapasite Mekanizması Kapsamında Hazırda Bekletilen Santraller</w:t>
      </w:r>
      <w:bookmarkEnd w:id="53"/>
    </w:p>
    <w:tbl>
      <w:tblPr>
        <w:tblStyle w:val="TableGrid"/>
        <w:tblpPr w:leftFromText="180" w:rightFromText="180" w:vertAnchor="text" w:horzAnchor="margin" w:tblpXSpec="center" w:tblpY="-2"/>
        <w:tblW w:w="0" w:type="auto"/>
        <w:tblLook w:val="04A0" w:firstRow="1" w:lastRow="0" w:firstColumn="1" w:lastColumn="0" w:noHBand="0" w:noVBand="1"/>
      </w:tblPr>
      <w:tblGrid>
        <w:gridCol w:w="2211"/>
        <w:gridCol w:w="2211"/>
        <w:gridCol w:w="2211"/>
        <w:gridCol w:w="2211"/>
      </w:tblGrid>
      <w:tr w:rsidR="00312DE2" w:rsidRPr="00CF336B" w14:paraId="4D03DDB1" w14:textId="77777777" w:rsidTr="006111F3">
        <w:tc>
          <w:tcPr>
            <w:tcW w:w="2211" w:type="dxa"/>
            <w:shd w:val="clear" w:color="auto" w:fill="1F4E79" w:themeFill="accent5" w:themeFillShade="80"/>
            <w:vAlign w:val="center"/>
          </w:tcPr>
          <w:p w14:paraId="34E5ADED" w14:textId="77777777" w:rsidR="00312DE2" w:rsidRPr="00CF336B" w:rsidRDefault="00312DE2" w:rsidP="004D4361">
            <w:pPr>
              <w:spacing w:line="360" w:lineRule="auto"/>
              <w:jc w:val="center"/>
              <w:rPr>
                <w:b/>
                <w:bCs/>
                <w:color w:val="FFFFFF" w:themeColor="background1"/>
                <w:lang w:val="tr-TR"/>
              </w:rPr>
            </w:pPr>
            <w:r w:rsidRPr="00CF336B">
              <w:rPr>
                <w:b/>
                <w:bCs/>
                <w:color w:val="FFFFFF" w:themeColor="background1"/>
                <w:lang w:val="tr-TR"/>
              </w:rPr>
              <w:t>Santral/Ünite Adı</w:t>
            </w:r>
          </w:p>
        </w:tc>
        <w:tc>
          <w:tcPr>
            <w:tcW w:w="2211" w:type="dxa"/>
            <w:shd w:val="clear" w:color="auto" w:fill="1F4E79" w:themeFill="accent5" w:themeFillShade="80"/>
            <w:vAlign w:val="center"/>
          </w:tcPr>
          <w:p w14:paraId="6A4E1E82" w14:textId="77777777" w:rsidR="00312DE2" w:rsidRPr="00CF336B" w:rsidRDefault="00312DE2" w:rsidP="004D4361">
            <w:pPr>
              <w:spacing w:line="360" w:lineRule="auto"/>
              <w:jc w:val="center"/>
              <w:rPr>
                <w:b/>
                <w:bCs/>
                <w:color w:val="FFFFFF" w:themeColor="background1"/>
                <w:lang w:val="tr-TR"/>
              </w:rPr>
            </w:pPr>
            <w:r w:rsidRPr="00CF336B">
              <w:rPr>
                <w:b/>
                <w:bCs/>
                <w:color w:val="FFFFFF" w:themeColor="background1"/>
                <w:lang w:val="tr-TR"/>
              </w:rPr>
              <w:t xml:space="preserve">Kapasite </w:t>
            </w:r>
          </w:p>
          <w:p w14:paraId="51F55105" w14:textId="77777777" w:rsidR="00312DE2" w:rsidRPr="00CF336B" w:rsidRDefault="00312DE2" w:rsidP="004D4361">
            <w:pPr>
              <w:spacing w:line="360" w:lineRule="auto"/>
              <w:jc w:val="center"/>
              <w:rPr>
                <w:b/>
                <w:bCs/>
                <w:color w:val="FFFFFF" w:themeColor="background1"/>
                <w:lang w:val="tr-TR"/>
              </w:rPr>
            </w:pPr>
            <w:r w:rsidRPr="00CF336B">
              <w:rPr>
                <w:b/>
                <w:bCs/>
                <w:color w:val="FFFFFF" w:themeColor="background1"/>
                <w:lang w:val="tr-TR"/>
              </w:rPr>
              <w:t>(MW)</w:t>
            </w:r>
          </w:p>
        </w:tc>
        <w:tc>
          <w:tcPr>
            <w:tcW w:w="2211" w:type="dxa"/>
            <w:shd w:val="clear" w:color="auto" w:fill="1F4E79" w:themeFill="accent5" w:themeFillShade="80"/>
            <w:vAlign w:val="center"/>
          </w:tcPr>
          <w:p w14:paraId="4B3206F4" w14:textId="77777777" w:rsidR="00312DE2" w:rsidRPr="00CF336B" w:rsidRDefault="00312DE2" w:rsidP="004D4361">
            <w:pPr>
              <w:spacing w:line="360" w:lineRule="auto"/>
              <w:jc w:val="center"/>
              <w:rPr>
                <w:b/>
                <w:bCs/>
                <w:color w:val="FFFFFF" w:themeColor="background1"/>
                <w:lang w:val="tr-TR"/>
              </w:rPr>
            </w:pPr>
            <w:r w:rsidRPr="00CF336B">
              <w:rPr>
                <w:b/>
                <w:bCs/>
                <w:color w:val="FFFFFF" w:themeColor="background1"/>
                <w:lang w:val="tr-TR"/>
              </w:rPr>
              <w:t>Mekanizma Kapsamına Geçiş Dönemi</w:t>
            </w:r>
          </w:p>
        </w:tc>
        <w:tc>
          <w:tcPr>
            <w:tcW w:w="2211" w:type="dxa"/>
            <w:shd w:val="clear" w:color="auto" w:fill="1F4E79" w:themeFill="accent5" w:themeFillShade="80"/>
            <w:vAlign w:val="center"/>
          </w:tcPr>
          <w:p w14:paraId="5941AC2F" w14:textId="77777777" w:rsidR="00312DE2" w:rsidRPr="00CF336B" w:rsidRDefault="00312DE2" w:rsidP="004D4361">
            <w:pPr>
              <w:spacing w:line="360" w:lineRule="auto"/>
              <w:jc w:val="center"/>
              <w:rPr>
                <w:b/>
                <w:bCs/>
                <w:color w:val="FFFFFF" w:themeColor="background1"/>
                <w:lang w:val="tr-TR"/>
              </w:rPr>
            </w:pPr>
            <w:r w:rsidRPr="00CF336B">
              <w:rPr>
                <w:b/>
                <w:bCs/>
                <w:color w:val="FFFFFF" w:themeColor="background1"/>
                <w:lang w:val="tr-TR"/>
              </w:rPr>
              <w:t xml:space="preserve">Kalıcı Olarak Kapatılma </w:t>
            </w:r>
          </w:p>
          <w:p w14:paraId="47777658" w14:textId="77777777" w:rsidR="00312DE2" w:rsidRPr="00CF336B" w:rsidRDefault="00312DE2" w:rsidP="004D4361">
            <w:pPr>
              <w:spacing w:line="360" w:lineRule="auto"/>
              <w:jc w:val="center"/>
              <w:rPr>
                <w:b/>
                <w:bCs/>
                <w:color w:val="FFFFFF" w:themeColor="background1"/>
                <w:lang w:val="tr-TR"/>
              </w:rPr>
            </w:pPr>
            <w:r w:rsidRPr="00CF336B">
              <w:rPr>
                <w:b/>
                <w:bCs/>
                <w:color w:val="FFFFFF" w:themeColor="background1"/>
                <w:lang w:val="tr-TR"/>
              </w:rPr>
              <w:t>Tarihi</w:t>
            </w:r>
          </w:p>
        </w:tc>
      </w:tr>
      <w:tr w:rsidR="00312DE2" w:rsidRPr="00CF336B" w14:paraId="77FA4B45" w14:textId="77777777">
        <w:tc>
          <w:tcPr>
            <w:tcW w:w="2211" w:type="dxa"/>
          </w:tcPr>
          <w:p w14:paraId="285CB355" w14:textId="77777777" w:rsidR="00312DE2" w:rsidRPr="00CF336B" w:rsidRDefault="00312DE2" w:rsidP="004D4361">
            <w:pPr>
              <w:spacing w:line="360" w:lineRule="auto"/>
              <w:jc w:val="both"/>
              <w:rPr>
                <w:lang w:val="tr-TR"/>
              </w:rPr>
            </w:pPr>
            <w:proofErr w:type="spellStart"/>
            <w:r w:rsidRPr="00CF336B">
              <w:rPr>
                <w:lang w:val="tr-TR"/>
              </w:rPr>
              <w:t>Buschhaus</w:t>
            </w:r>
            <w:proofErr w:type="spellEnd"/>
            <w:r w:rsidRPr="00CF336B">
              <w:rPr>
                <w:lang w:val="tr-TR"/>
              </w:rPr>
              <w:t xml:space="preserve"> D</w:t>
            </w:r>
          </w:p>
        </w:tc>
        <w:tc>
          <w:tcPr>
            <w:tcW w:w="2211" w:type="dxa"/>
          </w:tcPr>
          <w:p w14:paraId="07588A2A" w14:textId="77777777" w:rsidR="00312DE2" w:rsidRPr="00CF336B" w:rsidRDefault="00312DE2" w:rsidP="004D4361">
            <w:pPr>
              <w:spacing w:line="360" w:lineRule="auto"/>
              <w:jc w:val="center"/>
              <w:rPr>
                <w:lang w:val="tr-TR"/>
              </w:rPr>
            </w:pPr>
            <w:r w:rsidRPr="00CF336B">
              <w:rPr>
                <w:lang w:val="tr-TR"/>
              </w:rPr>
              <w:t>352</w:t>
            </w:r>
          </w:p>
        </w:tc>
        <w:tc>
          <w:tcPr>
            <w:tcW w:w="2211" w:type="dxa"/>
          </w:tcPr>
          <w:p w14:paraId="6AB92F44" w14:textId="77777777" w:rsidR="00312DE2" w:rsidRPr="00CF336B" w:rsidRDefault="00312DE2" w:rsidP="004D4361">
            <w:pPr>
              <w:spacing w:line="360" w:lineRule="auto"/>
              <w:jc w:val="center"/>
              <w:rPr>
                <w:lang w:val="tr-TR"/>
              </w:rPr>
            </w:pPr>
            <w:r w:rsidRPr="00CF336B">
              <w:rPr>
                <w:lang w:val="tr-TR"/>
              </w:rPr>
              <w:t>2016</w:t>
            </w:r>
          </w:p>
        </w:tc>
        <w:tc>
          <w:tcPr>
            <w:tcW w:w="2211" w:type="dxa"/>
          </w:tcPr>
          <w:p w14:paraId="5D5744E1" w14:textId="77777777" w:rsidR="00312DE2" w:rsidRPr="00CF336B" w:rsidRDefault="00312DE2" w:rsidP="004D4361">
            <w:pPr>
              <w:spacing w:line="360" w:lineRule="auto"/>
              <w:jc w:val="center"/>
              <w:rPr>
                <w:lang w:val="tr-TR"/>
              </w:rPr>
            </w:pPr>
            <w:r w:rsidRPr="00CF336B">
              <w:rPr>
                <w:lang w:val="tr-TR"/>
              </w:rPr>
              <w:t>1 Ekim 2020</w:t>
            </w:r>
          </w:p>
        </w:tc>
      </w:tr>
      <w:tr w:rsidR="00312DE2" w:rsidRPr="00CF336B" w14:paraId="1EB38C65" w14:textId="77777777">
        <w:tc>
          <w:tcPr>
            <w:tcW w:w="2211" w:type="dxa"/>
          </w:tcPr>
          <w:p w14:paraId="5826869C" w14:textId="77777777" w:rsidR="00312DE2" w:rsidRPr="00CF336B" w:rsidRDefault="00312DE2" w:rsidP="004D4361">
            <w:pPr>
              <w:spacing w:line="360" w:lineRule="auto"/>
              <w:jc w:val="both"/>
              <w:rPr>
                <w:lang w:val="tr-TR"/>
              </w:rPr>
            </w:pPr>
            <w:proofErr w:type="spellStart"/>
            <w:r w:rsidRPr="00CF336B">
              <w:rPr>
                <w:lang w:val="tr-TR"/>
              </w:rPr>
              <w:t>Frimmersdorf</w:t>
            </w:r>
            <w:proofErr w:type="spellEnd"/>
            <w:r w:rsidRPr="00CF336B">
              <w:rPr>
                <w:lang w:val="tr-TR"/>
              </w:rPr>
              <w:t xml:space="preserve"> Q</w:t>
            </w:r>
          </w:p>
        </w:tc>
        <w:tc>
          <w:tcPr>
            <w:tcW w:w="2211" w:type="dxa"/>
          </w:tcPr>
          <w:p w14:paraId="5906E1EA" w14:textId="77777777" w:rsidR="00312DE2" w:rsidRPr="00CF336B" w:rsidRDefault="00312DE2" w:rsidP="004D4361">
            <w:pPr>
              <w:spacing w:line="360" w:lineRule="auto"/>
              <w:jc w:val="center"/>
              <w:rPr>
                <w:lang w:val="tr-TR"/>
              </w:rPr>
            </w:pPr>
            <w:r w:rsidRPr="00CF336B">
              <w:rPr>
                <w:lang w:val="tr-TR"/>
              </w:rPr>
              <w:t>278</w:t>
            </w:r>
          </w:p>
        </w:tc>
        <w:tc>
          <w:tcPr>
            <w:tcW w:w="2211" w:type="dxa"/>
          </w:tcPr>
          <w:p w14:paraId="7815C6A4" w14:textId="77777777" w:rsidR="00312DE2" w:rsidRPr="00CF336B" w:rsidRDefault="00312DE2" w:rsidP="004D4361">
            <w:pPr>
              <w:spacing w:line="360" w:lineRule="auto"/>
              <w:jc w:val="center"/>
              <w:rPr>
                <w:lang w:val="tr-TR"/>
              </w:rPr>
            </w:pPr>
            <w:r w:rsidRPr="00CF336B">
              <w:rPr>
                <w:lang w:val="tr-TR"/>
              </w:rPr>
              <w:t>2017</w:t>
            </w:r>
          </w:p>
        </w:tc>
        <w:tc>
          <w:tcPr>
            <w:tcW w:w="2211" w:type="dxa"/>
          </w:tcPr>
          <w:p w14:paraId="76726C59" w14:textId="77777777" w:rsidR="00312DE2" w:rsidRPr="00CF336B" w:rsidRDefault="00312DE2" w:rsidP="004D4361">
            <w:pPr>
              <w:spacing w:line="360" w:lineRule="auto"/>
              <w:jc w:val="center"/>
              <w:rPr>
                <w:lang w:val="tr-TR"/>
              </w:rPr>
            </w:pPr>
            <w:r w:rsidRPr="00CF336B">
              <w:rPr>
                <w:lang w:val="tr-TR"/>
              </w:rPr>
              <w:t>1 Ekim 2021</w:t>
            </w:r>
          </w:p>
        </w:tc>
      </w:tr>
      <w:tr w:rsidR="00312DE2" w:rsidRPr="00CF336B" w14:paraId="6134A2E0" w14:textId="77777777">
        <w:tc>
          <w:tcPr>
            <w:tcW w:w="2211" w:type="dxa"/>
          </w:tcPr>
          <w:p w14:paraId="691DAE1E" w14:textId="77777777" w:rsidR="00312DE2" w:rsidRPr="00CF336B" w:rsidRDefault="00312DE2" w:rsidP="004D4361">
            <w:pPr>
              <w:spacing w:line="360" w:lineRule="auto"/>
              <w:jc w:val="both"/>
              <w:rPr>
                <w:lang w:val="tr-TR"/>
              </w:rPr>
            </w:pPr>
            <w:proofErr w:type="spellStart"/>
            <w:r w:rsidRPr="00CF336B">
              <w:rPr>
                <w:lang w:val="tr-TR"/>
              </w:rPr>
              <w:t>Frimmersdorf</w:t>
            </w:r>
            <w:proofErr w:type="spellEnd"/>
            <w:r w:rsidRPr="00CF336B">
              <w:rPr>
                <w:lang w:val="tr-TR"/>
              </w:rPr>
              <w:t xml:space="preserve"> P</w:t>
            </w:r>
          </w:p>
        </w:tc>
        <w:tc>
          <w:tcPr>
            <w:tcW w:w="2211" w:type="dxa"/>
          </w:tcPr>
          <w:p w14:paraId="32ADB447" w14:textId="77777777" w:rsidR="00312DE2" w:rsidRPr="00CF336B" w:rsidRDefault="00312DE2" w:rsidP="004D4361">
            <w:pPr>
              <w:spacing w:line="360" w:lineRule="auto"/>
              <w:jc w:val="center"/>
              <w:rPr>
                <w:lang w:val="tr-TR"/>
              </w:rPr>
            </w:pPr>
            <w:r w:rsidRPr="00CF336B">
              <w:rPr>
                <w:lang w:val="tr-TR"/>
              </w:rPr>
              <w:t>285</w:t>
            </w:r>
          </w:p>
        </w:tc>
        <w:tc>
          <w:tcPr>
            <w:tcW w:w="2211" w:type="dxa"/>
          </w:tcPr>
          <w:p w14:paraId="4CE9D98A" w14:textId="77777777" w:rsidR="00312DE2" w:rsidRPr="00CF336B" w:rsidRDefault="00312DE2" w:rsidP="004D4361">
            <w:pPr>
              <w:spacing w:line="360" w:lineRule="auto"/>
              <w:jc w:val="center"/>
              <w:rPr>
                <w:lang w:val="tr-TR"/>
              </w:rPr>
            </w:pPr>
            <w:r w:rsidRPr="00CF336B">
              <w:rPr>
                <w:lang w:val="tr-TR"/>
              </w:rPr>
              <w:t>2017</w:t>
            </w:r>
          </w:p>
        </w:tc>
        <w:tc>
          <w:tcPr>
            <w:tcW w:w="2211" w:type="dxa"/>
          </w:tcPr>
          <w:p w14:paraId="424B637E" w14:textId="77777777" w:rsidR="00312DE2" w:rsidRPr="00CF336B" w:rsidRDefault="00312DE2" w:rsidP="004D4361">
            <w:pPr>
              <w:spacing w:line="360" w:lineRule="auto"/>
              <w:jc w:val="center"/>
              <w:rPr>
                <w:lang w:val="tr-TR"/>
              </w:rPr>
            </w:pPr>
            <w:r w:rsidRPr="00CF336B">
              <w:rPr>
                <w:lang w:val="tr-TR"/>
              </w:rPr>
              <w:t>1 Ekim 2021</w:t>
            </w:r>
          </w:p>
        </w:tc>
      </w:tr>
      <w:tr w:rsidR="00312DE2" w:rsidRPr="00CF336B" w14:paraId="6E2979BD" w14:textId="77777777">
        <w:tc>
          <w:tcPr>
            <w:tcW w:w="2211" w:type="dxa"/>
          </w:tcPr>
          <w:p w14:paraId="3B595DDE" w14:textId="77777777" w:rsidR="00312DE2" w:rsidRPr="00CF336B" w:rsidRDefault="00312DE2" w:rsidP="004D4361">
            <w:pPr>
              <w:spacing w:line="360" w:lineRule="auto"/>
              <w:jc w:val="both"/>
              <w:rPr>
                <w:lang w:val="tr-TR"/>
              </w:rPr>
            </w:pPr>
            <w:proofErr w:type="spellStart"/>
            <w:r w:rsidRPr="00CF336B">
              <w:rPr>
                <w:lang w:val="tr-TR"/>
              </w:rPr>
              <w:t>Niederaußem</w:t>
            </w:r>
            <w:proofErr w:type="spellEnd"/>
            <w:r w:rsidRPr="00CF336B">
              <w:rPr>
                <w:lang w:val="tr-TR"/>
              </w:rPr>
              <w:t xml:space="preserve"> F</w:t>
            </w:r>
          </w:p>
        </w:tc>
        <w:tc>
          <w:tcPr>
            <w:tcW w:w="2211" w:type="dxa"/>
          </w:tcPr>
          <w:p w14:paraId="6E72D61A" w14:textId="77777777" w:rsidR="00312DE2" w:rsidRPr="00CF336B" w:rsidRDefault="00312DE2" w:rsidP="004D4361">
            <w:pPr>
              <w:spacing w:line="360" w:lineRule="auto"/>
              <w:jc w:val="center"/>
              <w:rPr>
                <w:lang w:val="tr-TR"/>
              </w:rPr>
            </w:pPr>
            <w:r w:rsidRPr="00CF336B">
              <w:rPr>
                <w:lang w:val="tr-TR"/>
              </w:rPr>
              <w:t>299</w:t>
            </w:r>
          </w:p>
        </w:tc>
        <w:tc>
          <w:tcPr>
            <w:tcW w:w="2211" w:type="dxa"/>
          </w:tcPr>
          <w:p w14:paraId="468C9616" w14:textId="77777777" w:rsidR="00312DE2" w:rsidRPr="00CF336B" w:rsidRDefault="00312DE2" w:rsidP="004D4361">
            <w:pPr>
              <w:spacing w:line="360" w:lineRule="auto"/>
              <w:jc w:val="center"/>
              <w:rPr>
                <w:lang w:val="tr-TR"/>
              </w:rPr>
            </w:pPr>
            <w:r w:rsidRPr="00CF336B">
              <w:rPr>
                <w:lang w:val="tr-TR"/>
              </w:rPr>
              <w:t>2018</w:t>
            </w:r>
          </w:p>
        </w:tc>
        <w:tc>
          <w:tcPr>
            <w:tcW w:w="2211" w:type="dxa"/>
          </w:tcPr>
          <w:p w14:paraId="1A66A089" w14:textId="77777777" w:rsidR="00312DE2" w:rsidRPr="00CF336B" w:rsidRDefault="00312DE2" w:rsidP="004D4361">
            <w:pPr>
              <w:spacing w:line="360" w:lineRule="auto"/>
              <w:jc w:val="center"/>
              <w:rPr>
                <w:lang w:val="tr-TR"/>
              </w:rPr>
            </w:pPr>
            <w:r w:rsidRPr="00CF336B">
              <w:rPr>
                <w:lang w:val="tr-TR"/>
              </w:rPr>
              <w:t>1 Ekim 2022</w:t>
            </w:r>
          </w:p>
        </w:tc>
      </w:tr>
      <w:tr w:rsidR="00312DE2" w:rsidRPr="00CF336B" w14:paraId="5A5A6174" w14:textId="77777777">
        <w:tc>
          <w:tcPr>
            <w:tcW w:w="2211" w:type="dxa"/>
          </w:tcPr>
          <w:p w14:paraId="48303CEC" w14:textId="77777777" w:rsidR="00312DE2" w:rsidRPr="00CF336B" w:rsidRDefault="00312DE2" w:rsidP="004D4361">
            <w:pPr>
              <w:spacing w:line="360" w:lineRule="auto"/>
              <w:jc w:val="both"/>
              <w:rPr>
                <w:lang w:val="tr-TR"/>
              </w:rPr>
            </w:pPr>
            <w:proofErr w:type="spellStart"/>
            <w:r w:rsidRPr="00CF336B">
              <w:rPr>
                <w:lang w:val="tr-TR"/>
              </w:rPr>
              <w:t>Niederaußem</w:t>
            </w:r>
            <w:proofErr w:type="spellEnd"/>
            <w:r w:rsidRPr="00CF336B">
              <w:rPr>
                <w:lang w:val="tr-TR"/>
              </w:rPr>
              <w:t xml:space="preserve"> E</w:t>
            </w:r>
          </w:p>
        </w:tc>
        <w:tc>
          <w:tcPr>
            <w:tcW w:w="2211" w:type="dxa"/>
          </w:tcPr>
          <w:p w14:paraId="7D9E0DE9" w14:textId="77777777" w:rsidR="00312DE2" w:rsidRPr="00CF336B" w:rsidRDefault="00312DE2" w:rsidP="004D4361">
            <w:pPr>
              <w:spacing w:line="360" w:lineRule="auto"/>
              <w:jc w:val="center"/>
              <w:rPr>
                <w:lang w:val="tr-TR"/>
              </w:rPr>
            </w:pPr>
            <w:r w:rsidRPr="00CF336B">
              <w:rPr>
                <w:lang w:val="tr-TR"/>
              </w:rPr>
              <w:t>295</w:t>
            </w:r>
          </w:p>
        </w:tc>
        <w:tc>
          <w:tcPr>
            <w:tcW w:w="2211" w:type="dxa"/>
          </w:tcPr>
          <w:p w14:paraId="33889E3A" w14:textId="77777777" w:rsidR="00312DE2" w:rsidRPr="00CF336B" w:rsidRDefault="00312DE2" w:rsidP="004D4361">
            <w:pPr>
              <w:spacing w:line="360" w:lineRule="auto"/>
              <w:jc w:val="center"/>
              <w:rPr>
                <w:lang w:val="tr-TR"/>
              </w:rPr>
            </w:pPr>
            <w:r w:rsidRPr="00CF336B">
              <w:rPr>
                <w:lang w:val="tr-TR"/>
              </w:rPr>
              <w:t>2018</w:t>
            </w:r>
          </w:p>
        </w:tc>
        <w:tc>
          <w:tcPr>
            <w:tcW w:w="2211" w:type="dxa"/>
          </w:tcPr>
          <w:p w14:paraId="1B2AF735" w14:textId="77777777" w:rsidR="00312DE2" w:rsidRPr="00CF336B" w:rsidRDefault="00312DE2" w:rsidP="004D4361">
            <w:pPr>
              <w:spacing w:line="360" w:lineRule="auto"/>
              <w:jc w:val="center"/>
              <w:rPr>
                <w:lang w:val="tr-TR"/>
              </w:rPr>
            </w:pPr>
            <w:r w:rsidRPr="00CF336B">
              <w:rPr>
                <w:lang w:val="tr-TR"/>
              </w:rPr>
              <w:t>1 Ekim 2022</w:t>
            </w:r>
          </w:p>
        </w:tc>
      </w:tr>
      <w:tr w:rsidR="00312DE2" w:rsidRPr="00CF336B" w14:paraId="6EA0CBD8" w14:textId="77777777">
        <w:tc>
          <w:tcPr>
            <w:tcW w:w="2211" w:type="dxa"/>
          </w:tcPr>
          <w:p w14:paraId="585977A1" w14:textId="77777777" w:rsidR="00312DE2" w:rsidRPr="00CF336B" w:rsidRDefault="00312DE2" w:rsidP="004D4361">
            <w:pPr>
              <w:spacing w:line="360" w:lineRule="auto"/>
              <w:jc w:val="both"/>
              <w:rPr>
                <w:lang w:val="tr-TR"/>
              </w:rPr>
            </w:pPr>
            <w:proofErr w:type="spellStart"/>
            <w:r w:rsidRPr="00CF336B">
              <w:rPr>
                <w:lang w:val="tr-TR"/>
              </w:rPr>
              <w:t>Jänschwalde</w:t>
            </w:r>
            <w:proofErr w:type="spellEnd"/>
            <w:r w:rsidRPr="00CF336B">
              <w:rPr>
                <w:lang w:val="tr-TR"/>
              </w:rPr>
              <w:t xml:space="preserve"> F</w:t>
            </w:r>
          </w:p>
        </w:tc>
        <w:tc>
          <w:tcPr>
            <w:tcW w:w="2211" w:type="dxa"/>
          </w:tcPr>
          <w:p w14:paraId="7B4F492E" w14:textId="77777777" w:rsidR="00312DE2" w:rsidRPr="00CF336B" w:rsidRDefault="00312DE2" w:rsidP="004D4361">
            <w:pPr>
              <w:spacing w:line="360" w:lineRule="auto"/>
              <w:jc w:val="center"/>
              <w:rPr>
                <w:lang w:val="tr-TR"/>
              </w:rPr>
            </w:pPr>
            <w:r w:rsidRPr="00CF336B">
              <w:rPr>
                <w:lang w:val="tr-TR"/>
              </w:rPr>
              <w:t>465</w:t>
            </w:r>
          </w:p>
        </w:tc>
        <w:tc>
          <w:tcPr>
            <w:tcW w:w="2211" w:type="dxa"/>
          </w:tcPr>
          <w:p w14:paraId="2BB766EB" w14:textId="77777777" w:rsidR="00312DE2" w:rsidRPr="00CF336B" w:rsidRDefault="00312DE2" w:rsidP="004D4361">
            <w:pPr>
              <w:spacing w:line="360" w:lineRule="auto"/>
              <w:jc w:val="center"/>
              <w:rPr>
                <w:lang w:val="tr-TR"/>
              </w:rPr>
            </w:pPr>
            <w:r w:rsidRPr="00CF336B">
              <w:rPr>
                <w:lang w:val="tr-TR"/>
              </w:rPr>
              <w:t>2018</w:t>
            </w:r>
          </w:p>
        </w:tc>
        <w:tc>
          <w:tcPr>
            <w:tcW w:w="2211" w:type="dxa"/>
          </w:tcPr>
          <w:p w14:paraId="35F40CEE" w14:textId="77777777" w:rsidR="00312DE2" w:rsidRPr="00CF336B" w:rsidRDefault="00312DE2" w:rsidP="004D4361">
            <w:pPr>
              <w:spacing w:line="360" w:lineRule="auto"/>
              <w:jc w:val="center"/>
              <w:rPr>
                <w:lang w:val="tr-TR"/>
              </w:rPr>
            </w:pPr>
            <w:r w:rsidRPr="00CF336B">
              <w:rPr>
                <w:lang w:val="tr-TR"/>
              </w:rPr>
              <w:t>1 Ekim 2022</w:t>
            </w:r>
          </w:p>
        </w:tc>
      </w:tr>
      <w:tr w:rsidR="00312DE2" w:rsidRPr="00CF336B" w14:paraId="3C991F09" w14:textId="77777777">
        <w:tc>
          <w:tcPr>
            <w:tcW w:w="2211" w:type="dxa"/>
          </w:tcPr>
          <w:p w14:paraId="29B8FEF4" w14:textId="77777777" w:rsidR="00312DE2" w:rsidRPr="00CF336B" w:rsidRDefault="00312DE2" w:rsidP="004D4361">
            <w:pPr>
              <w:spacing w:line="360" w:lineRule="auto"/>
              <w:jc w:val="both"/>
              <w:rPr>
                <w:lang w:val="tr-TR"/>
              </w:rPr>
            </w:pPr>
            <w:proofErr w:type="spellStart"/>
            <w:r w:rsidRPr="00CF336B">
              <w:rPr>
                <w:lang w:val="tr-TR"/>
              </w:rPr>
              <w:t>Jänschwalde</w:t>
            </w:r>
            <w:proofErr w:type="spellEnd"/>
            <w:r w:rsidRPr="00CF336B">
              <w:rPr>
                <w:lang w:val="tr-TR"/>
              </w:rPr>
              <w:t xml:space="preserve"> E</w:t>
            </w:r>
          </w:p>
        </w:tc>
        <w:tc>
          <w:tcPr>
            <w:tcW w:w="2211" w:type="dxa"/>
          </w:tcPr>
          <w:p w14:paraId="39199641" w14:textId="77777777" w:rsidR="00312DE2" w:rsidRPr="00CF336B" w:rsidRDefault="00312DE2" w:rsidP="004D4361">
            <w:pPr>
              <w:spacing w:line="360" w:lineRule="auto"/>
              <w:jc w:val="center"/>
              <w:rPr>
                <w:lang w:val="tr-TR"/>
              </w:rPr>
            </w:pPr>
            <w:r w:rsidRPr="00CF336B">
              <w:rPr>
                <w:lang w:val="tr-TR"/>
              </w:rPr>
              <w:t>465</w:t>
            </w:r>
          </w:p>
        </w:tc>
        <w:tc>
          <w:tcPr>
            <w:tcW w:w="2211" w:type="dxa"/>
          </w:tcPr>
          <w:p w14:paraId="25A61D9F" w14:textId="77777777" w:rsidR="00312DE2" w:rsidRPr="00CF336B" w:rsidRDefault="00312DE2" w:rsidP="004D4361">
            <w:pPr>
              <w:spacing w:line="360" w:lineRule="auto"/>
              <w:jc w:val="center"/>
              <w:rPr>
                <w:lang w:val="tr-TR"/>
              </w:rPr>
            </w:pPr>
            <w:r w:rsidRPr="00CF336B">
              <w:rPr>
                <w:lang w:val="tr-TR"/>
              </w:rPr>
              <w:t>2019</w:t>
            </w:r>
          </w:p>
        </w:tc>
        <w:tc>
          <w:tcPr>
            <w:tcW w:w="2211" w:type="dxa"/>
          </w:tcPr>
          <w:p w14:paraId="70CB26B7" w14:textId="77777777" w:rsidR="00312DE2" w:rsidRPr="00CF336B" w:rsidRDefault="00312DE2" w:rsidP="004D4361">
            <w:pPr>
              <w:spacing w:line="360" w:lineRule="auto"/>
              <w:jc w:val="center"/>
              <w:rPr>
                <w:lang w:val="tr-TR"/>
              </w:rPr>
            </w:pPr>
            <w:r w:rsidRPr="00CF336B">
              <w:rPr>
                <w:lang w:val="tr-TR"/>
              </w:rPr>
              <w:t>1 Ekim 2023</w:t>
            </w:r>
          </w:p>
        </w:tc>
      </w:tr>
      <w:tr w:rsidR="00312DE2" w:rsidRPr="00CF336B" w14:paraId="021D0B48" w14:textId="77777777">
        <w:tc>
          <w:tcPr>
            <w:tcW w:w="2211" w:type="dxa"/>
          </w:tcPr>
          <w:p w14:paraId="59486D1E" w14:textId="77777777" w:rsidR="00312DE2" w:rsidRPr="00CF336B" w:rsidRDefault="00312DE2" w:rsidP="004D4361">
            <w:pPr>
              <w:spacing w:line="360" w:lineRule="auto"/>
              <w:jc w:val="both"/>
              <w:rPr>
                <w:lang w:val="tr-TR"/>
              </w:rPr>
            </w:pPr>
            <w:proofErr w:type="spellStart"/>
            <w:r w:rsidRPr="00CF336B">
              <w:rPr>
                <w:lang w:val="tr-TR"/>
              </w:rPr>
              <w:t>Neurath</w:t>
            </w:r>
            <w:proofErr w:type="spellEnd"/>
            <w:r w:rsidRPr="00CF336B">
              <w:rPr>
                <w:lang w:val="tr-TR"/>
              </w:rPr>
              <w:t xml:space="preserve"> C</w:t>
            </w:r>
          </w:p>
        </w:tc>
        <w:tc>
          <w:tcPr>
            <w:tcW w:w="2211" w:type="dxa"/>
          </w:tcPr>
          <w:p w14:paraId="4A8EF15D" w14:textId="77777777" w:rsidR="00312DE2" w:rsidRPr="00CF336B" w:rsidRDefault="00312DE2" w:rsidP="004D4361">
            <w:pPr>
              <w:spacing w:line="360" w:lineRule="auto"/>
              <w:jc w:val="center"/>
              <w:rPr>
                <w:lang w:val="tr-TR"/>
              </w:rPr>
            </w:pPr>
            <w:r w:rsidRPr="00CF336B">
              <w:rPr>
                <w:lang w:val="tr-TR"/>
              </w:rPr>
              <w:t>292</w:t>
            </w:r>
          </w:p>
        </w:tc>
        <w:tc>
          <w:tcPr>
            <w:tcW w:w="2211" w:type="dxa"/>
          </w:tcPr>
          <w:p w14:paraId="68CE51FA" w14:textId="77777777" w:rsidR="00312DE2" w:rsidRPr="00CF336B" w:rsidRDefault="00312DE2" w:rsidP="004D4361">
            <w:pPr>
              <w:spacing w:line="360" w:lineRule="auto"/>
              <w:jc w:val="center"/>
              <w:rPr>
                <w:lang w:val="tr-TR"/>
              </w:rPr>
            </w:pPr>
            <w:r w:rsidRPr="00CF336B">
              <w:rPr>
                <w:lang w:val="tr-TR"/>
              </w:rPr>
              <w:t>2019</w:t>
            </w:r>
          </w:p>
        </w:tc>
        <w:tc>
          <w:tcPr>
            <w:tcW w:w="2211" w:type="dxa"/>
          </w:tcPr>
          <w:p w14:paraId="4E2BD1D1" w14:textId="77777777" w:rsidR="00312DE2" w:rsidRPr="00CF336B" w:rsidRDefault="00312DE2" w:rsidP="004D4361">
            <w:pPr>
              <w:spacing w:line="360" w:lineRule="auto"/>
              <w:jc w:val="center"/>
              <w:rPr>
                <w:lang w:val="tr-TR"/>
              </w:rPr>
            </w:pPr>
            <w:r w:rsidRPr="00CF336B">
              <w:rPr>
                <w:lang w:val="tr-TR"/>
              </w:rPr>
              <w:t>1 Ekim 2023</w:t>
            </w:r>
          </w:p>
        </w:tc>
      </w:tr>
    </w:tbl>
    <w:p w14:paraId="2F468028" w14:textId="77777777" w:rsidR="00312DE2" w:rsidRPr="00CF336B" w:rsidRDefault="00312DE2" w:rsidP="004D4361">
      <w:pPr>
        <w:spacing w:line="360" w:lineRule="auto"/>
        <w:jc w:val="both"/>
        <w:rPr>
          <w:lang w:val="tr-TR"/>
        </w:rPr>
      </w:pPr>
    </w:p>
    <w:p w14:paraId="6F95E293" w14:textId="49B282D8" w:rsidR="002F304A" w:rsidRPr="00CF336B" w:rsidRDefault="00312DE2" w:rsidP="004D4361">
      <w:pPr>
        <w:spacing w:line="360" w:lineRule="auto"/>
        <w:jc w:val="both"/>
        <w:rPr>
          <w:lang w:val="tr-TR"/>
        </w:rPr>
      </w:pPr>
      <w:r w:rsidRPr="00CF336B">
        <w:rPr>
          <w:lang w:val="tr-TR"/>
        </w:rPr>
        <w:t>Ulusal ve Avrupa iklim hedefi doğrultusunda, elektrik sektöründeki karbondioksit emisyonunun azaltılması için devreden çıkması planlanan linyit santralleri, bu santrallerin spesifik üniteleri ve devreden çıkış tarihleri ilgili kanun altında detaylandırılmıştır</w:t>
      </w:r>
      <w:r w:rsidR="00D36BDB">
        <w:rPr>
          <w:lang w:val="tr-TR"/>
        </w:rPr>
        <w:t xml:space="preserve"> </w:t>
      </w:r>
      <w:sdt>
        <w:sdtPr>
          <w:rPr>
            <w:lang w:val="tr-TR"/>
          </w:rPr>
          <w:id w:val="-1475055353"/>
          <w:citation/>
        </w:sdtPr>
        <w:sdtEndPr/>
        <w:sdtContent>
          <w:r w:rsidR="00D36BDB">
            <w:rPr>
              <w:lang w:val="tr-TR"/>
            </w:rPr>
            <w:fldChar w:fldCharType="begin"/>
          </w:r>
          <w:r w:rsidR="00D36BDB">
            <w:instrText xml:space="preserve"> CITATION Ges05 \l 1033 </w:instrText>
          </w:r>
          <w:r w:rsidR="00D36BDB">
            <w:rPr>
              <w:lang w:val="tr-TR"/>
            </w:rPr>
            <w:fldChar w:fldCharType="separate"/>
          </w:r>
          <w:r w:rsidR="00D95FF7">
            <w:rPr>
              <w:noProof/>
            </w:rPr>
            <w:t>(Gesetze im Internet, 2005)</w:t>
          </w:r>
          <w:r w:rsidR="00D36BDB">
            <w:rPr>
              <w:lang w:val="tr-TR"/>
            </w:rPr>
            <w:fldChar w:fldCharType="end"/>
          </w:r>
        </w:sdtContent>
      </w:sdt>
      <w:r w:rsidRPr="00CF336B">
        <w:rPr>
          <w:lang w:val="tr-TR"/>
        </w:rPr>
        <w:t xml:space="preserve">. Fakat kapasite uygulamasının devreye girmesiyle bu santrallerin direkt olarak devreden çıkmamasına, dört yıl boyunca kapasite rezervi tutarak ardından kalıcı olarak kapatılmasına karar verilmiştir. Bu şekilde rezerv tutan santraller sistem işletmecilerinden gelecek talimatlar dışında elektrik üretimi yapamayacaklardır. 2021 yılında bu santralleri arz güvenliği için hazırda bekler </w:t>
      </w:r>
      <w:r w:rsidR="005A7284">
        <w:rPr>
          <w:lang w:val="tr-TR"/>
        </w:rPr>
        <w:t>durum</w:t>
      </w:r>
      <w:r w:rsidRPr="00CF336B">
        <w:rPr>
          <w:lang w:val="tr-TR"/>
        </w:rPr>
        <w:t>da tutmanın yıllık maliyeti 400 ile 450 milyon avro arasındadır</w:t>
      </w:r>
      <w:r w:rsidR="00207473">
        <w:rPr>
          <w:lang w:val="tr-TR"/>
        </w:rPr>
        <w:t xml:space="preserve"> </w:t>
      </w:r>
      <w:sdt>
        <w:sdtPr>
          <w:rPr>
            <w:lang w:val="tr-TR"/>
          </w:rPr>
          <w:id w:val="2017031535"/>
          <w:citation/>
        </w:sdtPr>
        <w:sdtEndPr/>
        <w:sdtContent>
          <w:r w:rsidR="00207473">
            <w:rPr>
              <w:lang w:val="tr-TR"/>
            </w:rPr>
            <w:fldChar w:fldCharType="begin"/>
          </w:r>
          <w:r w:rsidR="00207473">
            <w:instrText xml:space="preserve"> CITATION Bun21 \l 1033 </w:instrText>
          </w:r>
          <w:r w:rsidR="00207473">
            <w:rPr>
              <w:lang w:val="tr-TR"/>
            </w:rPr>
            <w:fldChar w:fldCharType="separate"/>
          </w:r>
          <w:r w:rsidR="00D95FF7">
            <w:rPr>
              <w:noProof/>
            </w:rPr>
            <w:t>(Bundesnetzagentur, 2021)</w:t>
          </w:r>
          <w:r w:rsidR="00207473">
            <w:rPr>
              <w:lang w:val="tr-TR"/>
            </w:rPr>
            <w:fldChar w:fldCharType="end"/>
          </w:r>
        </w:sdtContent>
      </w:sdt>
      <w:r w:rsidR="00207473">
        <w:rPr>
          <w:lang w:val="tr-TR"/>
        </w:rPr>
        <w:t>.</w:t>
      </w:r>
      <w:r w:rsidRPr="00CF336B">
        <w:rPr>
          <w:lang w:val="tr-TR"/>
        </w:rPr>
        <w:t xml:space="preserve"> </w:t>
      </w:r>
    </w:p>
    <w:p w14:paraId="009FE66F" w14:textId="7425421A" w:rsidR="00A13DBB" w:rsidRPr="00CF336B" w:rsidRDefault="00A13DBB" w:rsidP="004D4361">
      <w:pPr>
        <w:spacing w:line="360" w:lineRule="auto"/>
        <w:jc w:val="both"/>
        <w:rPr>
          <w:noProof/>
          <w:lang w:val="tr-TR"/>
        </w:rPr>
      </w:pPr>
      <w:r w:rsidRPr="00CF336B">
        <w:rPr>
          <w:noProof/>
          <w:lang w:val="tr-TR"/>
        </w:rPr>
        <w:t>6 Şubat 2022 tarihinde, Rusya’nın Ukrayna’yı işgali ile başlayan doğal gaz krizi ve Avrupa’nın Rus doğal gazına alternatif tedarik kaynakları arayışına girmesiyle, Avrupa Birliği Komisyonu 20 Temmuz 2022 tarihinde Avrupa’nın doğal gaz talebini</w:t>
      </w:r>
      <w:r w:rsidR="00930426" w:rsidRPr="00CF336B">
        <w:rPr>
          <w:noProof/>
          <w:lang w:val="tr-TR"/>
        </w:rPr>
        <w:t>,</w:t>
      </w:r>
      <w:r w:rsidR="00100ADF" w:rsidRPr="00CF336B">
        <w:rPr>
          <w:noProof/>
          <w:lang w:val="tr-TR"/>
        </w:rPr>
        <w:t xml:space="preserve"> </w:t>
      </w:r>
      <w:r w:rsidR="006331D2" w:rsidRPr="00CF336B">
        <w:rPr>
          <w:noProof/>
          <w:lang w:val="tr-TR"/>
        </w:rPr>
        <w:t xml:space="preserve">1 </w:t>
      </w:r>
      <w:r w:rsidR="00100ADF" w:rsidRPr="00CF336B">
        <w:rPr>
          <w:noProof/>
          <w:lang w:val="tr-TR"/>
        </w:rPr>
        <w:t>Ağustos 202</w:t>
      </w:r>
      <w:r w:rsidR="00AB5611" w:rsidRPr="00CF336B">
        <w:rPr>
          <w:noProof/>
          <w:lang w:val="tr-TR"/>
        </w:rPr>
        <w:t xml:space="preserve">2 tarihinden </w:t>
      </w:r>
      <w:r w:rsidR="006331D2" w:rsidRPr="00CF336B">
        <w:rPr>
          <w:noProof/>
          <w:lang w:val="tr-TR"/>
        </w:rPr>
        <w:t xml:space="preserve">31 </w:t>
      </w:r>
      <w:r w:rsidR="00100ADF" w:rsidRPr="00CF336B">
        <w:rPr>
          <w:noProof/>
          <w:lang w:val="tr-TR"/>
        </w:rPr>
        <w:t>Mart</w:t>
      </w:r>
      <w:r w:rsidR="006331D2" w:rsidRPr="00CF336B">
        <w:rPr>
          <w:noProof/>
          <w:lang w:val="tr-TR"/>
        </w:rPr>
        <w:t xml:space="preserve"> 2023 tarihine kadar</w:t>
      </w:r>
      <w:r w:rsidRPr="00CF336B">
        <w:rPr>
          <w:noProof/>
          <w:lang w:val="tr-TR"/>
        </w:rPr>
        <w:t xml:space="preserve"> %15 oranında düşürülmesini planlayan bir genelge yayımlamıştır</w:t>
      </w:r>
      <w:r w:rsidR="000F0CE5">
        <w:rPr>
          <w:noProof/>
          <w:lang w:val="tr-TR"/>
        </w:rPr>
        <w:t xml:space="preserve"> </w:t>
      </w:r>
      <w:sdt>
        <w:sdtPr>
          <w:rPr>
            <w:noProof/>
            <w:lang w:val="tr-TR"/>
          </w:rPr>
          <w:id w:val="316389677"/>
          <w:citation/>
        </w:sdtPr>
        <w:sdtEndPr/>
        <w:sdtContent>
          <w:r w:rsidR="000F0CE5">
            <w:rPr>
              <w:noProof/>
              <w:lang w:val="tr-TR"/>
            </w:rPr>
            <w:fldChar w:fldCharType="begin"/>
          </w:r>
          <w:r w:rsidR="000F0CE5">
            <w:rPr>
              <w:noProof/>
            </w:rPr>
            <w:instrText xml:space="preserve"> CITATION Eur22 \l 1033 </w:instrText>
          </w:r>
          <w:r w:rsidR="000F0CE5">
            <w:rPr>
              <w:noProof/>
              <w:lang w:val="tr-TR"/>
            </w:rPr>
            <w:fldChar w:fldCharType="separate"/>
          </w:r>
          <w:r w:rsidR="00D95FF7">
            <w:rPr>
              <w:noProof/>
            </w:rPr>
            <w:t>(European Commission, 2022)</w:t>
          </w:r>
          <w:r w:rsidR="000F0CE5">
            <w:rPr>
              <w:noProof/>
              <w:lang w:val="tr-TR"/>
            </w:rPr>
            <w:fldChar w:fldCharType="end"/>
          </w:r>
        </w:sdtContent>
      </w:sdt>
      <w:r w:rsidRPr="00CF336B">
        <w:rPr>
          <w:noProof/>
          <w:lang w:val="tr-TR"/>
        </w:rPr>
        <w:t xml:space="preserve">. Bu genelge ışığında Almanya 30 Eylül 2022 tarihinde yukarıda belirtilen ve planlanan kapanma tarihi 1 Ekim 2022 tarihinden sonra olan 5 linyit santralini rezerv kapasite tutmak </w:t>
      </w:r>
      <w:r w:rsidR="00BF7DA8" w:rsidRPr="00CF336B">
        <w:rPr>
          <w:noProof/>
          <w:lang w:val="tr-TR"/>
        </w:rPr>
        <w:t>amacıyla</w:t>
      </w:r>
      <w:r w:rsidRPr="00CF336B">
        <w:rPr>
          <w:noProof/>
          <w:lang w:val="tr-TR"/>
        </w:rPr>
        <w:t xml:space="preserve"> </w:t>
      </w:r>
      <w:r w:rsidR="000800FD" w:rsidRPr="00CF336B">
        <w:rPr>
          <w:noProof/>
          <w:lang w:val="tr-TR"/>
        </w:rPr>
        <w:t xml:space="preserve">31 Mart 2024 tarihine kadar </w:t>
      </w:r>
      <w:r w:rsidRPr="00CF336B">
        <w:rPr>
          <w:noProof/>
          <w:lang w:val="tr-TR"/>
        </w:rPr>
        <w:t>kapatmama kararı almıştır</w:t>
      </w:r>
      <w:r w:rsidR="003774B5">
        <w:rPr>
          <w:noProof/>
          <w:lang w:val="tr-TR"/>
        </w:rPr>
        <w:t xml:space="preserve">. </w:t>
      </w:r>
      <w:r w:rsidRPr="00CF336B">
        <w:rPr>
          <w:noProof/>
          <w:lang w:val="tr-TR"/>
        </w:rPr>
        <w:t>Fakat önceki uygulamadan farklı olarak, santraller bu sefer 31 Mart 2024 tarihine kadarki sürede gelen emirler doğrultusunda ürettikleri elektrik enerjisini spot piyasaya katılıp satabileceklerdir. Elektrik üretmedikleri fakat kapasite tuttukları dönemlerde ise operasyonel hazırlıklarını yansıtan maliyetleri doğrultusunda ödeme</w:t>
      </w:r>
      <w:r w:rsidR="000800FD" w:rsidRPr="00CF336B">
        <w:rPr>
          <w:noProof/>
          <w:lang w:val="tr-TR"/>
        </w:rPr>
        <w:t xml:space="preserve"> </w:t>
      </w:r>
      <w:r w:rsidRPr="00CF336B">
        <w:rPr>
          <w:noProof/>
          <w:lang w:val="tr-TR"/>
        </w:rPr>
        <w:t>alacaklardır. Almanya’nın bu uygulama kapsamında Avrupa Birliği Komisyonu’na bildirdiği tahmini bütçe 450 milyon Avro’dur</w:t>
      </w:r>
      <w:r w:rsidR="006F2B5B">
        <w:rPr>
          <w:noProof/>
          <w:lang w:val="tr-TR"/>
        </w:rPr>
        <w:t xml:space="preserve"> </w:t>
      </w:r>
      <w:sdt>
        <w:sdtPr>
          <w:rPr>
            <w:noProof/>
            <w:lang w:val="tr-TR"/>
          </w:rPr>
          <w:id w:val="-1968958307"/>
          <w:citation/>
        </w:sdtPr>
        <w:sdtEndPr/>
        <w:sdtContent>
          <w:r w:rsidR="006F2B5B">
            <w:rPr>
              <w:noProof/>
              <w:lang w:val="tr-TR"/>
            </w:rPr>
            <w:fldChar w:fldCharType="begin"/>
          </w:r>
          <w:r w:rsidR="006F2B5B">
            <w:rPr>
              <w:noProof/>
            </w:rPr>
            <w:instrText xml:space="preserve"> CITATION Eur22 \l 1033 </w:instrText>
          </w:r>
          <w:r w:rsidR="006F2B5B">
            <w:rPr>
              <w:noProof/>
              <w:lang w:val="tr-TR"/>
            </w:rPr>
            <w:fldChar w:fldCharType="separate"/>
          </w:r>
          <w:r w:rsidR="00D95FF7">
            <w:rPr>
              <w:noProof/>
            </w:rPr>
            <w:t>(European Commission, 2022)</w:t>
          </w:r>
          <w:r w:rsidR="006F2B5B">
            <w:rPr>
              <w:noProof/>
              <w:lang w:val="tr-TR"/>
            </w:rPr>
            <w:fldChar w:fldCharType="end"/>
          </w:r>
        </w:sdtContent>
      </w:sdt>
      <w:r w:rsidR="006F2B5B">
        <w:rPr>
          <w:noProof/>
          <w:lang w:val="tr-TR"/>
        </w:rPr>
        <w:t xml:space="preserve">. </w:t>
      </w:r>
      <w:r w:rsidRPr="00CF336B">
        <w:rPr>
          <w:noProof/>
          <w:lang w:val="tr-TR"/>
        </w:rPr>
        <w:t xml:space="preserve"> </w:t>
      </w:r>
    </w:p>
    <w:p w14:paraId="3EAF3E73" w14:textId="6309202E" w:rsidR="00312DE2" w:rsidRPr="00CF336B" w:rsidRDefault="00312DE2" w:rsidP="004D4361">
      <w:pPr>
        <w:spacing w:line="360" w:lineRule="auto"/>
        <w:jc w:val="both"/>
        <w:rPr>
          <w:lang w:val="tr-TR"/>
        </w:rPr>
      </w:pPr>
      <w:r w:rsidRPr="00CF336B">
        <w:rPr>
          <w:lang w:val="tr-TR"/>
        </w:rPr>
        <w:t xml:space="preserve">2019 yılından itibaren ise, yukarıda belirtilen stratejik kapasite rezervi uygulamasının yürürlüğe girmesiyle, 2020 kışından başlamak suretiyle iki yıllık periyotlar için 2 </w:t>
      </w:r>
      <w:proofErr w:type="spellStart"/>
      <w:r w:rsidRPr="00CF336B">
        <w:rPr>
          <w:lang w:val="tr-TR"/>
        </w:rPr>
        <w:t>GW’lık</w:t>
      </w:r>
      <w:proofErr w:type="spellEnd"/>
      <w:r w:rsidRPr="00CF336B">
        <w:rPr>
          <w:lang w:val="tr-TR"/>
        </w:rPr>
        <w:t xml:space="preserve"> bir stratejik kapasite rezervi oluşturulması hedeflenmiştir. 2 </w:t>
      </w:r>
      <w:proofErr w:type="spellStart"/>
      <w:r w:rsidRPr="00CF336B">
        <w:rPr>
          <w:lang w:val="tr-TR"/>
        </w:rPr>
        <w:t>GW’lık</w:t>
      </w:r>
      <w:proofErr w:type="spellEnd"/>
      <w:r w:rsidRPr="00CF336B">
        <w:rPr>
          <w:lang w:val="tr-TR"/>
        </w:rPr>
        <w:t xml:space="preserve"> kapasiteler, Alman İletim Sistemi Operatörleri (TSO) tarafından dijital ihaleler vasıtasıyla dağıtılmaktadır</w:t>
      </w:r>
      <w:sdt>
        <w:sdtPr>
          <w:rPr>
            <w:lang w:val="tr-TR"/>
          </w:rPr>
          <w:id w:val="-1829971703"/>
          <w:citation/>
        </w:sdtPr>
        <w:sdtEndPr/>
        <w:sdtContent>
          <w:r w:rsidR="00227434">
            <w:rPr>
              <w:lang w:val="tr-TR"/>
            </w:rPr>
            <w:fldChar w:fldCharType="begin"/>
          </w:r>
          <w:r w:rsidR="00227434">
            <w:instrText xml:space="preserve"> CITATION Ges19 \l 1033 </w:instrText>
          </w:r>
          <w:r w:rsidR="00227434">
            <w:rPr>
              <w:lang w:val="tr-TR"/>
            </w:rPr>
            <w:fldChar w:fldCharType="separate"/>
          </w:r>
          <w:r w:rsidR="00D95FF7">
            <w:rPr>
              <w:noProof/>
            </w:rPr>
            <w:t xml:space="preserve"> (Gesetze im Internet, 2019)</w:t>
          </w:r>
          <w:r w:rsidR="00227434">
            <w:rPr>
              <w:lang w:val="tr-TR"/>
            </w:rPr>
            <w:fldChar w:fldCharType="end"/>
          </w:r>
        </w:sdtContent>
      </w:sdt>
      <w:r w:rsidRPr="00CF336B">
        <w:rPr>
          <w:lang w:val="tr-TR"/>
        </w:rPr>
        <w:t xml:space="preserve">. Bu bağlamda, </w:t>
      </w:r>
      <w:proofErr w:type="gramStart"/>
      <w:r w:rsidRPr="00CF336B">
        <w:rPr>
          <w:lang w:val="tr-TR"/>
        </w:rPr>
        <w:t>2020</w:t>
      </w:r>
      <w:r w:rsidR="007A338A">
        <w:rPr>
          <w:lang w:val="tr-TR"/>
        </w:rPr>
        <w:t xml:space="preserve"> </w:t>
      </w:r>
      <w:r w:rsidRPr="00CF336B">
        <w:rPr>
          <w:lang w:val="tr-TR"/>
        </w:rPr>
        <w:t>-</w:t>
      </w:r>
      <w:proofErr w:type="gramEnd"/>
      <w:r w:rsidR="007A338A">
        <w:rPr>
          <w:lang w:val="tr-TR"/>
        </w:rPr>
        <w:t xml:space="preserve"> </w:t>
      </w:r>
      <w:r w:rsidRPr="00CF336B">
        <w:rPr>
          <w:lang w:val="tr-TR"/>
        </w:rPr>
        <w:t xml:space="preserve">2022 dönemi oluşturulması planlanan 2 </w:t>
      </w:r>
      <w:proofErr w:type="spellStart"/>
      <w:r w:rsidRPr="00CF336B">
        <w:rPr>
          <w:lang w:val="tr-TR"/>
        </w:rPr>
        <w:t>GW’lık</w:t>
      </w:r>
      <w:proofErr w:type="spellEnd"/>
      <w:r w:rsidRPr="00CF336B">
        <w:rPr>
          <w:lang w:val="tr-TR"/>
        </w:rPr>
        <w:t xml:space="preserve"> stratejik kapasite rezervinin ihalesi ilk olarak 1 Aralık 2019 tarihinde yapılmıştır. Yapılan ihaleler sonucunda 2020-2022 dönemi için 1.056 MW, </w:t>
      </w:r>
      <w:proofErr w:type="gramStart"/>
      <w:r w:rsidRPr="00CF336B">
        <w:rPr>
          <w:lang w:val="tr-TR"/>
        </w:rPr>
        <w:t>2022</w:t>
      </w:r>
      <w:r w:rsidR="007A338A">
        <w:rPr>
          <w:lang w:val="tr-TR"/>
        </w:rPr>
        <w:t xml:space="preserve"> </w:t>
      </w:r>
      <w:r w:rsidRPr="00CF336B">
        <w:rPr>
          <w:lang w:val="tr-TR"/>
        </w:rPr>
        <w:t>-</w:t>
      </w:r>
      <w:proofErr w:type="gramEnd"/>
      <w:r w:rsidR="007A338A">
        <w:rPr>
          <w:lang w:val="tr-TR"/>
        </w:rPr>
        <w:t xml:space="preserve"> </w:t>
      </w:r>
      <w:r w:rsidRPr="00CF336B">
        <w:rPr>
          <w:lang w:val="tr-TR"/>
        </w:rPr>
        <w:t xml:space="preserve">2024 dönemi için doğal gaz kaynaklı 1.086 </w:t>
      </w:r>
      <w:proofErr w:type="spellStart"/>
      <w:r w:rsidRPr="00CF336B">
        <w:rPr>
          <w:lang w:val="tr-TR"/>
        </w:rPr>
        <w:t>MW’lık</w:t>
      </w:r>
      <w:proofErr w:type="spellEnd"/>
      <w:r w:rsidRPr="00CF336B">
        <w:rPr>
          <w:lang w:val="tr-TR"/>
        </w:rPr>
        <w:t xml:space="preserve"> stratejik rezerv oluşturulurken, 2024</w:t>
      </w:r>
      <w:r w:rsidR="007A338A">
        <w:rPr>
          <w:lang w:val="tr-TR"/>
        </w:rPr>
        <w:t xml:space="preserve"> </w:t>
      </w:r>
      <w:r w:rsidRPr="00CF336B">
        <w:rPr>
          <w:lang w:val="tr-TR"/>
        </w:rPr>
        <w:t>-</w:t>
      </w:r>
      <w:r w:rsidR="007A338A">
        <w:rPr>
          <w:lang w:val="tr-TR"/>
        </w:rPr>
        <w:t xml:space="preserve"> </w:t>
      </w:r>
      <w:r w:rsidRPr="00CF336B">
        <w:rPr>
          <w:lang w:val="tr-TR"/>
        </w:rPr>
        <w:t>2026 dönemi için 1 Eylül 2023 tarihinde başlatılan ve son teklif verme tarihi 1 Aralık 2023 olan ihale henüz sonuçlanmamıştır</w:t>
      </w:r>
      <w:r w:rsidR="006A352B">
        <w:rPr>
          <w:lang w:val="tr-TR"/>
        </w:rPr>
        <w:t xml:space="preserve"> </w:t>
      </w:r>
      <w:sdt>
        <w:sdtPr>
          <w:rPr>
            <w:lang w:val="tr-TR"/>
          </w:rPr>
          <w:id w:val="-264385195"/>
          <w:citation/>
        </w:sdtPr>
        <w:sdtEndPr/>
        <w:sdtContent>
          <w:r w:rsidR="006A352B">
            <w:rPr>
              <w:lang w:val="tr-TR"/>
            </w:rPr>
            <w:fldChar w:fldCharType="begin"/>
          </w:r>
          <w:r w:rsidR="00687B69">
            <w:instrText xml:space="preserve">CITATION Net23 \l 1033 </w:instrText>
          </w:r>
          <w:r w:rsidR="006A352B">
            <w:rPr>
              <w:lang w:val="tr-TR"/>
            </w:rPr>
            <w:fldChar w:fldCharType="separate"/>
          </w:r>
          <w:r w:rsidR="00D95FF7">
            <w:rPr>
              <w:noProof/>
            </w:rPr>
            <w:t>(Netztransparenz, 2023)</w:t>
          </w:r>
          <w:r w:rsidR="006A352B">
            <w:rPr>
              <w:lang w:val="tr-TR"/>
            </w:rPr>
            <w:fldChar w:fldCharType="end"/>
          </w:r>
        </w:sdtContent>
      </w:sdt>
      <w:r w:rsidR="00687B69">
        <w:rPr>
          <w:lang w:val="tr-TR"/>
        </w:rPr>
        <w:t xml:space="preserve">. </w:t>
      </w:r>
      <w:r w:rsidRPr="00CF336B">
        <w:rPr>
          <w:lang w:val="tr-TR"/>
        </w:rPr>
        <w:t xml:space="preserve">Bütçesel açıdan bakıldığında ise kapasitelerin ihale yolu ile dağıtılması sebebiyle stratejik rezerv için belirlenmiş sabit bir bütçe bulunmasa da ihale katılımcılarının verebileceği azami teklif yıllık 100,000 </w:t>
      </w:r>
      <w:proofErr w:type="gramStart"/>
      <w:r w:rsidRPr="00CF336B">
        <w:rPr>
          <w:lang w:val="tr-TR"/>
        </w:rPr>
        <w:t>Avro</w:t>
      </w:r>
      <w:proofErr w:type="gramEnd"/>
      <w:r w:rsidRPr="00CF336B">
        <w:rPr>
          <w:lang w:val="tr-TR"/>
        </w:rPr>
        <w:t xml:space="preserve">/MW olarak belirlenmiştir. İhaleler </w:t>
      </w:r>
      <w:proofErr w:type="gramStart"/>
      <w:r w:rsidRPr="00CF336B">
        <w:rPr>
          <w:lang w:val="tr-TR"/>
        </w:rPr>
        <w:t>2020</w:t>
      </w:r>
      <w:r w:rsidR="007A338A">
        <w:rPr>
          <w:lang w:val="tr-TR"/>
        </w:rPr>
        <w:t xml:space="preserve"> </w:t>
      </w:r>
      <w:r w:rsidRPr="00CF336B">
        <w:rPr>
          <w:lang w:val="tr-TR"/>
        </w:rPr>
        <w:t>-</w:t>
      </w:r>
      <w:proofErr w:type="gramEnd"/>
      <w:r w:rsidR="007A338A">
        <w:rPr>
          <w:lang w:val="tr-TR"/>
        </w:rPr>
        <w:t xml:space="preserve"> </w:t>
      </w:r>
      <w:r w:rsidRPr="00CF336B">
        <w:rPr>
          <w:lang w:val="tr-TR"/>
        </w:rPr>
        <w:t>2022 dönemi için yıllık 68.000 Avro/MW (yıllık 71,8 milyon Avro, dönemlik 143,6 milyon Avro), 2022</w:t>
      </w:r>
      <w:r w:rsidR="007A338A">
        <w:rPr>
          <w:lang w:val="tr-TR"/>
        </w:rPr>
        <w:t xml:space="preserve"> </w:t>
      </w:r>
      <w:r w:rsidRPr="00CF336B">
        <w:rPr>
          <w:lang w:val="tr-TR"/>
        </w:rPr>
        <w:t>-</w:t>
      </w:r>
      <w:r w:rsidR="007A338A">
        <w:rPr>
          <w:lang w:val="tr-TR"/>
        </w:rPr>
        <w:t xml:space="preserve"> </w:t>
      </w:r>
      <w:r w:rsidRPr="00CF336B">
        <w:rPr>
          <w:lang w:val="tr-TR"/>
        </w:rPr>
        <w:t xml:space="preserve">2024 dönemi için ise 62.940 Avro/MW (yıllık 68,3 milyon Avro, dönemlik 136,7 milyon Avro) ile sonuçlanmıştır </w:t>
      </w:r>
      <w:sdt>
        <w:sdtPr>
          <w:rPr>
            <w:lang w:val="tr-TR"/>
          </w:rPr>
          <w:id w:val="1524355135"/>
          <w:citation/>
        </w:sdtPr>
        <w:sdtEndPr/>
        <w:sdtContent>
          <w:r w:rsidR="00CA1005">
            <w:rPr>
              <w:lang w:val="tr-TR"/>
            </w:rPr>
            <w:fldChar w:fldCharType="begin"/>
          </w:r>
          <w:r w:rsidR="00CA1005">
            <w:instrText xml:space="preserve"> CITATION Net23 \l 1033 </w:instrText>
          </w:r>
          <w:r w:rsidR="00CA1005">
            <w:rPr>
              <w:lang w:val="tr-TR"/>
            </w:rPr>
            <w:fldChar w:fldCharType="separate"/>
          </w:r>
          <w:r w:rsidR="00D95FF7">
            <w:rPr>
              <w:noProof/>
            </w:rPr>
            <w:t>(Netztransparenz, 2023)</w:t>
          </w:r>
          <w:r w:rsidR="00CA1005">
            <w:rPr>
              <w:lang w:val="tr-TR"/>
            </w:rPr>
            <w:fldChar w:fldCharType="end"/>
          </w:r>
        </w:sdtContent>
      </w:sdt>
      <w:r w:rsidR="00CA1005">
        <w:rPr>
          <w:lang w:val="tr-TR"/>
        </w:rPr>
        <w:t>.</w:t>
      </w:r>
    </w:p>
    <w:p w14:paraId="63FB89EE" w14:textId="7D9814F7" w:rsidR="00312DE2" w:rsidRPr="00CF336B" w:rsidRDefault="00312DE2" w:rsidP="004D4361">
      <w:pPr>
        <w:spacing w:line="360" w:lineRule="auto"/>
        <w:jc w:val="both"/>
        <w:rPr>
          <w:lang w:val="tr-TR"/>
        </w:rPr>
      </w:pPr>
      <w:r w:rsidRPr="00CF336B">
        <w:rPr>
          <w:lang w:val="tr-TR"/>
        </w:rPr>
        <w:t>Mekanizma kapsamında yer alan kapasite sağlayıcılara yalnızca sistemde kalmalarını sağlamak adına ödeme yapılmakta ve “</w:t>
      </w:r>
      <w:proofErr w:type="spellStart"/>
      <w:r w:rsidRPr="00CF336B">
        <w:rPr>
          <w:lang w:val="tr-TR"/>
        </w:rPr>
        <w:t>energy-only</w:t>
      </w:r>
      <w:proofErr w:type="spellEnd"/>
      <w:r w:rsidRPr="00CF336B">
        <w:rPr>
          <w:lang w:val="tr-TR"/>
        </w:rPr>
        <w:t>” piyasaya erişimlerine izin verilmemektedir.  Bu durum termik santraller açısından uzun dönemli bir finansal teşvik yaratılmadığını göstermektedir. Santrallerin rezerv tutma süreci boyunca bazı yeterlilikleri karşılamaları gerekmektedir</w:t>
      </w:r>
      <w:r w:rsidR="00AC4126">
        <w:rPr>
          <w:lang w:val="tr-TR"/>
        </w:rPr>
        <w:t xml:space="preserve"> </w:t>
      </w:r>
      <w:sdt>
        <w:sdtPr>
          <w:rPr>
            <w:lang w:val="tr-TR"/>
          </w:rPr>
          <w:id w:val="1257940119"/>
          <w:citation/>
        </w:sdtPr>
        <w:sdtEndPr/>
        <w:sdtContent>
          <w:r w:rsidR="00AC4126">
            <w:rPr>
              <w:lang w:val="tr-TR"/>
            </w:rPr>
            <w:fldChar w:fldCharType="begin"/>
          </w:r>
          <w:r w:rsidR="00AC4126">
            <w:instrText xml:space="preserve"> CITATION Ges19 \l 1033 </w:instrText>
          </w:r>
          <w:r w:rsidR="00AC4126">
            <w:rPr>
              <w:lang w:val="tr-TR"/>
            </w:rPr>
            <w:fldChar w:fldCharType="separate"/>
          </w:r>
          <w:r w:rsidR="00D95FF7">
            <w:rPr>
              <w:noProof/>
            </w:rPr>
            <w:t>(Gesetze im Internet, 2019)</w:t>
          </w:r>
          <w:r w:rsidR="00AC4126">
            <w:rPr>
              <w:lang w:val="tr-TR"/>
            </w:rPr>
            <w:fldChar w:fldCharType="end"/>
          </w:r>
        </w:sdtContent>
      </w:sdt>
      <w:r w:rsidR="00AC4126">
        <w:rPr>
          <w:lang w:val="tr-TR"/>
        </w:rPr>
        <w:t>.</w:t>
      </w:r>
      <w:r w:rsidRPr="00CF336B">
        <w:rPr>
          <w:lang w:val="tr-TR"/>
        </w:rPr>
        <w:t xml:space="preserve"> Kapasite mekanizması için belirli bir süre veya bitiş tarihi belirlenmemiştir. Sistem operatörlerinin kaynak yeterlilikleri testlerinin gelecekte herhangi bir kapasite veya tedarik açığını sinyal etmemesi halinde uygulama yürü</w:t>
      </w:r>
      <w:r w:rsidR="00463548">
        <w:rPr>
          <w:lang w:val="tr-TR"/>
        </w:rPr>
        <w:t>r</w:t>
      </w:r>
      <w:r w:rsidRPr="00CF336B">
        <w:rPr>
          <w:lang w:val="tr-TR"/>
        </w:rPr>
        <w:t xml:space="preserve">lükten kaldırılacaktır. Oluşturulan kömür santrali kaynaklı yıllık kapasite rezervleri </w:t>
      </w:r>
      <w:r w:rsidR="005A23BE" w:rsidRPr="00CF336B">
        <w:rPr>
          <w:lang w:val="tr-TR"/>
        </w:rPr>
        <w:fldChar w:fldCharType="begin"/>
      </w:r>
      <w:r w:rsidR="005A23BE" w:rsidRPr="00CF336B">
        <w:rPr>
          <w:lang w:val="tr-TR"/>
        </w:rPr>
        <w:instrText xml:space="preserve"> REF _Ref147845695 \h </w:instrText>
      </w:r>
      <w:r w:rsidR="00413DBB" w:rsidRPr="00CF336B">
        <w:rPr>
          <w:lang w:val="tr-TR"/>
        </w:rPr>
        <w:instrText xml:space="preserve"> \* MERGEFORMAT </w:instrText>
      </w:r>
      <w:r w:rsidR="005A23BE" w:rsidRPr="00CF336B">
        <w:rPr>
          <w:lang w:val="tr-TR"/>
        </w:rPr>
      </w:r>
      <w:r w:rsidR="005A23BE" w:rsidRPr="00CF336B">
        <w:rPr>
          <w:lang w:val="tr-TR"/>
        </w:rPr>
        <w:fldChar w:fldCharType="separate"/>
      </w:r>
      <w:r w:rsidR="00CD4603" w:rsidRPr="00CF336B">
        <w:rPr>
          <w:lang w:val="tr-TR"/>
        </w:rPr>
        <w:t xml:space="preserve">Şekil </w:t>
      </w:r>
      <w:r w:rsidR="000408C7" w:rsidRPr="00CF336B">
        <w:rPr>
          <w:noProof/>
          <w:lang w:val="tr-TR"/>
        </w:rPr>
        <w:t>14</w:t>
      </w:r>
      <w:r w:rsidR="005A23BE" w:rsidRPr="00CF336B">
        <w:rPr>
          <w:lang w:val="tr-TR"/>
        </w:rPr>
        <w:fldChar w:fldCharType="end"/>
      </w:r>
      <w:r w:rsidRPr="00CF336B">
        <w:rPr>
          <w:lang w:val="tr-TR"/>
        </w:rPr>
        <w:fldChar w:fldCharType="begin"/>
      </w:r>
      <w:r w:rsidRPr="00CF336B">
        <w:rPr>
          <w:lang w:val="tr-TR"/>
        </w:rPr>
        <w:instrText xml:space="preserve"> REF _Ref147682196 \h  \* MERGEFORMAT </w:instrText>
      </w:r>
      <w:r w:rsidRPr="00CF336B">
        <w:rPr>
          <w:lang w:val="tr-TR"/>
        </w:rPr>
      </w:r>
      <w:r w:rsidRPr="00CF336B">
        <w:rPr>
          <w:lang w:val="tr-TR"/>
        </w:rPr>
        <w:fldChar w:fldCharType="end"/>
      </w:r>
      <w:r w:rsidRPr="00CF336B">
        <w:rPr>
          <w:lang w:val="tr-TR"/>
        </w:rPr>
        <w:t>’</w:t>
      </w:r>
      <w:r w:rsidR="008E561D" w:rsidRPr="00CF336B">
        <w:rPr>
          <w:lang w:val="tr-TR"/>
        </w:rPr>
        <w:t>t</w:t>
      </w:r>
      <w:r w:rsidR="00CD4603" w:rsidRPr="00CF336B">
        <w:rPr>
          <w:lang w:val="tr-TR"/>
        </w:rPr>
        <w:t>e</w:t>
      </w:r>
      <w:r w:rsidRPr="00CF336B">
        <w:rPr>
          <w:lang w:val="tr-TR"/>
        </w:rPr>
        <w:t xml:space="preserve"> gösterilmektedir</w:t>
      </w:r>
      <w:r w:rsidR="00AC4126">
        <w:rPr>
          <w:lang w:val="tr-TR"/>
        </w:rPr>
        <w:t xml:space="preserve"> </w:t>
      </w:r>
      <w:sdt>
        <w:sdtPr>
          <w:rPr>
            <w:lang w:val="tr-TR"/>
          </w:rPr>
          <w:id w:val="1353926462"/>
          <w:citation/>
        </w:sdtPr>
        <w:sdtEndPr/>
        <w:sdtContent>
          <w:r w:rsidR="00AC4126">
            <w:rPr>
              <w:lang w:val="tr-TR"/>
            </w:rPr>
            <w:fldChar w:fldCharType="begin"/>
          </w:r>
          <w:r w:rsidR="00AC4126">
            <w:instrText xml:space="preserve"> CITATION Bun21 \l 1033 </w:instrText>
          </w:r>
          <w:r w:rsidR="00AC4126">
            <w:rPr>
              <w:lang w:val="tr-TR"/>
            </w:rPr>
            <w:fldChar w:fldCharType="separate"/>
          </w:r>
          <w:r w:rsidR="00D95FF7">
            <w:rPr>
              <w:noProof/>
            </w:rPr>
            <w:t>(Bundesnetzagentur, 2021)</w:t>
          </w:r>
          <w:r w:rsidR="00AC4126">
            <w:rPr>
              <w:lang w:val="tr-TR"/>
            </w:rPr>
            <w:fldChar w:fldCharType="end"/>
          </w:r>
        </w:sdtContent>
      </w:sdt>
      <w:r w:rsidR="00AC4126">
        <w:rPr>
          <w:lang w:val="tr-TR"/>
        </w:rPr>
        <w:t>.</w:t>
      </w:r>
    </w:p>
    <w:p w14:paraId="43E76C97" w14:textId="77777777" w:rsidR="00312DE2" w:rsidRPr="00CF336B" w:rsidRDefault="00312DE2" w:rsidP="004D4361">
      <w:pPr>
        <w:keepNext/>
        <w:spacing w:line="360" w:lineRule="auto"/>
        <w:jc w:val="both"/>
        <w:rPr>
          <w:lang w:val="tr-TR"/>
        </w:rPr>
      </w:pPr>
      <w:r w:rsidRPr="00CF336B">
        <w:rPr>
          <w:noProof/>
          <w:lang w:val="tr-TR"/>
        </w:rPr>
        <mc:AlternateContent>
          <mc:Choice Requires="wps">
            <w:drawing>
              <wp:anchor distT="45720" distB="45720" distL="114300" distR="114300" simplePos="0" relativeHeight="251658247" behindDoc="0" locked="0" layoutInCell="1" allowOverlap="1" wp14:anchorId="370E2578" wp14:editId="5FB79D22">
                <wp:simplePos x="0" y="0"/>
                <wp:positionH relativeFrom="column">
                  <wp:posOffset>5510254</wp:posOffset>
                </wp:positionH>
                <wp:positionV relativeFrom="paragraph">
                  <wp:posOffset>349858</wp:posOffset>
                </wp:positionV>
                <wp:extent cx="1296062" cy="1558456"/>
                <wp:effectExtent l="0" t="0" r="18415" b="2286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2" cy="1558456"/>
                        </a:xfrm>
                        <a:prstGeom prst="rect">
                          <a:avLst/>
                        </a:prstGeom>
                        <a:solidFill>
                          <a:srgbClr val="FFFFFF"/>
                        </a:solidFill>
                        <a:ln w="9525">
                          <a:solidFill>
                            <a:srgbClr val="000000"/>
                          </a:solidFill>
                          <a:miter lim="800000"/>
                          <a:headEnd/>
                          <a:tailEnd/>
                        </a:ln>
                      </wps:spPr>
                      <wps:txbx>
                        <w:txbxContent>
                          <w:p w14:paraId="61E0B05F" w14:textId="41B906C2" w:rsidR="00312DE2" w:rsidRDefault="00312DE2" w:rsidP="00312DE2">
                            <w:pPr>
                              <w:jc w:val="both"/>
                            </w:pPr>
                            <w:r>
                              <w:t xml:space="preserve">Kapanma Tarihi 1 Ekim </w:t>
                            </w:r>
                            <w:r w:rsidR="00B41370">
                              <w:t>2022 olarak belirlenen</w:t>
                            </w:r>
                            <w:r w:rsidR="00763D45">
                              <w:t xml:space="preserve"> </w:t>
                            </w:r>
                            <w:r>
                              <w:t xml:space="preserve">5 adet linyit santralinin </w:t>
                            </w:r>
                            <w:r w:rsidR="00DB6546">
                              <w:t xml:space="preserve">kapasite rezervi uygulaması </w:t>
                            </w:r>
                            <w:r>
                              <w:t xml:space="preserve">31 Mart 2024 tarihine kadar </w:t>
                            </w:r>
                            <w:r w:rsidR="00DB6546">
                              <w:t>uzaltılmıştır.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2578" id="Text Box 217" o:spid="_x0000_s1028" type="#_x0000_t202" style="position:absolute;left:0;text-align:left;margin-left:433.9pt;margin-top:27.55pt;width:102.05pt;height:122.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">
                <v:textbox>
                  <w:txbxContent>
                    <w:p w14:paraId="61E0B05F" w14:textId="41B906C2" w:rsidR="00312DE2" w:rsidRDefault="00312DE2" w:rsidP="00312DE2">
                      <w:pPr>
                        <w:jc w:val="both"/>
                      </w:pPr>
                      <w:r>
                        <w:t xml:space="preserve">Kapanma Tarihi 1 Ekim </w:t>
                      </w:r>
                      <w:r w:rsidR="00B41370">
                        <w:t>2022 olarak belirlenen</w:t>
                      </w:r>
                      <w:r w:rsidR="00763D45">
                        <w:t xml:space="preserve"> </w:t>
                      </w:r>
                      <w:r>
                        <w:t xml:space="preserve">5 adet linyit santralinin </w:t>
                      </w:r>
                      <w:r w:rsidR="00DB6546">
                        <w:t xml:space="preserve">kapasite rezervi uygulaması </w:t>
                      </w:r>
                      <w:r>
                        <w:t xml:space="preserve">31 Mart 2024 tarihine kadar </w:t>
                      </w:r>
                      <w:r w:rsidR="00DB6546">
                        <w:t>uzaltılmıştır.</w:t>
                      </w:r>
                    </w:p>
                  </w:txbxContent>
                </v:textbox>
              </v:shape>
            </w:pict>
          </mc:Fallback>
        </mc:AlternateContent>
      </w:r>
      <w:r w:rsidRPr="00CF336B">
        <w:rPr>
          <w:noProof/>
          <w:lang w:val="tr-TR"/>
        </w:rPr>
        <mc:AlternateContent>
          <mc:Choice Requires="wps">
            <w:drawing>
              <wp:anchor distT="0" distB="0" distL="114300" distR="114300" simplePos="0" relativeHeight="251658248" behindDoc="0" locked="0" layoutInCell="1" allowOverlap="1" wp14:anchorId="4D1BFBDC" wp14:editId="459A12E5">
                <wp:simplePos x="0" y="0"/>
                <wp:positionH relativeFrom="column">
                  <wp:posOffset>5350179</wp:posOffset>
                </wp:positionH>
                <wp:positionV relativeFrom="paragraph">
                  <wp:posOffset>1524635</wp:posOffset>
                </wp:positionV>
                <wp:extent cx="159026" cy="0"/>
                <wp:effectExtent l="0" t="76200" r="12700" b="95250"/>
                <wp:wrapNone/>
                <wp:docPr id="160329608" name="Straight Arrow Connector 160329608"/>
                <wp:cNvGraphicFramePr/>
                <a:graphic xmlns:a="http://schemas.openxmlformats.org/drawingml/2006/main">
                  <a:graphicData uri="http://schemas.microsoft.com/office/word/2010/wordprocessingShape">
                    <wps:wsp>
                      <wps:cNvCnPr/>
                      <wps:spPr>
                        <a:xfrm>
                          <a:off x="0" y="0"/>
                          <a:ext cx="15902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DB7EBF" id="_x0000_t32" coordsize="21600,21600" o:spt="32" o:oned="t" path="m,l21600,21600e" filled="f">
                <v:path arrowok="t" fillok="f" o:connecttype="none"/>
                <o:lock v:ext="edit" shapetype="t"/>
              </v:shapetype>
              <v:shape id="Straight Arrow Connector 160329608" o:spid="_x0000_s1026" type="#_x0000_t32" style="position:absolute;margin-left:421.25pt;margin-top:120.05pt;width:12.5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" strokecolor="black [3213]" strokeweight=".5pt">
                <v:stroke endarrow="block" joinstyle="miter"/>
              </v:shape>
            </w:pict>
          </mc:Fallback>
        </mc:AlternateContent>
      </w:r>
      <w:r w:rsidRPr="00CF336B">
        <w:rPr>
          <w:noProof/>
          <w:lang w:val="tr-TR"/>
        </w:rPr>
        <w:drawing>
          <wp:inline distT="0" distB="0" distL="0" distR="0" wp14:anchorId="42D3AB37" wp14:editId="41A260E2">
            <wp:extent cx="5580000" cy="3240000"/>
            <wp:effectExtent l="0" t="0" r="1905" b="0"/>
            <wp:docPr id="1205183224" name="Chart 1205183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3DC3BC" w14:textId="57B6030D" w:rsidR="00312DE2" w:rsidRPr="00CF336B" w:rsidRDefault="00312DE2" w:rsidP="004D4361">
      <w:pPr>
        <w:pStyle w:val="Caption"/>
        <w:spacing w:line="360" w:lineRule="auto"/>
        <w:jc w:val="center"/>
        <w:rPr>
          <w:noProof/>
          <w:color w:val="auto"/>
          <w:sz w:val="22"/>
          <w:szCs w:val="22"/>
          <w:lang w:val="tr-TR"/>
        </w:rPr>
      </w:pPr>
      <w:bookmarkStart w:id="54" w:name="_Ref147845695"/>
      <w:bookmarkStart w:id="55" w:name="_Toc156210468"/>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14</w:t>
      </w:r>
      <w:r w:rsidRPr="00CF336B">
        <w:rPr>
          <w:color w:val="auto"/>
          <w:sz w:val="22"/>
          <w:szCs w:val="22"/>
          <w:lang w:val="tr-TR"/>
        </w:rPr>
        <w:fldChar w:fldCharType="end"/>
      </w:r>
      <w:bookmarkEnd w:id="54"/>
      <w:r w:rsidRPr="00CF336B">
        <w:rPr>
          <w:color w:val="auto"/>
          <w:sz w:val="22"/>
          <w:szCs w:val="22"/>
          <w:lang w:val="tr-TR"/>
        </w:rPr>
        <w:t>. Almanya Yıllık Kapasite Rezervi</w:t>
      </w:r>
      <w:bookmarkEnd w:id="55"/>
    </w:p>
    <w:p w14:paraId="7C8AC5D4" w14:textId="3D417094" w:rsidR="00312DE2" w:rsidRPr="00CF336B" w:rsidRDefault="00312DE2" w:rsidP="004D4361">
      <w:pPr>
        <w:spacing w:line="360" w:lineRule="auto"/>
        <w:jc w:val="both"/>
        <w:rPr>
          <w:noProof/>
          <w:lang w:val="tr-TR"/>
        </w:rPr>
      </w:pPr>
      <w:r w:rsidRPr="00CF336B">
        <w:rPr>
          <w:noProof/>
          <w:lang w:val="tr-TR"/>
        </w:rPr>
        <w:t xml:space="preserve">2016 yılında toplam 352 MW, 2017 yılında toplam 915 MW (563 MW’lık yeni kapasite), 2018 yılında toplam 1.974 MW (1.059 MW’lık yeni kapasite) 2019 yılında ise 757 MW’lık linyit kapasitesinin hazırda bekler konuma geçmesi ile toplam 2.731 MW’lık kapasite rezervi oluşturulmuştur. 2020 yılından itibaren kapasite ihalesi sonuçlanan stratejik kapasite rezervlerinin de sisteme girmesi ile toplam kapasite de artış yaşanmıştır. 2016 yılında hazırda bekler konumuna geçen 352 MW kapasiteli </w:t>
      </w:r>
      <w:proofErr w:type="spellStart"/>
      <w:r w:rsidRPr="00CF336B">
        <w:rPr>
          <w:lang w:val="tr-TR"/>
        </w:rPr>
        <w:t>Buschhaus</w:t>
      </w:r>
      <w:proofErr w:type="spellEnd"/>
      <w:r w:rsidRPr="00CF336B">
        <w:rPr>
          <w:lang w:val="tr-TR"/>
        </w:rPr>
        <w:t xml:space="preserve"> D linyit santralinin </w:t>
      </w:r>
      <w:r w:rsidRPr="00CF336B">
        <w:rPr>
          <w:noProof/>
          <w:lang w:val="tr-TR"/>
        </w:rPr>
        <w:t xml:space="preserve">Ekim 2020 itibarıyla dört yıllık periyodunu da doldurması ve tamamen devreden çıkması sebebiyle 2021 yılında, ihaleler vasıtasıyla oluşturulan yıllık 1.086 MW’lık stratejik kapasite rezervine rağmen toplam kapasite rezervinde düşüş yaşanmıştır. Ekim 2022 itibarıyla devreden çıkması planlanan Niederaußem F, Niederaußem E, Jänschwalde F ile Ekim 2023  itibarıyla devreden çıkması planlanan Jänschwalde E,  Neurath C ‘nin doğal gaz kullanımını azaltmak ve arz güvenliğinin sağlanması amacıyla 31 Mart 2024 tarihine kadar rezerv tutmalarına devam etmesine karar verilmesi ile 2022 yılında oluşturulan yaklaşık 2,9 GW’lık kapasite (ihaleler ile beraber) Mart 2024 tarihine kadar korunmuştur. </w:t>
      </w:r>
    </w:p>
    <w:p w14:paraId="72D4619B" w14:textId="4B3C8861" w:rsidR="00312DE2" w:rsidRPr="00CF336B" w:rsidRDefault="00312DE2" w:rsidP="004D4361">
      <w:pPr>
        <w:spacing w:line="360" w:lineRule="auto"/>
        <w:jc w:val="both"/>
        <w:rPr>
          <w:lang w:val="tr-TR"/>
        </w:rPr>
      </w:pPr>
      <w:r w:rsidRPr="00CF336B">
        <w:rPr>
          <w:lang w:val="tr-TR"/>
        </w:rPr>
        <w:t xml:space="preserve">Almanya, 2023 yılı Eylül ayı itibarıyla 18.127 </w:t>
      </w:r>
      <w:proofErr w:type="spellStart"/>
      <w:r w:rsidRPr="00CF336B">
        <w:rPr>
          <w:lang w:val="tr-TR"/>
        </w:rPr>
        <w:t>MW’ı</w:t>
      </w:r>
      <w:proofErr w:type="spellEnd"/>
      <w:r w:rsidRPr="00CF336B">
        <w:rPr>
          <w:lang w:val="tr-TR"/>
        </w:rPr>
        <w:t xml:space="preserve"> taş kömürü, 17.692 </w:t>
      </w:r>
      <w:proofErr w:type="spellStart"/>
      <w:r w:rsidRPr="00CF336B">
        <w:rPr>
          <w:lang w:val="tr-TR"/>
        </w:rPr>
        <w:t>MW’ı</w:t>
      </w:r>
      <w:proofErr w:type="spellEnd"/>
      <w:r w:rsidRPr="00CF336B">
        <w:rPr>
          <w:lang w:val="tr-TR"/>
        </w:rPr>
        <w:t xml:space="preserve"> linyit kömürü olmak üzere toplamda 35.819 MW ile Avrupa’daki en yüksek kömür kurulu gücüne sahip ülke konumundadır</w:t>
      </w:r>
      <w:r w:rsidR="00BB23CA">
        <w:rPr>
          <w:lang w:val="tr-TR"/>
        </w:rPr>
        <w:t xml:space="preserve"> </w:t>
      </w:r>
      <w:sdt>
        <w:sdtPr>
          <w:rPr>
            <w:lang w:val="tr-TR"/>
          </w:rPr>
          <w:id w:val="1810125923"/>
          <w:citation/>
        </w:sdtPr>
        <w:sdtEndPr/>
        <w:sdtContent>
          <w:r w:rsidR="003721D3">
            <w:rPr>
              <w:lang w:val="tr-TR"/>
            </w:rPr>
            <w:fldChar w:fldCharType="begin"/>
          </w:r>
          <w:r w:rsidR="003721D3">
            <w:instrText xml:space="preserve"> CITATION Bun23 \l 1033 </w:instrText>
          </w:r>
          <w:r w:rsidR="003721D3">
            <w:rPr>
              <w:lang w:val="tr-TR"/>
            </w:rPr>
            <w:fldChar w:fldCharType="separate"/>
          </w:r>
          <w:r w:rsidR="00D95FF7">
            <w:rPr>
              <w:noProof/>
            </w:rPr>
            <w:t>(Bundesnetzagentur, 2023)</w:t>
          </w:r>
          <w:r w:rsidR="003721D3">
            <w:rPr>
              <w:lang w:val="tr-TR"/>
            </w:rPr>
            <w:fldChar w:fldCharType="end"/>
          </w:r>
        </w:sdtContent>
      </w:sdt>
      <w:r w:rsidR="003721D3">
        <w:rPr>
          <w:lang w:val="tr-TR"/>
        </w:rPr>
        <w:t xml:space="preserve">. </w:t>
      </w:r>
      <w:r w:rsidRPr="00CF336B">
        <w:rPr>
          <w:lang w:val="tr-TR"/>
        </w:rPr>
        <w:t>Kömürün toplam elektrik üretimdeki payına bakıldığında ise 2013 yılından bu yana küçük azalışlar gösteren kömür payının 2019 yılında büyük bir azalış göstermesinin sebebi yukarıda belirtilen linyit santrallerinin bekleme pozisyonuna geçerek, acil durum ve talimatlar dışında elektrik üretimi yapmamasıdır. Ayrıca artan kömür santralleri denetimleri, daha az sayıda kömür santralinin işletmeye uygun bulunmasını sağlamıştır ve kömürden elektrik üretimini düşürmüştür. 2020 yılına gelindiğinde pandeminin etkisiyle elektrik üretimi, tüketimi düşmüş yenilenebilir enerji alım garantilerindeki artış ile yenilenebilir enerji kaynaklı üretim artmıştır. Buna ek olarak iki adet linyit santralinin bekleme konumuna geçmesi de kömürden elektrik üretiminin düşmesinde etkili olmuştur. 2021 yılında pandemi sonrasında bir endüstriyel toparlanma olsa da toplam elektrik üretimi 2019 seviyesinin altındadır. 2021 yılında ise, 3 Haziran 2020 tarihinde yürürlüğe giren KVBG (Kömür Kaynaklı Elektrik Üretimini Azaltma ve Sona Erdirme Yasası)</w:t>
      </w:r>
      <w:sdt>
        <w:sdtPr>
          <w:rPr>
            <w:lang w:val="tr-TR"/>
          </w:rPr>
          <w:id w:val="-1510605082"/>
          <w:citation/>
        </w:sdtPr>
        <w:sdtEndPr/>
        <w:sdtContent>
          <w:r w:rsidR="00CB308D">
            <w:rPr>
              <w:lang w:val="tr-TR"/>
            </w:rPr>
            <w:fldChar w:fldCharType="begin"/>
          </w:r>
          <w:r w:rsidR="00CB308D">
            <w:instrText xml:space="preserve"> CITATION Deu20 \l 1033 </w:instrText>
          </w:r>
          <w:r w:rsidR="00CB308D">
            <w:rPr>
              <w:lang w:val="tr-TR"/>
            </w:rPr>
            <w:fldChar w:fldCharType="separate"/>
          </w:r>
          <w:r w:rsidR="00D95FF7">
            <w:rPr>
              <w:noProof/>
            </w:rPr>
            <w:t xml:space="preserve"> (Deutscher Bundestag, 2020)</w:t>
          </w:r>
          <w:r w:rsidR="00CB308D">
            <w:rPr>
              <w:lang w:val="tr-TR"/>
            </w:rPr>
            <w:fldChar w:fldCharType="end"/>
          </w:r>
        </w:sdtContent>
      </w:sdt>
      <w:r w:rsidRPr="00CF336B">
        <w:rPr>
          <w:lang w:val="tr-TR"/>
        </w:rPr>
        <w:t xml:space="preserve"> kapsamında yapılan santral kapama ihalelerinin devreye girmesine ve CO</w:t>
      </w:r>
      <w:r w:rsidRPr="00CF336B">
        <w:rPr>
          <w:vertAlign w:val="subscript"/>
          <w:lang w:val="tr-TR"/>
        </w:rPr>
        <w:t xml:space="preserve">2 </w:t>
      </w:r>
      <w:r w:rsidRPr="00CF336B">
        <w:rPr>
          <w:lang w:val="tr-TR"/>
        </w:rPr>
        <w:t xml:space="preserve">sertifikası fiyatlarındaki artışa rağmen kömür kaynaklı üretimde bir artış yaşanmıştır. Kömür santralleri, düşük </w:t>
      </w:r>
      <w:r w:rsidR="001D0C6E" w:rsidRPr="00CF336B">
        <w:rPr>
          <w:lang w:val="tr-TR"/>
        </w:rPr>
        <w:t>rüzgâr</w:t>
      </w:r>
      <w:r w:rsidRPr="00CF336B">
        <w:rPr>
          <w:lang w:val="tr-TR"/>
        </w:rPr>
        <w:t xml:space="preserve"> üretimi ve doğal gaz fiyatlarındaki artıştan dolayı doğal gaz kaynaklı elektrik üretimindeki azalışı dengelemek için daha fazla elektrik üretmiş ve toplam üretimdeki payını artırmıştır. 2022 yılında ise Rusya’nın Ukrayna’yı işgali ile rekor fiyatlara ulaşan doğal gaz fiyatları, doğal gaz kaynaklı üretimin azalmasına ve kömür santrallerinin enerji arzı güvenliğini sağlamak için daha fazla çalışmasına sebep olmuştur. 2011 yılından itibaren Almanya’daki toplam elektrik üretimi, toplam kömür kaynaklı elektrik üretimi ve kömür kaynaklı elektrik üretiminin toplam elektrik üretimi içerisindeki payı </w:t>
      </w:r>
      <w:r w:rsidR="00B429BB" w:rsidRPr="00CF336B">
        <w:rPr>
          <w:lang w:val="tr-TR"/>
        </w:rPr>
        <w:fldChar w:fldCharType="begin"/>
      </w:r>
      <w:r w:rsidR="00B429BB" w:rsidRPr="00CF336B">
        <w:rPr>
          <w:lang w:val="tr-TR"/>
        </w:rPr>
        <w:instrText xml:space="preserve"> REF _Ref147845725 \h </w:instrText>
      </w:r>
      <w:r w:rsidR="00413DBB" w:rsidRPr="00CF336B">
        <w:rPr>
          <w:lang w:val="tr-TR"/>
        </w:rPr>
        <w:instrText xml:space="preserve"> \* MERGEFORMAT </w:instrText>
      </w:r>
      <w:r w:rsidR="00B429BB" w:rsidRPr="00CF336B">
        <w:rPr>
          <w:lang w:val="tr-TR"/>
        </w:rPr>
      </w:r>
      <w:r w:rsidR="00B429BB" w:rsidRPr="00CF336B">
        <w:rPr>
          <w:lang w:val="tr-TR"/>
        </w:rPr>
        <w:fldChar w:fldCharType="separate"/>
      </w:r>
      <w:r w:rsidR="00CD4603" w:rsidRPr="00CF336B">
        <w:rPr>
          <w:lang w:val="tr-TR"/>
        </w:rPr>
        <w:t xml:space="preserve">Şekil </w:t>
      </w:r>
      <w:r w:rsidR="000408C7" w:rsidRPr="00CF336B">
        <w:rPr>
          <w:noProof/>
          <w:lang w:val="tr-TR"/>
        </w:rPr>
        <w:t>15</w:t>
      </w:r>
      <w:r w:rsidR="00B429BB" w:rsidRPr="00CF336B">
        <w:rPr>
          <w:lang w:val="tr-TR"/>
        </w:rPr>
        <w:fldChar w:fldCharType="end"/>
      </w:r>
      <w:r w:rsidRPr="00CF336B">
        <w:rPr>
          <w:lang w:val="tr-TR"/>
        </w:rPr>
        <w:fldChar w:fldCharType="begin"/>
      </w:r>
      <w:r w:rsidRPr="00CF336B">
        <w:rPr>
          <w:lang w:val="tr-TR"/>
        </w:rPr>
        <w:instrText xml:space="preserve"> REF _Ref147756380 \h </w:instrText>
      </w:r>
      <w:r w:rsidR="00413DBB" w:rsidRPr="00CF336B">
        <w:rPr>
          <w:lang w:val="tr-TR"/>
        </w:rPr>
        <w:instrText xml:space="preserve"> \* MERGEFORMAT </w:instrText>
      </w:r>
      <w:r w:rsidRPr="00CF336B">
        <w:rPr>
          <w:lang w:val="tr-TR"/>
        </w:rPr>
      </w:r>
      <w:r w:rsidRPr="00CF336B">
        <w:rPr>
          <w:lang w:val="tr-TR"/>
        </w:rPr>
        <w:fldChar w:fldCharType="end"/>
      </w:r>
      <w:r w:rsidRPr="00CF336B">
        <w:rPr>
          <w:lang w:val="tr-TR"/>
        </w:rPr>
        <w:t>’</w:t>
      </w:r>
      <w:r w:rsidR="00CD4603" w:rsidRPr="00CF336B">
        <w:rPr>
          <w:lang w:val="tr-TR"/>
        </w:rPr>
        <w:t>te</w:t>
      </w:r>
      <w:r w:rsidRPr="00CF336B">
        <w:rPr>
          <w:lang w:val="tr-TR"/>
        </w:rPr>
        <w:t xml:space="preserve"> belirtilmiştir </w:t>
      </w:r>
      <w:sdt>
        <w:sdtPr>
          <w:rPr>
            <w:lang w:val="tr-TR"/>
          </w:rPr>
          <w:id w:val="140165120"/>
          <w:citation/>
        </w:sdtPr>
        <w:sdtEndPr/>
        <w:sdtContent>
          <w:r w:rsidR="00B25AEA">
            <w:rPr>
              <w:lang w:val="tr-TR"/>
            </w:rPr>
            <w:fldChar w:fldCharType="begin"/>
          </w:r>
          <w:r w:rsidR="00B25AEA">
            <w:instrText xml:space="preserve"> CITATION Bun23 \l 1033 </w:instrText>
          </w:r>
          <w:r w:rsidR="00B25AEA">
            <w:rPr>
              <w:lang w:val="tr-TR"/>
            </w:rPr>
            <w:fldChar w:fldCharType="separate"/>
          </w:r>
          <w:r w:rsidR="00D95FF7">
            <w:rPr>
              <w:noProof/>
            </w:rPr>
            <w:t>(Bundesnetzagentur, 2023)</w:t>
          </w:r>
          <w:r w:rsidR="00B25AEA">
            <w:rPr>
              <w:lang w:val="tr-TR"/>
            </w:rPr>
            <w:fldChar w:fldCharType="end"/>
          </w:r>
        </w:sdtContent>
      </w:sdt>
      <w:r w:rsidR="00B25AEA">
        <w:rPr>
          <w:lang w:val="tr-TR"/>
        </w:rPr>
        <w:t>.</w:t>
      </w:r>
    </w:p>
    <w:p w14:paraId="58B1606F" w14:textId="77777777" w:rsidR="00312DE2" w:rsidRPr="00CF336B" w:rsidRDefault="00312DE2" w:rsidP="004D4361">
      <w:pPr>
        <w:keepNext/>
        <w:spacing w:line="360" w:lineRule="auto"/>
        <w:jc w:val="both"/>
        <w:rPr>
          <w:lang w:val="tr-TR"/>
        </w:rPr>
      </w:pPr>
      <w:r w:rsidRPr="00CF336B">
        <w:rPr>
          <w:noProof/>
          <w:shd w:val="clear" w:color="auto" w:fill="000000" w:themeFill="text1"/>
          <w:lang w:val="tr-TR"/>
        </w:rPr>
        <w:drawing>
          <wp:inline distT="0" distB="0" distL="0" distR="0" wp14:anchorId="65A4687A" wp14:editId="7156680A">
            <wp:extent cx="5486400" cy="3200400"/>
            <wp:effectExtent l="0" t="0" r="0" b="0"/>
            <wp:docPr id="1963941523" name="Chart 1963941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CD562C" w14:textId="367622EE" w:rsidR="00312DE2" w:rsidRPr="00CF336B" w:rsidRDefault="00312DE2" w:rsidP="004D4361">
      <w:pPr>
        <w:pStyle w:val="Caption"/>
        <w:spacing w:line="360" w:lineRule="auto"/>
        <w:jc w:val="center"/>
        <w:rPr>
          <w:color w:val="auto"/>
          <w:sz w:val="22"/>
          <w:szCs w:val="22"/>
          <w:lang w:val="tr-TR"/>
        </w:rPr>
      </w:pPr>
      <w:bookmarkStart w:id="56" w:name="_Ref147845725"/>
      <w:bookmarkStart w:id="57" w:name="_Toc156210469"/>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15</w:t>
      </w:r>
      <w:r w:rsidRPr="00CF336B">
        <w:rPr>
          <w:color w:val="auto"/>
          <w:sz w:val="22"/>
          <w:szCs w:val="22"/>
          <w:lang w:val="tr-TR"/>
        </w:rPr>
        <w:fldChar w:fldCharType="end"/>
      </w:r>
      <w:bookmarkEnd w:id="56"/>
      <w:r w:rsidRPr="00CF336B">
        <w:rPr>
          <w:color w:val="auto"/>
          <w:sz w:val="22"/>
          <w:szCs w:val="22"/>
          <w:lang w:val="tr-TR"/>
        </w:rPr>
        <w:t xml:space="preserve">. </w:t>
      </w:r>
      <w:r w:rsidR="006A3750" w:rsidRPr="00CF336B">
        <w:rPr>
          <w:color w:val="auto"/>
          <w:sz w:val="22"/>
          <w:szCs w:val="22"/>
          <w:lang w:val="tr-TR"/>
        </w:rPr>
        <w:t xml:space="preserve">Almanya </w:t>
      </w:r>
      <w:r w:rsidRPr="00CF336B">
        <w:rPr>
          <w:color w:val="auto"/>
          <w:sz w:val="22"/>
          <w:szCs w:val="22"/>
          <w:lang w:val="tr-TR"/>
        </w:rPr>
        <w:t>Kömür Kaynaklı Elektrik Üretimi ve Toplam Üretimdeki Payı</w:t>
      </w:r>
      <w:bookmarkEnd w:id="57"/>
    </w:p>
    <w:p w14:paraId="0B6F9347" w14:textId="16474ADB" w:rsidR="00312DE2" w:rsidRPr="00CF336B" w:rsidRDefault="00312DE2" w:rsidP="004D4361">
      <w:pPr>
        <w:spacing w:line="360" w:lineRule="auto"/>
        <w:jc w:val="both"/>
        <w:rPr>
          <w:lang w:val="tr-TR"/>
        </w:rPr>
      </w:pPr>
      <w:r w:rsidRPr="00CF336B">
        <w:rPr>
          <w:lang w:val="tr-TR"/>
        </w:rPr>
        <w:t xml:space="preserve">Almanya’daki karbon emisyonları, kömür kaynaklı elektrik üretimine paralel bir profil çizmektedir. Yukarıda belirtilen sebepler sonucunda artan kömür kaynaklı elektrik üretiminde yaşanan artış ve azalış yıllık karbon emisyonlarına da aynı şekilde yansımıştır. 2018 yılından 2019 yılına geçişte kömür kaynaklı elektrik üretiminde yaşanan </w:t>
      </w:r>
      <w:proofErr w:type="gramStart"/>
      <w:r w:rsidRPr="00CF336B">
        <w:rPr>
          <w:lang w:val="tr-TR"/>
        </w:rPr>
        <w:t>%9</w:t>
      </w:r>
      <w:proofErr w:type="gramEnd"/>
      <w:r w:rsidRPr="00CF336B">
        <w:rPr>
          <w:lang w:val="tr-TR"/>
        </w:rPr>
        <w:t>’luk düşüş; kömür kaynaklı karbon emisyonlarında %7’lik, elektrik sektörü karbon emisyonunda %5’lik ve ülkenin toplam karbon emisyonunda ise %6’lık (47 mtCO</w:t>
      </w:r>
      <w:r w:rsidRPr="00CF336B">
        <w:rPr>
          <w:vertAlign w:val="subscript"/>
          <w:lang w:val="tr-TR"/>
        </w:rPr>
        <w:t>2</w:t>
      </w:r>
      <w:r w:rsidRPr="00CF336B">
        <w:rPr>
          <w:lang w:val="tr-TR"/>
        </w:rPr>
        <w:t xml:space="preserve">) bir azalışa sebep olmuştur. 2020 yılından 2021 yılına geçişte ise kömür kaynaklı elektrik üretimindeki </w:t>
      </w:r>
      <w:proofErr w:type="gramStart"/>
      <w:r w:rsidRPr="00CF336B">
        <w:rPr>
          <w:lang w:val="tr-TR"/>
        </w:rPr>
        <w:t>%5</w:t>
      </w:r>
      <w:proofErr w:type="gramEnd"/>
      <w:r w:rsidRPr="00CF336B">
        <w:rPr>
          <w:lang w:val="tr-TR"/>
        </w:rPr>
        <w:t>’lik artış, kömür kaynaklı karbon emisyonlarında %4’lük, elektrik sektörü kaynaklı karbon emisyonlarında %3’lük, toplam karbon emisyonunda ise %6’lık (36 mtCO</w:t>
      </w:r>
      <w:r w:rsidRPr="00CF336B">
        <w:rPr>
          <w:vertAlign w:val="subscript"/>
          <w:lang w:val="tr-TR"/>
        </w:rPr>
        <w:t>2</w:t>
      </w:r>
      <w:r w:rsidRPr="00CF336B">
        <w:rPr>
          <w:lang w:val="tr-TR"/>
        </w:rPr>
        <w:t>) bir artışa sebep olmuştur. 2015 yılından itibaren Almanya’nın toplam emisyonu, toplam elektrik sektörü kaynaklı emisyon ve bu emisyon içerisindeki kömür kaynaklı elektrik üretiminin emisyonu</w:t>
      </w:r>
      <w:r w:rsidR="00B429BB" w:rsidRPr="00CF336B">
        <w:rPr>
          <w:lang w:val="tr-TR"/>
        </w:rPr>
        <w:t xml:space="preserve"> </w:t>
      </w:r>
      <w:r w:rsidR="00B429BB" w:rsidRPr="00CF336B">
        <w:rPr>
          <w:lang w:val="tr-TR"/>
        </w:rPr>
        <w:fldChar w:fldCharType="begin"/>
      </w:r>
      <w:r w:rsidR="00B429BB" w:rsidRPr="00CF336B">
        <w:rPr>
          <w:lang w:val="tr-TR"/>
        </w:rPr>
        <w:instrText xml:space="preserve"> REF _Ref147845744 \h </w:instrText>
      </w:r>
      <w:r w:rsidR="00413DBB" w:rsidRPr="00CF336B">
        <w:rPr>
          <w:lang w:val="tr-TR"/>
        </w:rPr>
        <w:instrText xml:space="preserve"> \* MERGEFORMAT </w:instrText>
      </w:r>
      <w:r w:rsidR="00B429BB" w:rsidRPr="00CF336B">
        <w:rPr>
          <w:lang w:val="tr-TR"/>
        </w:rPr>
      </w:r>
      <w:r w:rsidR="00B429BB" w:rsidRPr="00CF336B">
        <w:rPr>
          <w:lang w:val="tr-TR"/>
        </w:rPr>
        <w:fldChar w:fldCharType="separate"/>
      </w:r>
      <w:r w:rsidR="00CD4603" w:rsidRPr="008A77BA">
        <w:rPr>
          <w:lang w:val="tr-TR"/>
        </w:rPr>
        <w:t xml:space="preserve">Şekil </w:t>
      </w:r>
      <w:r w:rsidR="000408C7" w:rsidRPr="008A77BA">
        <w:rPr>
          <w:noProof/>
          <w:lang w:val="tr-TR"/>
        </w:rPr>
        <w:t>16</w:t>
      </w:r>
      <w:r w:rsidR="00B429BB" w:rsidRPr="00CF336B">
        <w:rPr>
          <w:lang w:val="tr-TR"/>
        </w:rPr>
        <w:fldChar w:fldCharType="end"/>
      </w:r>
      <w:r w:rsidRPr="00CF336B">
        <w:rPr>
          <w:lang w:val="tr-TR"/>
        </w:rPr>
        <w:t>’</w:t>
      </w:r>
      <w:r w:rsidR="002F2B43" w:rsidRPr="00CF336B">
        <w:rPr>
          <w:lang w:val="tr-TR"/>
        </w:rPr>
        <w:t>d</w:t>
      </w:r>
      <w:r w:rsidR="000408C7" w:rsidRPr="00CF336B">
        <w:rPr>
          <w:lang w:val="tr-TR"/>
        </w:rPr>
        <w:t>a</w:t>
      </w:r>
      <w:r w:rsidRPr="00CF336B">
        <w:rPr>
          <w:lang w:val="tr-TR"/>
        </w:rPr>
        <w:t xml:space="preserve"> gösterilmiştir</w:t>
      </w:r>
      <w:r w:rsidR="00E92F5A">
        <w:rPr>
          <w:lang w:val="tr-TR"/>
        </w:rPr>
        <w:t xml:space="preserve"> </w:t>
      </w:r>
      <w:sdt>
        <w:sdtPr>
          <w:rPr>
            <w:lang w:val="tr-TR"/>
          </w:rPr>
          <w:id w:val="1553261389"/>
          <w:citation/>
        </w:sdtPr>
        <w:sdtEndPr/>
        <w:sdtContent>
          <w:r w:rsidR="003B0FD0">
            <w:rPr>
              <w:lang w:val="tr-TR"/>
            </w:rPr>
            <w:fldChar w:fldCharType="begin"/>
          </w:r>
          <w:r w:rsidR="003B0FD0">
            <w:instrText xml:space="preserve"> CITATION Our23 \l 1033 </w:instrText>
          </w:r>
          <w:r w:rsidR="003B0FD0">
            <w:rPr>
              <w:lang w:val="tr-TR"/>
            </w:rPr>
            <w:fldChar w:fldCharType="separate"/>
          </w:r>
          <w:r w:rsidR="00D95FF7">
            <w:rPr>
              <w:noProof/>
            </w:rPr>
            <w:t>(Our World in Data, 2023)</w:t>
          </w:r>
          <w:r w:rsidR="003B0FD0">
            <w:rPr>
              <w:lang w:val="tr-TR"/>
            </w:rPr>
            <w:fldChar w:fldCharType="end"/>
          </w:r>
        </w:sdtContent>
      </w:sdt>
      <w:r w:rsidR="003B0FD0">
        <w:rPr>
          <w:lang w:val="tr-TR"/>
        </w:rPr>
        <w:t xml:space="preserve">, </w:t>
      </w:r>
      <w:sdt>
        <w:sdtPr>
          <w:rPr>
            <w:lang w:val="tr-TR"/>
          </w:rPr>
          <w:id w:val="583498657"/>
          <w:citation/>
        </w:sdtPr>
        <w:sdtEndPr/>
        <w:sdtContent>
          <w:r w:rsidR="003B0FD0">
            <w:rPr>
              <w:lang w:val="tr-TR"/>
            </w:rPr>
            <w:fldChar w:fldCharType="begin"/>
          </w:r>
          <w:r w:rsidR="003B0FD0">
            <w:instrText xml:space="preserve"> CITATION Bun21 \l 1033 </w:instrText>
          </w:r>
          <w:r w:rsidR="003B0FD0">
            <w:rPr>
              <w:lang w:val="tr-TR"/>
            </w:rPr>
            <w:fldChar w:fldCharType="separate"/>
          </w:r>
          <w:r w:rsidR="00D95FF7">
            <w:rPr>
              <w:noProof/>
            </w:rPr>
            <w:t>(Bundesnetzagentur, 2021)</w:t>
          </w:r>
          <w:r w:rsidR="003B0FD0">
            <w:rPr>
              <w:lang w:val="tr-TR"/>
            </w:rPr>
            <w:fldChar w:fldCharType="end"/>
          </w:r>
        </w:sdtContent>
      </w:sdt>
      <w:r w:rsidR="003B0FD0">
        <w:rPr>
          <w:lang w:val="tr-TR"/>
        </w:rPr>
        <w:t>.</w:t>
      </w:r>
    </w:p>
    <w:p w14:paraId="5271D499" w14:textId="77777777" w:rsidR="00312DE2" w:rsidRPr="00CF336B" w:rsidRDefault="00312DE2" w:rsidP="004D4361">
      <w:pPr>
        <w:spacing w:line="360" w:lineRule="auto"/>
        <w:jc w:val="center"/>
        <w:rPr>
          <w:lang w:val="tr-TR"/>
        </w:rPr>
      </w:pPr>
      <w:r w:rsidRPr="00CF336B">
        <w:rPr>
          <w:noProof/>
          <w:lang w:val="tr-TR"/>
        </w:rPr>
        <mc:AlternateContent>
          <mc:Choice Requires="wps">
            <w:drawing>
              <wp:anchor distT="0" distB="0" distL="114300" distR="114300" simplePos="0" relativeHeight="251658246" behindDoc="0" locked="0" layoutInCell="1" allowOverlap="1" wp14:anchorId="5DB31CE4" wp14:editId="3B6830AB">
                <wp:simplePos x="0" y="0"/>
                <wp:positionH relativeFrom="column">
                  <wp:posOffset>270510</wp:posOffset>
                </wp:positionH>
                <wp:positionV relativeFrom="paragraph">
                  <wp:posOffset>3257550</wp:posOffset>
                </wp:positionV>
                <wp:extent cx="5486400" cy="635"/>
                <wp:effectExtent l="0" t="0" r="0" b="0"/>
                <wp:wrapSquare wrapText="bothSides"/>
                <wp:docPr id="61031851" name="Text Box 6103185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3DB2A3F" w14:textId="272BF2BD" w:rsidR="00312DE2" w:rsidRPr="00DE0367" w:rsidRDefault="00312DE2" w:rsidP="00312DE2">
                            <w:pPr>
                              <w:pStyle w:val="Caption"/>
                              <w:jc w:val="center"/>
                              <w:rPr>
                                <w:noProof/>
                                <w:color w:val="auto"/>
                                <w:sz w:val="22"/>
                                <w:szCs w:val="22"/>
                                <w:shd w:val="clear" w:color="auto" w:fill="D9D9D9" w:themeFill="background1" w:themeFillShade="D9"/>
                                <w:lang w:val="tr-TR"/>
                              </w:rPr>
                            </w:pPr>
                            <w:bookmarkStart w:id="58" w:name="_Ref147845744"/>
                            <w:bookmarkStart w:id="59" w:name="_Toc156210470"/>
                            <w:r w:rsidRPr="00DE0367">
                              <w:rPr>
                                <w:color w:val="auto"/>
                                <w:sz w:val="22"/>
                                <w:szCs w:val="22"/>
                              </w:rPr>
                              <w:t xml:space="preserve">Şekil </w:t>
                            </w:r>
                            <w:r w:rsidRPr="00DE0367">
                              <w:rPr>
                                <w:color w:val="auto"/>
                                <w:sz w:val="22"/>
                                <w:szCs w:val="22"/>
                              </w:rPr>
                              <w:fldChar w:fldCharType="begin"/>
                            </w:r>
                            <w:r w:rsidRPr="00DE0367">
                              <w:rPr>
                                <w:color w:val="auto"/>
                                <w:sz w:val="22"/>
                                <w:szCs w:val="22"/>
                              </w:rPr>
                              <w:instrText xml:space="preserve"> SEQ Şekil \* ARABIC </w:instrText>
                            </w:r>
                            <w:r w:rsidRPr="00DE0367">
                              <w:rPr>
                                <w:color w:val="auto"/>
                                <w:sz w:val="22"/>
                                <w:szCs w:val="22"/>
                              </w:rPr>
                              <w:fldChar w:fldCharType="separate"/>
                            </w:r>
                            <w:r w:rsidR="0052290F">
                              <w:rPr>
                                <w:noProof/>
                                <w:color w:val="auto"/>
                                <w:sz w:val="22"/>
                                <w:szCs w:val="22"/>
                              </w:rPr>
                              <w:t>16</w:t>
                            </w:r>
                            <w:r w:rsidRPr="00DE0367">
                              <w:rPr>
                                <w:color w:val="auto"/>
                                <w:sz w:val="22"/>
                                <w:szCs w:val="22"/>
                              </w:rPr>
                              <w:fldChar w:fldCharType="end"/>
                            </w:r>
                            <w:bookmarkEnd w:id="58"/>
                            <w:r w:rsidRPr="00DE0367">
                              <w:rPr>
                                <w:color w:val="auto"/>
                                <w:sz w:val="22"/>
                                <w:szCs w:val="22"/>
                              </w:rPr>
                              <w:t xml:space="preserve">. </w:t>
                            </w:r>
                            <w:r w:rsidR="006A3750">
                              <w:rPr>
                                <w:color w:val="auto"/>
                                <w:sz w:val="22"/>
                                <w:szCs w:val="22"/>
                              </w:rPr>
                              <w:t xml:space="preserve">Almanya </w:t>
                            </w:r>
                            <w:r w:rsidRPr="00DE0367">
                              <w:rPr>
                                <w:color w:val="auto"/>
                                <w:sz w:val="22"/>
                                <w:szCs w:val="22"/>
                              </w:rPr>
                              <w:t>Kömür Kaynaklı Elektrik Üretimi, Elektrik Sektörü ve Toplam Karbon Emisyonu</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31CE4" id="Text Box 61031851" o:spid="_x0000_s1029" type="#_x0000_t202" style="position:absolute;left:0;text-align:left;margin-left:21.3pt;margin-top:256.5pt;width:6in;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" stroked="f">
                <v:textbox style="mso-fit-shape-to-text:t" inset="0,0,0,0">
                  <w:txbxContent>
                    <w:p w14:paraId="03DB2A3F" w14:textId="272BF2BD" w:rsidR="00312DE2" w:rsidRPr="00DE0367" w:rsidRDefault="00312DE2" w:rsidP="00312DE2">
                      <w:pPr>
                        <w:pStyle w:val="Caption"/>
                        <w:jc w:val="center"/>
                        <w:rPr>
                          <w:noProof/>
                          <w:color w:val="auto"/>
                          <w:sz w:val="22"/>
                          <w:szCs w:val="22"/>
                          <w:shd w:val="clear" w:color="auto" w:fill="D9D9D9" w:themeFill="background1" w:themeFillShade="D9"/>
                          <w:lang w:val="tr-TR"/>
                        </w:rPr>
                      </w:pPr>
                      <w:bookmarkStart w:id="60" w:name="_Ref147845744"/>
                      <w:bookmarkStart w:id="61" w:name="_Toc156210470"/>
                      <w:r w:rsidRPr="00DE0367">
                        <w:rPr>
                          <w:color w:val="auto"/>
                          <w:sz w:val="22"/>
                          <w:szCs w:val="22"/>
                        </w:rPr>
                        <w:t xml:space="preserve">Şekil </w:t>
                      </w:r>
                      <w:r w:rsidRPr="00DE0367">
                        <w:rPr>
                          <w:color w:val="auto"/>
                          <w:sz w:val="22"/>
                          <w:szCs w:val="22"/>
                        </w:rPr>
                        <w:fldChar w:fldCharType="begin"/>
                      </w:r>
                      <w:r w:rsidRPr="00DE0367">
                        <w:rPr>
                          <w:color w:val="auto"/>
                          <w:sz w:val="22"/>
                          <w:szCs w:val="22"/>
                        </w:rPr>
                        <w:instrText xml:space="preserve"> SEQ Şekil \* ARABIC </w:instrText>
                      </w:r>
                      <w:r w:rsidRPr="00DE0367">
                        <w:rPr>
                          <w:color w:val="auto"/>
                          <w:sz w:val="22"/>
                          <w:szCs w:val="22"/>
                        </w:rPr>
                        <w:fldChar w:fldCharType="separate"/>
                      </w:r>
                      <w:r w:rsidR="0052290F">
                        <w:rPr>
                          <w:noProof/>
                          <w:color w:val="auto"/>
                          <w:sz w:val="22"/>
                          <w:szCs w:val="22"/>
                        </w:rPr>
                        <w:t>16</w:t>
                      </w:r>
                      <w:r w:rsidRPr="00DE0367">
                        <w:rPr>
                          <w:color w:val="auto"/>
                          <w:sz w:val="22"/>
                          <w:szCs w:val="22"/>
                        </w:rPr>
                        <w:fldChar w:fldCharType="end"/>
                      </w:r>
                      <w:bookmarkEnd w:id="60"/>
                      <w:r w:rsidRPr="00DE0367">
                        <w:rPr>
                          <w:color w:val="auto"/>
                          <w:sz w:val="22"/>
                          <w:szCs w:val="22"/>
                        </w:rPr>
                        <w:t xml:space="preserve">. </w:t>
                      </w:r>
                      <w:r w:rsidR="006A3750">
                        <w:rPr>
                          <w:color w:val="auto"/>
                          <w:sz w:val="22"/>
                          <w:szCs w:val="22"/>
                        </w:rPr>
                        <w:t xml:space="preserve">Almanya </w:t>
                      </w:r>
                      <w:r w:rsidRPr="00DE0367">
                        <w:rPr>
                          <w:color w:val="auto"/>
                          <w:sz w:val="22"/>
                          <w:szCs w:val="22"/>
                        </w:rPr>
                        <w:t>Kömür Kaynaklı Elektrik Üretimi, Elektrik Sektörü ve Toplam Karbon Emisyonu</w:t>
                      </w:r>
                      <w:bookmarkEnd w:id="61"/>
                    </w:p>
                  </w:txbxContent>
                </v:textbox>
                <w10:wrap type="square"/>
              </v:shape>
            </w:pict>
          </mc:Fallback>
        </mc:AlternateContent>
      </w:r>
      <w:r w:rsidRPr="00CF336B">
        <w:rPr>
          <w:noProof/>
          <w:shd w:val="clear" w:color="auto" w:fill="D9D9D9" w:themeFill="background1" w:themeFillShade="D9"/>
          <w:lang w:val="tr-TR"/>
        </w:rPr>
        <w:drawing>
          <wp:anchor distT="0" distB="0" distL="114300" distR="114300" simplePos="0" relativeHeight="251658245" behindDoc="0" locked="0" layoutInCell="1" allowOverlap="1" wp14:anchorId="271FE1CB" wp14:editId="73A54ABD">
            <wp:simplePos x="0" y="0"/>
            <wp:positionH relativeFrom="column">
              <wp:posOffset>271072</wp:posOffset>
            </wp:positionH>
            <wp:positionV relativeFrom="paragraph">
              <wp:posOffset>389</wp:posOffset>
            </wp:positionV>
            <wp:extent cx="5486400" cy="3200400"/>
            <wp:effectExtent l="0" t="0" r="0" b="0"/>
            <wp:wrapSquare wrapText="bothSides"/>
            <wp:docPr id="1099662203" name="Chart 1099662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CF336B">
        <w:rPr>
          <w:lang w:val="tr-TR"/>
        </w:rPr>
        <w:t xml:space="preserve"> </w:t>
      </w:r>
    </w:p>
    <w:p w14:paraId="2FD1EB1B" w14:textId="6B36CCE0" w:rsidR="00CA359F" w:rsidRPr="00CF336B" w:rsidRDefault="00CA359F" w:rsidP="004D4361">
      <w:pPr>
        <w:pStyle w:val="Heading2"/>
        <w:numPr>
          <w:ilvl w:val="1"/>
          <w:numId w:val="12"/>
        </w:numPr>
        <w:spacing w:line="360" w:lineRule="auto"/>
        <w:rPr>
          <w:sz w:val="22"/>
          <w:szCs w:val="22"/>
          <w:lang w:val="tr-TR"/>
        </w:rPr>
      </w:pPr>
      <w:bookmarkStart w:id="62" w:name="_Toc147845353"/>
      <w:bookmarkStart w:id="63" w:name="_Toc147845354"/>
      <w:bookmarkStart w:id="64" w:name="_Toc147845355"/>
      <w:bookmarkStart w:id="65" w:name="_Toc147845403"/>
      <w:bookmarkStart w:id="66" w:name="_Toc147845404"/>
      <w:bookmarkStart w:id="67" w:name="_Toc147845405"/>
      <w:bookmarkStart w:id="68" w:name="_Toc147845406"/>
      <w:bookmarkStart w:id="69" w:name="_Toc147845407"/>
      <w:bookmarkStart w:id="70" w:name="_Toc147845408"/>
      <w:bookmarkStart w:id="71" w:name="_Toc147845409"/>
      <w:bookmarkStart w:id="72" w:name="_Toc147845410"/>
      <w:bookmarkStart w:id="73" w:name="_Toc147845411"/>
      <w:bookmarkStart w:id="74" w:name="_Toc147845412"/>
      <w:bookmarkStart w:id="75" w:name="_Toc147845413"/>
      <w:bookmarkStart w:id="76" w:name="_Toc156210444"/>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CF336B">
        <w:rPr>
          <w:sz w:val="22"/>
          <w:szCs w:val="22"/>
          <w:lang w:val="tr-TR"/>
        </w:rPr>
        <w:t>İngiltere</w:t>
      </w:r>
      <w:bookmarkEnd w:id="76"/>
    </w:p>
    <w:p w14:paraId="0B1B3B66" w14:textId="1150D03F" w:rsidR="009B7EF6" w:rsidRPr="00CF336B" w:rsidRDefault="009B7EF6" w:rsidP="004D4361">
      <w:pPr>
        <w:spacing w:line="360" w:lineRule="auto"/>
        <w:jc w:val="both"/>
        <w:rPr>
          <w:lang w:val="tr-TR"/>
        </w:rPr>
      </w:pPr>
      <w:r w:rsidRPr="00CF336B">
        <w:rPr>
          <w:lang w:val="tr-TR"/>
        </w:rPr>
        <w:t xml:space="preserve">Kapasite Piyasası, İngiltere Enerji ve İklim Değişikliği Bakanlığı tarafından yayımlanan İngiltere’de elektrik piyasasına dair daha birçok önlemi kapsayan “Elektrik Piyasası Reform Paketi” altında, ülkedeki elektrik arz güvenliğini sağlamak amacıyla 19 Aralık 2013 tarihinde gündeme gelmiştir. </w:t>
      </w:r>
      <w:r w:rsidR="00B97131" w:rsidRPr="00B97131">
        <w:rPr>
          <w:lang w:val="tr-TR"/>
        </w:rPr>
        <w:t xml:space="preserve">Bu konunun gündeme gelmesindeki en büyük gerekçeler ise ülkenin artan elektrik talebinin karşılanması ve nispeten eski enerji santrallerinin yenileriyle değiştirilmesine olanak sağlayacak yeni yatırım altyapısının oluşturulması olarak gösterilmiştir. </w:t>
      </w:r>
      <w:r w:rsidRPr="00CF336B">
        <w:rPr>
          <w:lang w:val="tr-TR"/>
        </w:rPr>
        <w:t xml:space="preserve">Reform paketi kapsamında kapasite uygulamasına yönelik yönetmelik 2014 yılından itibaren yürürlüğe girmiştir </w:t>
      </w:r>
      <w:sdt>
        <w:sdtPr>
          <w:rPr>
            <w:lang w:val="tr-TR"/>
          </w:rPr>
          <w:id w:val="-1225070358"/>
          <w:citation/>
        </w:sdtPr>
        <w:sdtEndPr/>
        <w:sdtContent>
          <w:r w:rsidRPr="00CF336B">
            <w:rPr>
              <w:lang w:val="tr-TR"/>
            </w:rPr>
            <w:fldChar w:fldCharType="begin"/>
          </w:r>
          <w:r w:rsidRPr="00CF336B">
            <w:rPr>
              <w:lang w:val="tr-TR"/>
            </w:rPr>
            <w:instrText xml:space="preserve">CITATION The \l 1033 </w:instrText>
          </w:r>
          <w:r w:rsidRPr="00CF336B">
            <w:rPr>
              <w:lang w:val="tr-TR"/>
            </w:rPr>
            <w:fldChar w:fldCharType="separate"/>
          </w:r>
          <w:r w:rsidR="00D95FF7" w:rsidRPr="00D95FF7">
            <w:rPr>
              <w:noProof/>
              <w:lang w:val="tr-TR"/>
            </w:rPr>
            <w:t>(The Electricity Capacity Regulations, 2014)</w:t>
          </w:r>
          <w:r w:rsidRPr="00CF336B">
            <w:rPr>
              <w:lang w:val="tr-TR"/>
            </w:rPr>
            <w:fldChar w:fldCharType="end"/>
          </w:r>
        </w:sdtContent>
      </w:sdt>
      <w:r w:rsidRPr="00CF336B">
        <w:rPr>
          <w:lang w:val="tr-TR"/>
        </w:rPr>
        <w:t xml:space="preserve">. </w:t>
      </w:r>
      <w:r w:rsidR="000D1940" w:rsidRPr="000D1940">
        <w:rPr>
          <w:lang w:val="tr-TR"/>
        </w:rPr>
        <w:t xml:space="preserve">Bu yapıdaki </w:t>
      </w:r>
      <w:r w:rsidRPr="00CF336B">
        <w:rPr>
          <w:lang w:val="tr-TR"/>
        </w:rPr>
        <w:t xml:space="preserve">otoriteler ve görevleri </w:t>
      </w:r>
      <w:r w:rsidR="00B429BB" w:rsidRPr="00CF336B">
        <w:rPr>
          <w:lang w:val="tr-TR"/>
        </w:rPr>
        <w:fldChar w:fldCharType="begin"/>
      </w:r>
      <w:r w:rsidR="00B429BB" w:rsidRPr="00CF336B">
        <w:rPr>
          <w:lang w:val="tr-TR"/>
        </w:rPr>
        <w:instrText xml:space="preserve"> REF _Ref147845758 \h </w:instrText>
      </w:r>
      <w:r w:rsidR="00413DBB" w:rsidRPr="00CF336B">
        <w:rPr>
          <w:lang w:val="tr-TR"/>
        </w:rPr>
        <w:instrText xml:space="preserve"> \* MERGEFORMAT </w:instrText>
      </w:r>
      <w:r w:rsidR="00B429BB" w:rsidRPr="00CF336B">
        <w:rPr>
          <w:lang w:val="tr-TR"/>
        </w:rPr>
      </w:r>
      <w:r w:rsidR="00B429BB" w:rsidRPr="00CF336B">
        <w:rPr>
          <w:lang w:val="tr-TR"/>
        </w:rPr>
        <w:fldChar w:fldCharType="separate"/>
      </w:r>
      <w:r w:rsidR="00B429BB" w:rsidRPr="00CF336B">
        <w:rPr>
          <w:lang w:val="tr-TR"/>
        </w:rPr>
        <w:t xml:space="preserve">Tablo </w:t>
      </w:r>
      <w:r w:rsidR="00B429BB" w:rsidRPr="00CF336B">
        <w:rPr>
          <w:noProof/>
          <w:lang w:val="tr-TR"/>
        </w:rPr>
        <w:t>5</w:t>
      </w:r>
      <w:r w:rsidR="00B429BB" w:rsidRPr="00CF336B">
        <w:rPr>
          <w:lang w:val="tr-TR"/>
        </w:rPr>
        <w:fldChar w:fldCharType="end"/>
      </w:r>
      <w:r w:rsidRPr="00CF336B">
        <w:rPr>
          <w:lang w:val="tr-TR"/>
        </w:rPr>
        <w:fldChar w:fldCharType="begin"/>
      </w:r>
      <w:r w:rsidRPr="00CF336B">
        <w:rPr>
          <w:lang w:val="tr-TR"/>
        </w:rPr>
        <w:instrText xml:space="preserve"> REF _Ref147683922 \h  \* MERGEFORMAT </w:instrText>
      </w:r>
      <w:r w:rsidRPr="00CF336B">
        <w:rPr>
          <w:lang w:val="tr-TR"/>
        </w:rPr>
      </w:r>
      <w:r w:rsidRPr="00CF336B">
        <w:rPr>
          <w:lang w:val="tr-TR"/>
        </w:rPr>
        <w:fldChar w:fldCharType="end"/>
      </w:r>
      <w:r w:rsidRPr="00CF336B">
        <w:rPr>
          <w:lang w:val="tr-TR"/>
        </w:rPr>
        <w:t xml:space="preserve"> altında belirtilmektedir.</w:t>
      </w:r>
    </w:p>
    <w:p w14:paraId="2EC2775F" w14:textId="6A1864F1" w:rsidR="009B7EF6" w:rsidRPr="00CF336B" w:rsidRDefault="009B7EF6" w:rsidP="004D4361">
      <w:pPr>
        <w:pStyle w:val="Caption"/>
        <w:keepNext/>
        <w:spacing w:line="360" w:lineRule="auto"/>
        <w:jc w:val="center"/>
        <w:rPr>
          <w:color w:val="auto"/>
          <w:sz w:val="22"/>
          <w:szCs w:val="22"/>
          <w:lang w:val="tr-TR"/>
        </w:rPr>
      </w:pPr>
      <w:bookmarkStart w:id="77" w:name="_Ref147845758"/>
      <w:bookmarkStart w:id="78" w:name="_Toc156210500"/>
      <w:r w:rsidRPr="00CF336B">
        <w:rPr>
          <w:color w:val="auto"/>
          <w:sz w:val="22"/>
          <w:szCs w:val="22"/>
          <w:lang w:val="tr-TR"/>
        </w:rPr>
        <w:t xml:space="preserve">Tablo </w:t>
      </w:r>
      <w:r w:rsidR="002F257A" w:rsidRPr="00CF336B">
        <w:rPr>
          <w:color w:val="auto"/>
          <w:sz w:val="22"/>
          <w:szCs w:val="22"/>
          <w:lang w:val="tr-TR"/>
        </w:rPr>
        <w:fldChar w:fldCharType="begin"/>
      </w:r>
      <w:r w:rsidR="002F257A" w:rsidRPr="00CF336B">
        <w:rPr>
          <w:color w:val="auto"/>
          <w:sz w:val="22"/>
          <w:szCs w:val="22"/>
          <w:lang w:val="tr-TR"/>
        </w:rPr>
        <w:instrText xml:space="preserve"> SEQ Tablo \* ARABIC </w:instrText>
      </w:r>
      <w:r w:rsidR="002F257A" w:rsidRPr="00CF336B">
        <w:rPr>
          <w:color w:val="auto"/>
          <w:sz w:val="22"/>
          <w:szCs w:val="22"/>
          <w:lang w:val="tr-TR"/>
        </w:rPr>
        <w:fldChar w:fldCharType="separate"/>
      </w:r>
      <w:r w:rsidR="00A22AF1" w:rsidRPr="00CF336B">
        <w:rPr>
          <w:noProof/>
          <w:color w:val="auto"/>
          <w:sz w:val="22"/>
          <w:szCs w:val="22"/>
          <w:lang w:val="tr-TR"/>
        </w:rPr>
        <w:t>5</w:t>
      </w:r>
      <w:r w:rsidR="002F257A" w:rsidRPr="00CF336B">
        <w:rPr>
          <w:color w:val="auto"/>
          <w:sz w:val="22"/>
          <w:szCs w:val="22"/>
          <w:lang w:val="tr-TR"/>
        </w:rPr>
        <w:fldChar w:fldCharType="end"/>
      </w:r>
      <w:bookmarkEnd w:id="77"/>
      <w:r w:rsidRPr="00CF336B">
        <w:rPr>
          <w:color w:val="auto"/>
          <w:sz w:val="22"/>
          <w:szCs w:val="22"/>
          <w:lang w:val="tr-TR"/>
        </w:rPr>
        <w:t>. Kapasite Piyasasındaki Otoriteler ve Görevleri</w:t>
      </w:r>
      <w:bookmarkEnd w:id="78"/>
    </w:p>
    <w:tbl>
      <w:tblPr>
        <w:tblStyle w:val="TableGrid"/>
        <w:tblpPr w:leftFromText="180" w:rightFromText="180" w:vertAnchor="text" w:tblpY="142"/>
        <w:tblW w:w="9634" w:type="dxa"/>
        <w:tblLook w:val="04A0" w:firstRow="1" w:lastRow="0" w:firstColumn="1" w:lastColumn="0" w:noHBand="0" w:noVBand="1"/>
      </w:tblPr>
      <w:tblGrid>
        <w:gridCol w:w="2972"/>
        <w:gridCol w:w="3119"/>
        <w:gridCol w:w="3543"/>
      </w:tblGrid>
      <w:tr w:rsidR="009B7EF6" w:rsidRPr="00CF336B" w14:paraId="0D0F3BFF" w14:textId="77777777" w:rsidTr="00F11F7F">
        <w:tc>
          <w:tcPr>
            <w:tcW w:w="2972" w:type="dxa"/>
            <w:shd w:val="clear" w:color="auto" w:fill="1F4E79" w:themeFill="accent5" w:themeFillShade="80"/>
            <w:vAlign w:val="center"/>
          </w:tcPr>
          <w:p w14:paraId="756A3DA4" w14:textId="77777777" w:rsidR="009B7EF6" w:rsidRPr="00CF336B" w:rsidRDefault="009B7EF6" w:rsidP="004D4361">
            <w:pPr>
              <w:spacing w:line="360" w:lineRule="auto"/>
              <w:jc w:val="center"/>
              <w:rPr>
                <w:b/>
                <w:bCs/>
                <w:color w:val="FFFFFF" w:themeColor="background1"/>
                <w:lang w:val="tr-TR"/>
              </w:rPr>
            </w:pPr>
            <w:r w:rsidRPr="00CF336B">
              <w:rPr>
                <w:b/>
                <w:bCs/>
                <w:color w:val="FFFFFF" w:themeColor="background1"/>
                <w:lang w:val="tr-TR"/>
              </w:rPr>
              <w:t>Enerji ve İklim Değişikliği Bakanlığı</w:t>
            </w:r>
          </w:p>
          <w:p w14:paraId="07CBBD62" w14:textId="77777777" w:rsidR="009B7EF6" w:rsidRPr="00CF336B" w:rsidRDefault="009B7EF6" w:rsidP="004D4361">
            <w:pPr>
              <w:spacing w:line="360" w:lineRule="auto"/>
              <w:jc w:val="center"/>
              <w:rPr>
                <w:b/>
                <w:bCs/>
                <w:color w:val="FFFFFF" w:themeColor="background1"/>
                <w:lang w:val="tr-TR"/>
              </w:rPr>
            </w:pPr>
            <w:r w:rsidRPr="00CF336B">
              <w:rPr>
                <w:b/>
                <w:bCs/>
                <w:color w:val="FFFFFF" w:themeColor="background1"/>
                <w:lang w:val="tr-TR"/>
              </w:rPr>
              <w:t>(DECC)</w:t>
            </w:r>
          </w:p>
        </w:tc>
        <w:tc>
          <w:tcPr>
            <w:tcW w:w="3119" w:type="dxa"/>
            <w:shd w:val="clear" w:color="auto" w:fill="1F4E79" w:themeFill="accent5" w:themeFillShade="80"/>
            <w:vAlign w:val="center"/>
          </w:tcPr>
          <w:p w14:paraId="2E2D155F" w14:textId="77777777" w:rsidR="009B7EF6" w:rsidRPr="00CF336B" w:rsidRDefault="009B7EF6" w:rsidP="004D4361">
            <w:pPr>
              <w:spacing w:line="360" w:lineRule="auto"/>
              <w:jc w:val="center"/>
              <w:rPr>
                <w:b/>
                <w:bCs/>
                <w:color w:val="FFFFFF" w:themeColor="background1"/>
                <w:lang w:val="tr-TR"/>
              </w:rPr>
            </w:pPr>
            <w:r w:rsidRPr="00CF336B">
              <w:rPr>
                <w:b/>
                <w:bCs/>
                <w:color w:val="FFFFFF" w:themeColor="background1"/>
                <w:lang w:val="tr-TR"/>
              </w:rPr>
              <w:t>Ulusal</w:t>
            </w:r>
          </w:p>
          <w:p w14:paraId="12999CE7" w14:textId="77777777" w:rsidR="009B7EF6" w:rsidRPr="00CF336B" w:rsidRDefault="009B7EF6" w:rsidP="004D4361">
            <w:pPr>
              <w:spacing w:line="360" w:lineRule="auto"/>
              <w:jc w:val="center"/>
              <w:rPr>
                <w:b/>
                <w:bCs/>
                <w:color w:val="FFFFFF" w:themeColor="background1"/>
                <w:lang w:val="tr-TR"/>
              </w:rPr>
            </w:pPr>
            <w:r w:rsidRPr="00CF336B">
              <w:rPr>
                <w:b/>
                <w:bCs/>
                <w:color w:val="FFFFFF" w:themeColor="background1"/>
                <w:lang w:val="tr-TR"/>
              </w:rPr>
              <w:t xml:space="preserve"> Elektrik İletim Şebekesi </w:t>
            </w:r>
          </w:p>
          <w:p w14:paraId="2A251705" w14:textId="77777777" w:rsidR="009B7EF6" w:rsidRPr="00CF336B" w:rsidRDefault="009B7EF6" w:rsidP="004D4361">
            <w:pPr>
              <w:spacing w:line="360" w:lineRule="auto"/>
              <w:jc w:val="center"/>
              <w:rPr>
                <w:b/>
                <w:bCs/>
                <w:color w:val="FFFFFF" w:themeColor="background1"/>
                <w:lang w:val="tr-TR"/>
              </w:rPr>
            </w:pPr>
            <w:r w:rsidRPr="00CF336B">
              <w:rPr>
                <w:b/>
                <w:bCs/>
                <w:color w:val="FFFFFF" w:themeColor="background1"/>
                <w:lang w:val="tr-TR"/>
              </w:rPr>
              <w:t>(NGET)</w:t>
            </w:r>
          </w:p>
        </w:tc>
        <w:tc>
          <w:tcPr>
            <w:tcW w:w="3543" w:type="dxa"/>
            <w:shd w:val="clear" w:color="auto" w:fill="1F4E79" w:themeFill="accent5" w:themeFillShade="80"/>
            <w:vAlign w:val="center"/>
          </w:tcPr>
          <w:p w14:paraId="6BF0F122" w14:textId="77777777" w:rsidR="009B7EF6" w:rsidRPr="00CF336B" w:rsidRDefault="009B7EF6" w:rsidP="004D4361">
            <w:pPr>
              <w:spacing w:line="360" w:lineRule="auto"/>
              <w:jc w:val="center"/>
              <w:rPr>
                <w:b/>
                <w:bCs/>
                <w:color w:val="FFFFFF" w:themeColor="background1"/>
                <w:lang w:val="tr-TR"/>
              </w:rPr>
            </w:pPr>
            <w:r w:rsidRPr="00CF336B">
              <w:rPr>
                <w:b/>
                <w:bCs/>
                <w:color w:val="FFFFFF" w:themeColor="background1"/>
                <w:lang w:val="tr-TR"/>
              </w:rPr>
              <w:t xml:space="preserve">Elektrik ve Doğal Gaz Piyasası İşletmecisi </w:t>
            </w:r>
          </w:p>
          <w:p w14:paraId="155F88C9" w14:textId="77777777" w:rsidR="009B7EF6" w:rsidRPr="00CF336B" w:rsidRDefault="009B7EF6" w:rsidP="004D4361">
            <w:pPr>
              <w:spacing w:line="360" w:lineRule="auto"/>
              <w:jc w:val="center"/>
              <w:rPr>
                <w:b/>
                <w:bCs/>
                <w:color w:val="FFFFFF" w:themeColor="background1"/>
                <w:lang w:val="tr-TR"/>
              </w:rPr>
            </w:pPr>
            <w:r w:rsidRPr="00CF336B">
              <w:rPr>
                <w:b/>
                <w:bCs/>
                <w:color w:val="FFFFFF" w:themeColor="background1"/>
                <w:lang w:val="tr-TR"/>
              </w:rPr>
              <w:t>(OFGEM)</w:t>
            </w:r>
          </w:p>
        </w:tc>
      </w:tr>
      <w:tr w:rsidR="009B7EF6" w:rsidRPr="00CF336B" w14:paraId="40D3CA0D" w14:textId="77777777">
        <w:tc>
          <w:tcPr>
            <w:tcW w:w="2972" w:type="dxa"/>
          </w:tcPr>
          <w:p w14:paraId="1C7D6939" w14:textId="77777777" w:rsidR="009B7EF6" w:rsidRPr="00CF336B" w:rsidRDefault="009B7EF6" w:rsidP="004D4361">
            <w:pPr>
              <w:pStyle w:val="ListParagraph"/>
              <w:numPr>
                <w:ilvl w:val="0"/>
                <w:numId w:val="19"/>
              </w:numPr>
              <w:spacing w:line="360" w:lineRule="auto"/>
              <w:rPr>
                <w:lang w:val="tr-TR"/>
              </w:rPr>
            </w:pPr>
            <w:r w:rsidRPr="00CF336B">
              <w:rPr>
                <w:lang w:val="tr-TR"/>
              </w:rPr>
              <w:t>Dağıtılacak kapasiteyi ve ihale parametrelerini belirler.</w:t>
            </w:r>
          </w:p>
          <w:p w14:paraId="123A8368" w14:textId="77777777" w:rsidR="009B7EF6" w:rsidRPr="00CF336B" w:rsidRDefault="009B7EF6" w:rsidP="004D4361">
            <w:pPr>
              <w:pStyle w:val="ListParagraph"/>
              <w:numPr>
                <w:ilvl w:val="0"/>
                <w:numId w:val="19"/>
              </w:numPr>
              <w:spacing w:line="360" w:lineRule="auto"/>
              <w:rPr>
                <w:lang w:val="tr-TR"/>
              </w:rPr>
            </w:pPr>
            <w:r w:rsidRPr="00CF336B">
              <w:rPr>
                <w:lang w:val="tr-TR"/>
              </w:rPr>
              <w:t>Regülasyonda yapılacak değişiklikleri kontrol eder.</w:t>
            </w:r>
          </w:p>
        </w:tc>
        <w:tc>
          <w:tcPr>
            <w:tcW w:w="3119" w:type="dxa"/>
          </w:tcPr>
          <w:p w14:paraId="69CFDC22" w14:textId="77777777" w:rsidR="009B7EF6" w:rsidRPr="00CF336B" w:rsidRDefault="009B7EF6" w:rsidP="004D4361">
            <w:pPr>
              <w:pStyle w:val="ListParagraph"/>
              <w:numPr>
                <w:ilvl w:val="0"/>
                <w:numId w:val="19"/>
              </w:numPr>
              <w:spacing w:line="360" w:lineRule="auto"/>
              <w:rPr>
                <w:lang w:val="tr-TR"/>
              </w:rPr>
            </w:pPr>
            <w:r w:rsidRPr="00CF336B">
              <w:rPr>
                <w:lang w:val="tr-TR"/>
              </w:rPr>
              <w:t>Ön değerlendirme ve ihale süreçlerini yönetir.</w:t>
            </w:r>
          </w:p>
          <w:p w14:paraId="663CFCC2" w14:textId="77777777" w:rsidR="009B7EF6" w:rsidRPr="00CF336B" w:rsidRDefault="009B7EF6" w:rsidP="004D4361">
            <w:pPr>
              <w:pStyle w:val="ListParagraph"/>
              <w:numPr>
                <w:ilvl w:val="0"/>
                <w:numId w:val="19"/>
              </w:numPr>
              <w:spacing w:line="360" w:lineRule="auto"/>
              <w:rPr>
                <w:lang w:val="tr-TR"/>
              </w:rPr>
            </w:pPr>
            <w:r w:rsidRPr="00CF336B">
              <w:rPr>
                <w:lang w:val="tr-TR"/>
              </w:rPr>
              <w:t>Anlaşmaları ve kapasite kayıtlarını işler.</w:t>
            </w:r>
          </w:p>
          <w:p w14:paraId="4CB99AB5" w14:textId="77777777" w:rsidR="009B7EF6" w:rsidRPr="00CF336B" w:rsidRDefault="009B7EF6" w:rsidP="004D4361">
            <w:pPr>
              <w:pStyle w:val="ListParagraph"/>
              <w:numPr>
                <w:ilvl w:val="0"/>
                <w:numId w:val="19"/>
              </w:numPr>
              <w:spacing w:line="360" w:lineRule="auto"/>
              <w:rPr>
                <w:lang w:val="tr-TR"/>
              </w:rPr>
            </w:pPr>
            <w:r w:rsidRPr="00CF336B">
              <w:rPr>
                <w:lang w:val="tr-TR"/>
              </w:rPr>
              <w:t>Ön değerlendirme sürecinde yapılan Seviye-1 itirazlarını değerlendirir.</w:t>
            </w:r>
          </w:p>
          <w:p w14:paraId="0770F1BE" w14:textId="77777777" w:rsidR="009B7EF6" w:rsidRPr="00CF336B" w:rsidRDefault="009B7EF6" w:rsidP="004D4361">
            <w:pPr>
              <w:pStyle w:val="ListParagraph"/>
              <w:numPr>
                <w:ilvl w:val="0"/>
                <w:numId w:val="19"/>
              </w:numPr>
              <w:spacing w:line="360" w:lineRule="auto"/>
              <w:rPr>
                <w:lang w:val="tr-TR"/>
              </w:rPr>
            </w:pPr>
            <w:r w:rsidRPr="00CF336B">
              <w:rPr>
                <w:lang w:val="tr-TR"/>
              </w:rPr>
              <w:t>Dağıtımı yapılacak kapasite miktarı konusunda fikir verir.</w:t>
            </w:r>
          </w:p>
        </w:tc>
        <w:tc>
          <w:tcPr>
            <w:tcW w:w="3543" w:type="dxa"/>
          </w:tcPr>
          <w:p w14:paraId="12F6AD4A" w14:textId="77777777" w:rsidR="009B7EF6" w:rsidRPr="00CF336B" w:rsidRDefault="009B7EF6" w:rsidP="004D4361">
            <w:pPr>
              <w:pStyle w:val="ListParagraph"/>
              <w:numPr>
                <w:ilvl w:val="0"/>
                <w:numId w:val="19"/>
              </w:numPr>
              <w:spacing w:line="360" w:lineRule="auto"/>
              <w:rPr>
                <w:lang w:val="tr-TR"/>
              </w:rPr>
            </w:pPr>
            <w:r w:rsidRPr="00CF336B">
              <w:rPr>
                <w:lang w:val="tr-TR"/>
              </w:rPr>
              <w:t>Kapasite Piyasası’nı gözetler, yıllık bazda değerlendirme raporları oluşturur, kapasite teslimatı sorumlusunun performansını denetler.</w:t>
            </w:r>
          </w:p>
          <w:p w14:paraId="1C62AA41" w14:textId="77777777" w:rsidR="009B7EF6" w:rsidRPr="00CF336B" w:rsidRDefault="009B7EF6" w:rsidP="004D4361">
            <w:pPr>
              <w:pStyle w:val="ListParagraph"/>
              <w:numPr>
                <w:ilvl w:val="0"/>
                <w:numId w:val="19"/>
              </w:numPr>
              <w:spacing w:line="360" w:lineRule="auto"/>
              <w:rPr>
                <w:lang w:val="tr-TR"/>
              </w:rPr>
            </w:pPr>
            <w:r w:rsidRPr="00CF336B">
              <w:rPr>
                <w:lang w:val="tr-TR"/>
              </w:rPr>
              <w:t>Kuralların ve regülasyonların uygulanmasından sorumludur, adil rekabet yasasını uygular.</w:t>
            </w:r>
          </w:p>
          <w:p w14:paraId="102A4633" w14:textId="77777777" w:rsidR="009B7EF6" w:rsidRPr="00CF336B" w:rsidRDefault="009B7EF6" w:rsidP="004D4361">
            <w:pPr>
              <w:pStyle w:val="ListParagraph"/>
              <w:numPr>
                <w:ilvl w:val="0"/>
                <w:numId w:val="19"/>
              </w:numPr>
              <w:spacing w:line="360" w:lineRule="auto"/>
              <w:rPr>
                <w:lang w:val="tr-TR"/>
              </w:rPr>
            </w:pPr>
            <w:r w:rsidRPr="00CF336B">
              <w:rPr>
                <w:lang w:val="tr-TR"/>
              </w:rPr>
              <w:t>Ön değerlendirme sürecindeki Seviye-2 itirazlarını değerlendirir.</w:t>
            </w:r>
          </w:p>
        </w:tc>
      </w:tr>
    </w:tbl>
    <w:p w14:paraId="17FB1F0E" w14:textId="77777777" w:rsidR="009B7EF6" w:rsidRPr="00CF336B" w:rsidRDefault="009B7EF6" w:rsidP="004D4361">
      <w:pPr>
        <w:spacing w:line="360" w:lineRule="auto"/>
        <w:jc w:val="both"/>
        <w:rPr>
          <w:lang w:val="tr-TR"/>
        </w:rPr>
      </w:pPr>
    </w:p>
    <w:p w14:paraId="554946AB" w14:textId="77777777" w:rsidR="00B45AE7" w:rsidRPr="00B45AE7" w:rsidRDefault="00B45AE7" w:rsidP="00B45AE7">
      <w:pPr>
        <w:spacing w:line="360" w:lineRule="auto"/>
        <w:jc w:val="both"/>
        <w:rPr>
          <w:lang w:val="tr-TR"/>
        </w:rPr>
      </w:pPr>
      <w:r w:rsidRPr="00B45AE7">
        <w:rPr>
          <w:lang w:val="tr-TR"/>
        </w:rPr>
        <w:t>Reform paketinde ülkenin arz güvenliğini sağlarken düşük emisyona sahip üretim tesislerine geçişi sağlayacak şekilde tasarlanan dört farklı mekanizma yer almıştır:</w:t>
      </w:r>
    </w:p>
    <w:p w14:paraId="7728FC0A" w14:textId="77777777" w:rsidR="00B45AE7" w:rsidRPr="00B45AE7" w:rsidRDefault="00B45AE7" w:rsidP="00B45AE7">
      <w:pPr>
        <w:spacing w:line="360" w:lineRule="auto"/>
        <w:jc w:val="both"/>
        <w:rPr>
          <w:lang w:val="tr-TR"/>
        </w:rPr>
      </w:pPr>
      <w:r w:rsidRPr="00B45AE7">
        <w:rPr>
          <w:lang w:val="tr-TR"/>
        </w:rPr>
        <w:t>-</w:t>
      </w:r>
      <w:r w:rsidRPr="00B45AE7">
        <w:rPr>
          <w:lang w:val="tr-TR"/>
        </w:rPr>
        <w:tab/>
        <w:t>Kapasite Piyasası: Mevcut enerji santrallerine ilave olarak yeni yatırımlar, elektrik depolama tesisleri ve talep azaltma hizmeti veren katılımcılar diğer bir deyişle tüm kapasite sağlayıcıları için tasarlanmıştır. Kapasite piyasasındaki kapsamında kapasite kazanmak isteyen kapasite sağlayıcılar, rekabetçi bir ihale sürecine katılarak fiyat seviyesini belirlemektedir. Kapasite ödemesi almaya hak kazanan kapasite sağlayıcısı sistemde sıkışıklık olduğu durumlarda bu ihtiyacı karşılayacak şekilde elektrik sağlamakla/azaltmakla yükümlü olmaktadır. Bu ihtiyacın karşılanmadığı durumlarda kapasite sağlayıcıları cezalandırılmaktadırlar.</w:t>
      </w:r>
    </w:p>
    <w:p w14:paraId="7A59F760" w14:textId="77777777" w:rsidR="00B45AE7" w:rsidRPr="00B45AE7" w:rsidRDefault="00B45AE7" w:rsidP="00B45AE7">
      <w:pPr>
        <w:spacing w:line="360" w:lineRule="auto"/>
        <w:jc w:val="both"/>
        <w:rPr>
          <w:lang w:val="tr-TR"/>
        </w:rPr>
      </w:pPr>
      <w:r w:rsidRPr="00B45AE7">
        <w:rPr>
          <w:lang w:val="tr-TR"/>
        </w:rPr>
        <w:t>-</w:t>
      </w:r>
      <w:r w:rsidRPr="00B45AE7">
        <w:rPr>
          <w:lang w:val="tr-TR"/>
        </w:rPr>
        <w:tab/>
        <w:t>Fark Kontratları (</w:t>
      </w:r>
      <w:proofErr w:type="spellStart"/>
      <w:r w:rsidRPr="00B45AE7">
        <w:rPr>
          <w:lang w:val="tr-TR"/>
        </w:rPr>
        <w:t>Contracts</w:t>
      </w:r>
      <w:proofErr w:type="spellEnd"/>
      <w:r w:rsidRPr="00B45AE7">
        <w:rPr>
          <w:lang w:val="tr-TR"/>
        </w:rPr>
        <w:t xml:space="preserve"> </w:t>
      </w:r>
      <w:proofErr w:type="spellStart"/>
      <w:r w:rsidRPr="00B45AE7">
        <w:rPr>
          <w:lang w:val="tr-TR"/>
        </w:rPr>
        <w:t>for</w:t>
      </w:r>
      <w:proofErr w:type="spellEnd"/>
      <w:r w:rsidRPr="00B45AE7">
        <w:rPr>
          <w:lang w:val="tr-TR"/>
        </w:rPr>
        <w:t xml:space="preserve"> </w:t>
      </w:r>
      <w:proofErr w:type="spellStart"/>
      <w:r w:rsidRPr="00B45AE7">
        <w:rPr>
          <w:lang w:val="tr-TR"/>
        </w:rPr>
        <w:t>Differences</w:t>
      </w:r>
      <w:proofErr w:type="spellEnd"/>
      <w:r w:rsidRPr="00B45AE7">
        <w:rPr>
          <w:lang w:val="tr-TR"/>
        </w:rPr>
        <w:t xml:space="preserve">): Yenilenebilir enerji santrallerine sağlanan bir teşvik mekanizması olarak ortaya çıkmaktadır. Bu mekanizma ile ülkenin düşük emisyonlu üretime geçiş sürecinde, değişken elektrik fiyatlarının yenilenebilir enerji santralleri üzerindeki etkisini azaltmak ve bu santrallere uzun dönemli gelir öngörüsü sağlamak amaçlanmaktadır. Bu yapıda bir teknoloji tipi için ve santralin yatırım bedelini yansıtan bir işlem fiyatı belirlenmektedir. Mekanizma kapsamında yer alan santraller, piyasaya elektrik satışını gerçekleştirmekte ve piyasa fiyatının, işlem fiyatından daha düşük olması durumunda, aradaki fark üreticilere ödenmektedir. Tam tersi durumun oluşması durumunda ise santraller aradaki farkı ödemekle yükümlüdürler. </w:t>
      </w:r>
    </w:p>
    <w:p w14:paraId="687425DE" w14:textId="77777777" w:rsidR="00B45AE7" w:rsidRPr="00B45AE7" w:rsidRDefault="00B45AE7" w:rsidP="00B45AE7">
      <w:pPr>
        <w:spacing w:line="360" w:lineRule="auto"/>
        <w:jc w:val="both"/>
        <w:rPr>
          <w:lang w:val="tr-TR"/>
        </w:rPr>
      </w:pPr>
      <w:r w:rsidRPr="00B45AE7">
        <w:rPr>
          <w:lang w:val="tr-TR"/>
        </w:rPr>
        <w:t>-</w:t>
      </w:r>
      <w:r w:rsidRPr="00B45AE7">
        <w:rPr>
          <w:lang w:val="tr-TR"/>
        </w:rPr>
        <w:tab/>
        <w:t>Emisyon Performans Standardı: Emisyon değerlerini azaltmaya yönelik adımlardan biri olarak değerlendirilen yapıda enerji santrallerine kWh başına 450g CO</w:t>
      </w:r>
      <w:r w:rsidRPr="009C4C8B">
        <w:rPr>
          <w:vertAlign w:val="subscript"/>
          <w:lang w:val="tr-TR"/>
        </w:rPr>
        <w:t>2</w:t>
      </w:r>
      <w:r w:rsidRPr="00B45AE7">
        <w:rPr>
          <w:lang w:val="tr-TR"/>
        </w:rPr>
        <w:t xml:space="preserve"> üst limiti getirilmekte ve karbon yakalama ve depolama sistemi bulunmayan kömür santrallerinin engellenmektedir.</w:t>
      </w:r>
    </w:p>
    <w:p w14:paraId="4ADDA990" w14:textId="77777777" w:rsidR="00B45AE7" w:rsidRPr="00B45AE7" w:rsidRDefault="00B45AE7" w:rsidP="00B45AE7">
      <w:pPr>
        <w:spacing w:line="360" w:lineRule="auto"/>
        <w:jc w:val="both"/>
        <w:rPr>
          <w:lang w:val="tr-TR"/>
        </w:rPr>
      </w:pPr>
      <w:r w:rsidRPr="00B45AE7">
        <w:rPr>
          <w:lang w:val="tr-TR"/>
        </w:rPr>
        <w:t>-</w:t>
      </w:r>
      <w:r w:rsidRPr="00B45AE7">
        <w:rPr>
          <w:lang w:val="tr-TR"/>
        </w:rPr>
        <w:tab/>
        <w:t>Karbon Fiyatı Desteği: Düşük karbon üretimini teşvik etmek amacıyla karbon emisyonu yaratan enerji santrallerine uygulanan ilave bedeli düzenleyen bir uygulamadır.</w:t>
      </w:r>
    </w:p>
    <w:p w14:paraId="6A9005E1" w14:textId="34BED314" w:rsidR="00B45AE7" w:rsidRDefault="00B45AE7" w:rsidP="00B45AE7">
      <w:pPr>
        <w:spacing w:line="360" w:lineRule="auto"/>
        <w:jc w:val="both"/>
        <w:rPr>
          <w:lang w:val="tr-TR"/>
        </w:rPr>
      </w:pPr>
      <w:r w:rsidRPr="00B45AE7">
        <w:rPr>
          <w:lang w:val="tr-TR"/>
        </w:rPr>
        <w:t xml:space="preserve">İngiltere’de uygulanan kapasite piyasasında kapasite sağlayıcı üniteler sınıflandırılmakta ve bu ünitelerin sınıflarına göre katılım seçenekleri belirlenmektedir. Bu yapı mevcut ve yeni elektrik santrallerine, elektrik depolama santrallerine ve talep tarafı katılımı hizmeti sunacak katılımcılara gelecekteki yatırımlarını temellendirebilecekleri düzenli ve öngörülebilir bir gelir akışı sunmaktadır.  Özellikle yeni enerji santrali yatırımları için uzun dönemli bir gelir öngörüsü yaratan piyasa yapısı sayesinde arz güvenliği konusunda duyulan ihtiyaç karşılanabilmektedir.  </w:t>
      </w:r>
    </w:p>
    <w:p w14:paraId="1F525851" w14:textId="2F195318" w:rsidR="005365C1" w:rsidRDefault="0062339C" w:rsidP="004D4361">
      <w:pPr>
        <w:spacing w:line="360" w:lineRule="auto"/>
        <w:jc w:val="both"/>
        <w:rPr>
          <w:lang w:val="tr-TR"/>
        </w:rPr>
      </w:pPr>
      <w:r w:rsidRPr="009C4C8B">
        <w:rPr>
          <w:lang w:val="tr-TR"/>
        </w:rPr>
        <w:t>Kapasite piyasası altındaki kapasite sağlayıcıları regülasyon ve yasalarda kapasite sağlayıcı ünite (CMU (</w:t>
      </w:r>
      <w:proofErr w:type="spellStart"/>
      <w:r w:rsidRPr="009C4C8B">
        <w:rPr>
          <w:lang w:val="tr-TR"/>
        </w:rPr>
        <w:t>Capacity</w:t>
      </w:r>
      <w:proofErr w:type="spellEnd"/>
      <w:r w:rsidRPr="009C4C8B">
        <w:rPr>
          <w:lang w:val="tr-TR"/>
        </w:rPr>
        <w:t xml:space="preserve"> Market </w:t>
      </w:r>
      <w:proofErr w:type="spellStart"/>
      <w:r w:rsidRPr="009C4C8B">
        <w:rPr>
          <w:lang w:val="tr-TR"/>
        </w:rPr>
        <w:t>Unit</w:t>
      </w:r>
      <w:proofErr w:type="spellEnd"/>
      <w:r w:rsidRPr="009C4C8B">
        <w:rPr>
          <w:lang w:val="tr-TR"/>
        </w:rPr>
        <w:t>)) olarak refere edilmektedir.</w:t>
      </w:r>
      <w:r w:rsidRPr="0062339C">
        <w:rPr>
          <w:lang w:val="tr-TR"/>
        </w:rPr>
        <w:t xml:space="preserve"> </w:t>
      </w:r>
      <w:r w:rsidR="009B7EF6" w:rsidRPr="00CF336B">
        <w:rPr>
          <w:lang w:val="tr-TR"/>
        </w:rPr>
        <w:t>Bu ünite bir elektrik üreticisi veya talep tarafı katılımı (</w:t>
      </w:r>
      <w:proofErr w:type="spellStart"/>
      <w:r w:rsidR="009B7EF6" w:rsidRPr="00CF336B">
        <w:rPr>
          <w:lang w:val="tr-TR"/>
        </w:rPr>
        <w:t>Demand</w:t>
      </w:r>
      <w:proofErr w:type="spellEnd"/>
      <w:r w:rsidR="009B7EF6" w:rsidRPr="00CF336B">
        <w:rPr>
          <w:lang w:val="tr-TR"/>
        </w:rPr>
        <w:t xml:space="preserve"> Side </w:t>
      </w:r>
      <w:proofErr w:type="spellStart"/>
      <w:r w:rsidR="009B7EF6" w:rsidRPr="00CF336B">
        <w:rPr>
          <w:lang w:val="tr-TR"/>
        </w:rPr>
        <w:t>Response</w:t>
      </w:r>
      <w:proofErr w:type="spellEnd"/>
      <w:r w:rsidR="009B7EF6" w:rsidRPr="00CF336B">
        <w:rPr>
          <w:lang w:val="tr-TR"/>
        </w:rPr>
        <w:t xml:space="preserve">) ile tüketim düşürücü bir kapasite sağlayıcısı olabilmektedir. </w:t>
      </w:r>
    </w:p>
    <w:p w14:paraId="768F1D3A" w14:textId="79A9E635" w:rsidR="0052290F" w:rsidRDefault="009B7EF6" w:rsidP="004D4361">
      <w:pPr>
        <w:spacing w:line="360" w:lineRule="auto"/>
        <w:jc w:val="both"/>
        <w:rPr>
          <w:lang w:val="tr-TR"/>
        </w:rPr>
      </w:pPr>
      <w:r w:rsidRPr="00CF336B">
        <w:rPr>
          <w:lang w:val="tr-TR"/>
        </w:rPr>
        <w:t xml:space="preserve">Kapasite sağlayıcıları ön değerlendirmeleri geçmek ve bu ihalelere katılmak için belirli yükümlülükleri sağlamak zorundadırlar. Bu kapsamdaki ön değerlendirme sürecini NGET (Ulusal İletim Şebekesi) yürütmektedir. İhale tarihinden 22 hafta önce ön değerlendirme başvuru süreci başlamaktadır. NGET bu tarihten önce ön değerlendirmelere dair kriterleri yayımlamaktadır. Bu ön değerlendirme kriterlerinde yer alan en önemli parametrelerden birisi, NGET tarafından her takvim yılı için üretim tarafı ve talep tarafı ünitelerine, katılımcıların teknolojik seviyelerini dikkate alarak hesapladığı “De-rating </w:t>
      </w:r>
      <w:proofErr w:type="spellStart"/>
      <w:r w:rsidRPr="00CF336B">
        <w:rPr>
          <w:lang w:val="tr-TR"/>
        </w:rPr>
        <w:t>Factor”dür</w:t>
      </w:r>
      <w:proofErr w:type="spellEnd"/>
      <w:r w:rsidRPr="00CF336B">
        <w:rPr>
          <w:lang w:val="tr-TR"/>
        </w:rPr>
        <w:t>.</w:t>
      </w:r>
      <w:r w:rsidR="0052290F">
        <w:rPr>
          <w:lang w:val="tr-TR"/>
        </w:rPr>
        <w:t xml:space="preserve">  Bu faktör</w:t>
      </w:r>
      <w:r w:rsidR="0052290F" w:rsidRPr="0052290F">
        <w:rPr>
          <w:lang w:val="tr-TR"/>
        </w:rPr>
        <w:t xml:space="preserve"> her teslimat yılına dair hem üretici tarafı (her teknoloji için ayrı olarak) hem de talep tarafı için </w:t>
      </w:r>
      <w:r w:rsidR="0052290F">
        <w:rPr>
          <w:lang w:val="tr-TR"/>
        </w:rPr>
        <w:t>belirlenmektedi</w:t>
      </w:r>
      <w:r w:rsidR="0052290F" w:rsidRPr="0052290F">
        <w:rPr>
          <w:lang w:val="tr-TR"/>
        </w:rPr>
        <w:t xml:space="preserve">r. Kapasite ihalelerine katılan veya ikinci elden bir kapasite anlaşması ticareti vasıtasıyla kapasite zorunluluğu tutan katılımcılar için, ihalenin yapıldığı yıl içinde kullanılacak </w:t>
      </w:r>
      <w:r w:rsidR="004C1EB3">
        <w:rPr>
          <w:lang w:val="tr-TR"/>
        </w:rPr>
        <w:t>d</w:t>
      </w:r>
      <w:r w:rsidR="0052290F" w:rsidRPr="0052290F">
        <w:rPr>
          <w:lang w:val="tr-TR"/>
        </w:rPr>
        <w:t>e-</w:t>
      </w:r>
      <w:r w:rsidR="004C1EB3">
        <w:rPr>
          <w:lang w:val="tr-TR"/>
        </w:rPr>
        <w:t>r</w:t>
      </w:r>
      <w:r w:rsidR="0052290F" w:rsidRPr="0052290F">
        <w:rPr>
          <w:lang w:val="tr-TR"/>
        </w:rPr>
        <w:t xml:space="preserve">ating faktörleri ihalelere ilişkin kılavuzlarda yayımlanmaktadır. Bu </w:t>
      </w:r>
      <w:r w:rsidR="00C90F78">
        <w:rPr>
          <w:lang w:val="tr-TR"/>
        </w:rPr>
        <w:t>d</w:t>
      </w:r>
      <w:r w:rsidR="0052290F" w:rsidRPr="0052290F">
        <w:rPr>
          <w:lang w:val="tr-TR"/>
        </w:rPr>
        <w:t>e-</w:t>
      </w:r>
      <w:r w:rsidR="00C90F78">
        <w:rPr>
          <w:lang w:val="tr-TR"/>
        </w:rPr>
        <w:t>r</w:t>
      </w:r>
      <w:r w:rsidR="0052290F" w:rsidRPr="0052290F">
        <w:rPr>
          <w:lang w:val="tr-TR"/>
        </w:rPr>
        <w:t>ating faktörü ilgili katılımcının bağlantı kapasitesi ile çarpılmakta ve ihalelerde kazanabileceği kapasiteyi belirlemektedir.</w:t>
      </w:r>
    </w:p>
    <w:p w14:paraId="45B2D1B7" w14:textId="6B1189BD" w:rsidR="0052290F" w:rsidRDefault="0052290F" w:rsidP="004D4361">
      <w:pPr>
        <w:spacing w:line="360" w:lineRule="auto"/>
        <w:jc w:val="both"/>
        <w:rPr>
          <w:lang w:val="tr-TR"/>
        </w:rPr>
      </w:pPr>
      <w:r w:rsidRPr="0052290F">
        <w:rPr>
          <w:lang w:val="tr-TR"/>
        </w:rPr>
        <w:t xml:space="preserve">Üretim tarafı için De-Rating faktörü, ilgili teknolojiye ait ağırlıklı ortalamalı uygunluk </w:t>
      </w:r>
      <w:r w:rsidRPr="00CF336B">
        <w:rPr>
          <w:lang w:val="tr-TR"/>
        </w:rPr>
        <w:t>“TWAA” (</w:t>
      </w:r>
      <w:proofErr w:type="spellStart"/>
      <w:r w:rsidRPr="00CF336B">
        <w:rPr>
          <w:lang w:val="tr-TR"/>
        </w:rPr>
        <w:t>The</w:t>
      </w:r>
      <w:proofErr w:type="spellEnd"/>
      <w:r w:rsidRPr="00CF336B">
        <w:rPr>
          <w:lang w:val="tr-TR"/>
        </w:rPr>
        <w:t xml:space="preserve"> </w:t>
      </w:r>
      <w:proofErr w:type="spellStart"/>
      <w:r w:rsidRPr="00CF336B">
        <w:rPr>
          <w:lang w:val="tr-TR"/>
        </w:rPr>
        <w:t>Technology</w:t>
      </w:r>
      <w:proofErr w:type="spellEnd"/>
      <w:r w:rsidRPr="00CF336B">
        <w:rPr>
          <w:lang w:val="tr-TR"/>
        </w:rPr>
        <w:t xml:space="preserve"> Class </w:t>
      </w:r>
      <w:proofErr w:type="spellStart"/>
      <w:r w:rsidRPr="00CF336B">
        <w:rPr>
          <w:lang w:val="tr-TR"/>
        </w:rPr>
        <w:t>Weighted</w:t>
      </w:r>
      <w:proofErr w:type="spellEnd"/>
      <w:r w:rsidRPr="00CF336B">
        <w:rPr>
          <w:lang w:val="tr-TR"/>
        </w:rPr>
        <w:t xml:space="preserve"> </w:t>
      </w:r>
      <w:proofErr w:type="spellStart"/>
      <w:r w:rsidRPr="00CF336B">
        <w:rPr>
          <w:lang w:val="tr-TR"/>
        </w:rPr>
        <w:t>Average</w:t>
      </w:r>
      <w:proofErr w:type="spellEnd"/>
      <w:r w:rsidRPr="00CF336B">
        <w:rPr>
          <w:lang w:val="tr-TR"/>
        </w:rPr>
        <w:t xml:space="preserve"> </w:t>
      </w:r>
      <w:proofErr w:type="spellStart"/>
      <w:r w:rsidRPr="00CF336B">
        <w:rPr>
          <w:lang w:val="tr-TR"/>
        </w:rPr>
        <w:t>Availabilty</w:t>
      </w:r>
      <w:proofErr w:type="spellEnd"/>
      <w:r w:rsidRPr="00CF336B">
        <w:rPr>
          <w:lang w:val="tr-TR"/>
        </w:rPr>
        <w:t xml:space="preserve">) </w:t>
      </w:r>
      <w:r w:rsidRPr="0052290F">
        <w:rPr>
          <w:lang w:val="tr-TR"/>
        </w:rPr>
        <w:t>iken talep tarafı için dengeleme ve uzlaştırma yasasında yer almayan dengeleme servislerinin ağırlıklı ortalamalı uygunluk değeridir (</w:t>
      </w:r>
      <w:proofErr w:type="spellStart"/>
      <w:r w:rsidRPr="0052290F">
        <w:rPr>
          <w:lang w:val="tr-TR"/>
        </w:rPr>
        <w:t>The</w:t>
      </w:r>
      <w:proofErr w:type="spellEnd"/>
      <w:r w:rsidRPr="0052290F">
        <w:rPr>
          <w:lang w:val="tr-TR"/>
        </w:rPr>
        <w:t xml:space="preserve"> </w:t>
      </w:r>
      <w:proofErr w:type="spellStart"/>
      <w:r w:rsidRPr="0052290F">
        <w:rPr>
          <w:lang w:val="tr-TR"/>
        </w:rPr>
        <w:t>Average</w:t>
      </w:r>
      <w:proofErr w:type="spellEnd"/>
      <w:r w:rsidRPr="0052290F">
        <w:rPr>
          <w:lang w:val="tr-TR"/>
        </w:rPr>
        <w:t xml:space="preserve"> </w:t>
      </w:r>
      <w:proofErr w:type="spellStart"/>
      <w:r w:rsidRPr="0052290F">
        <w:rPr>
          <w:lang w:val="tr-TR"/>
        </w:rPr>
        <w:t>Availability</w:t>
      </w:r>
      <w:proofErr w:type="spellEnd"/>
      <w:r w:rsidRPr="0052290F">
        <w:rPr>
          <w:lang w:val="tr-TR"/>
        </w:rPr>
        <w:t xml:space="preserve"> of </w:t>
      </w:r>
      <w:proofErr w:type="spellStart"/>
      <w:r w:rsidRPr="0052290F">
        <w:rPr>
          <w:lang w:val="tr-TR"/>
        </w:rPr>
        <w:t>Non</w:t>
      </w:r>
      <w:proofErr w:type="spellEnd"/>
      <w:r w:rsidRPr="0052290F">
        <w:rPr>
          <w:lang w:val="tr-TR"/>
        </w:rPr>
        <w:t xml:space="preserve">-BSC </w:t>
      </w:r>
      <w:proofErr w:type="spellStart"/>
      <w:r w:rsidRPr="0052290F">
        <w:rPr>
          <w:lang w:val="tr-TR"/>
        </w:rPr>
        <w:t>Balancing</w:t>
      </w:r>
      <w:proofErr w:type="spellEnd"/>
      <w:r w:rsidRPr="0052290F">
        <w:rPr>
          <w:lang w:val="tr-TR"/>
        </w:rPr>
        <w:t xml:space="preserve"> Services). Ek olarak, </w:t>
      </w:r>
      <w:r>
        <w:rPr>
          <w:lang w:val="tr-TR"/>
        </w:rPr>
        <w:t>d</w:t>
      </w:r>
      <w:r w:rsidRPr="0052290F">
        <w:rPr>
          <w:lang w:val="tr-TR"/>
        </w:rPr>
        <w:t>e-</w:t>
      </w:r>
      <w:r>
        <w:rPr>
          <w:lang w:val="tr-TR"/>
        </w:rPr>
        <w:t>r</w:t>
      </w:r>
      <w:r w:rsidRPr="0052290F">
        <w:rPr>
          <w:lang w:val="tr-TR"/>
        </w:rPr>
        <w:t>ating faktörü, İngiltere’nin sınır ötesi elektrik ticaretindeki enterko</w:t>
      </w:r>
      <w:r>
        <w:rPr>
          <w:lang w:val="tr-TR"/>
        </w:rPr>
        <w:t>n</w:t>
      </w:r>
      <w:r w:rsidRPr="0052290F">
        <w:rPr>
          <w:lang w:val="tr-TR"/>
        </w:rPr>
        <w:t xml:space="preserve">neksiyon kapasitesine ve depolama teknolojilerine de uygulanmaktadır. İngiltere’nin Avrupa Komisyonu ile Kapasite Mekanizması kapsamındaki devlet yardımı görüşmesinin bir parçası olarak, enterkonneksiyon kapasitesi 2019/2020 ihalelerinden itibaren kapasite ihalelerine dahil edilmiştir. </w:t>
      </w:r>
    </w:p>
    <w:p w14:paraId="457BF1E7" w14:textId="3F326F03" w:rsidR="0052290F" w:rsidRDefault="0052290F" w:rsidP="004D4361">
      <w:pPr>
        <w:spacing w:line="360" w:lineRule="auto"/>
        <w:jc w:val="both"/>
        <w:rPr>
          <w:lang w:val="tr-TR"/>
        </w:rPr>
      </w:pPr>
      <w:r w:rsidRPr="0052290F">
        <w:rPr>
          <w:lang w:val="tr-TR"/>
        </w:rPr>
        <w:t>2014 yılından itibaren gerçekleştiren ihalelerdeki nükleer, hidro</w:t>
      </w:r>
      <w:r>
        <w:rPr>
          <w:lang w:val="tr-TR"/>
        </w:rPr>
        <w:t>elektrik</w:t>
      </w:r>
      <w:r w:rsidRPr="0052290F">
        <w:rPr>
          <w:lang w:val="tr-TR"/>
        </w:rPr>
        <w:t xml:space="preserve">, doğal gaz kombine çevrim santrali, kömür/biyokütle ve talep tarafı için belirlenen </w:t>
      </w:r>
      <w:r>
        <w:rPr>
          <w:lang w:val="tr-TR"/>
        </w:rPr>
        <w:t>d</w:t>
      </w:r>
      <w:r w:rsidRPr="0052290F">
        <w:rPr>
          <w:lang w:val="tr-TR"/>
        </w:rPr>
        <w:t>e-</w:t>
      </w:r>
      <w:r>
        <w:rPr>
          <w:lang w:val="tr-TR"/>
        </w:rPr>
        <w:t>r</w:t>
      </w:r>
      <w:r w:rsidRPr="0052290F">
        <w:rPr>
          <w:lang w:val="tr-TR"/>
        </w:rPr>
        <w:t xml:space="preserve">ating faktörleri </w:t>
      </w:r>
      <w:r>
        <w:rPr>
          <w:lang w:val="tr-TR"/>
        </w:rPr>
        <w:fldChar w:fldCharType="begin"/>
      </w:r>
      <w:r>
        <w:rPr>
          <w:lang w:val="tr-TR"/>
        </w:rPr>
        <w:instrText xml:space="preserve"> REF _Ref155875877 \h </w:instrText>
      </w:r>
      <w:r>
        <w:rPr>
          <w:lang w:val="tr-TR"/>
        </w:rPr>
      </w:r>
      <w:r>
        <w:rPr>
          <w:lang w:val="tr-TR"/>
        </w:rPr>
        <w:fldChar w:fldCharType="separate"/>
      </w:r>
      <w:proofErr w:type="spellStart"/>
      <w:r w:rsidRPr="0052290F">
        <w:t>Şekil</w:t>
      </w:r>
      <w:proofErr w:type="spellEnd"/>
      <w:r w:rsidRPr="0052290F">
        <w:t xml:space="preserve"> </w:t>
      </w:r>
      <w:r w:rsidRPr="0052290F">
        <w:rPr>
          <w:noProof/>
        </w:rPr>
        <w:t>17</w:t>
      </w:r>
      <w:r>
        <w:rPr>
          <w:lang w:val="tr-TR"/>
        </w:rPr>
        <w:fldChar w:fldCharType="end"/>
      </w:r>
      <w:r>
        <w:rPr>
          <w:lang w:val="tr-TR"/>
        </w:rPr>
        <w:t>’de belirtilmektedi</w:t>
      </w:r>
      <w:r w:rsidRPr="0052290F">
        <w:rPr>
          <w:lang w:val="tr-TR"/>
        </w:rPr>
        <w:t>r</w:t>
      </w:r>
      <w:sdt>
        <w:sdtPr>
          <w:rPr>
            <w:lang w:val="tr-TR"/>
          </w:rPr>
          <w:id w:val="1941641569"/>
          <w:citation/>
        </w:sdtPr>
        <w:sdtEndPr/>
        <w:sdtContent>
          <w:r w:rsidR="00B670C2">
            <w:rPr>
              <w:lang w:val="tr-TR"/>
            </w:rPr>
            <w:fldChar w:fldCharType="begin"/>
          </w:r>
          <w:r w:rsidR="00B670C2">
            <w:rPr>
              <w:lang w:val="tr-TR"/>
            </w:rPr>
            <w:instrText xml:space="preserve">CITATION Nat221 \n  \l 1055 </w:instrText>
          </w:r>
          <w:r w:rsidR="00B670C2">
            <w:rPr>
              <w:lang w:val="tr-TR"/>
            </w:rPr>
            <w:fldChar w:fldCharType="separate"/>
          </w:r>
          <w:r w:rsidR="00B670C2">
            <w:rPr>
              <w:noProof/>
              <w:lang w:val="tr-TR"/>
            </w:rPr>
            <w:t xml:space="preserve"> (Electricity Capacity Report, 2022)</w:t>
          </w:r>
          <w:r w:rsidR="00B670C2">
            <w:rPr>
              <w:lang w:val="tr-TR"/>
            </w:rPr>
            <w:fldChar w:fldCharType="end"/>
          </w:r>
        </w:sdtContent>
      </w:sdt>
      <w:r w:rsidR="00B670C2" w:rsidDel="00B670C2">
        <w:rPr>
          <w:rStyle w:val="FootnoteReference"/>
          <w:lang w:val="tr-TR"/>
        </w:rPr>
        <w:t xml:space="preserve"> </w:t>
      </w:r>
      <w:r w:rsidR="00B670C2">
        <w:rPr>
          <w:lang w:val="tr-TR"/>
        </w:rPr>
        <w:t>.</w:t>
      </w:r>
    </w:p>
    <w:p w14:paraId="2198F05F" w14:textId="77777777" w:rsidR="0052290F" w:rsidRDefault="0052290F" w:rsidP="009C4C8B">
      <w:pPr>
        <w:keepNext/>
        <w:spacing w:line="360" w:lineRule="auto"/>
        <w:jc w:val="both"/>
      </w:pPr>
      <w:r>
        <w:rPr>
          <w:noProof/>
          <w:lang w:val="tr-TR"/>
        </w:rPr>
        <w:drawing>
          <wp:inline distT="0" distB="0" distL="0" distR="0" wp14:anchorId="7D873497" wp14:editId="242F5D60">
            <wp:extent cx="5943600" cy="2540635"/>
            <wp:effectExtent l="0" t="0" r="0" b="0"/>
            <wp:docPr id="4830262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CE0BF8" w14:textId="1E93AD9D" w:rsidR="0052290F" w:rsidRPr="00D80C7B" w:rsidRDefault="0052290F" w:rsidP="009C4C8B">
      <w:pPr>
        <w:pStyle w:val="Caption"/>
        <w:jc w:val="center"/>
        <w:rPr>
          <w:lang w:val="tr-TR"/>
        </w:rPr>
      </w:pPr>
      <w:bookmarkStart w:id="79" w:name="_Ref155875877"/>
      <w:bookmarkStart w:id="80" w:name="_Toc156210471"/>
      <w:proofErr w:type="spellStart"/>
      <w:r w:rsidRPr="0052290F">
        <w:rPr>
          <w:color w:val="auto"/>
          <w:sz w:val="22"/>
          <w:szCs w:val="22"/>
        </w:rPr>
        <w:t>Şekil</w:t>
      </w:r>
      <w:proofErr w:type="spellEnd"/>
      <w:r w:rsidRPr="0052290F">
        <w:rPr>
          <w:color w:val="auto"/>
          <w:sz w:val="22"/>
          <w:szCs w:val="22"/>
        </w:rPr>
        <w:t xml:space="preserve"> </w:t>
      </w:r>
      <w:r w:rsidRPr="009C4C8B">
        <w:rPr>
          <w:color w:val="auto"/>
          <w:sz w:val="22"/>
          <w:szCs w:val="22"/>
        </w:rPr>
        <w:fldChar w:fldCharType="begin"/>
      </w:r>
      <w:r w:rsidRPr="0052290F">
        <w:rPr>
          <w:color w:val="auto"/>
          <w:sz w:val="22"/>
          <w:szCs w:val="22"/>
        </w:rPr>
        <w:instrText xml:space="preserve"> SEQ Şekil \* ARABIC </w:instrText>
      </w:r>
      <w:r w:rsidRPr="009C4C8B">
        <w:rPr>
          <w:color w:val="auto"/>
          <w:sz w:val="22"/>
          <w:szCs w:val="22"/>
        </w:rPr>
        <w:fldChar w:fldCharType="separate"/>
      </w:r>
      <w:r>
        <w:rPr>
          <w:noProof/>
          <w:color w:val="auto"/>
          <w:sz w:val="22"/>
          <w:szCs w:val="22"/>
        </w:rPr>
        <w:t>17</w:t>
      </w:r>
      <w:r w:rsidRPr="009C4C8B">
        <w:rPr>
          <w:color w:val="auto"/>
          <w:sz w:val="22"/>
          <w:szCs w:val="22"/>
        </w:rPr>
        <w:fldChar w:fldCharType="end"/>
      </w:r>
      <w:bookmarkEnd w:id="79"/>
      <w:r w:rsidRPr="0052290F">
        <w:rPr>
          <w:color w:val="auto"/>
          <w:sz w:val="22"/>
          <w:szCs w:val="22"/>
        </w:rPr>
        <w:t xml:space="preserve">. 2014-2022 </w:t>
      </w:r>
      <w:proofErr w:type="spellStart"/>
      <w:r w:rsidRPr="0052290F">
        <w:rPr>
          <w:color w:val="auto"/>
          <w:sz w:val="22"/>
          <w:szCs w:val="22"/>
        </w:rPr>
        <w:t>Yılı</w:t>
      </w:r>
      <w:proofErr w:type="spellEnd"/>
      <w:r w:rsidRPr="0052290F">
        <w:rPr>
          <w:color w:val="auto"/>
          <w:sz w:val="22"/>
          <w:szCs w:val="22"/>
        </w:rPr>
        <w:t xml:space="preserve"> </w:t>
      </w:r>
      <w:proofErr w:type="spellStart"/>
      <w:r w:rsidRPr="0052290F">
        <w:rPr>
          <w:color w:val="auto"/>
          <w:sz w:val="22"/>
          <w:szCs w:val="22"/>
        </w:rPr>
        <w:t>Kapasite</w:t>
      </w:r>
      <w:proofErr w:type="spellEnd"/>
      <w:r w:rsidRPr="0052290F">
        <w:rPr>
          <w:color w:val="auto"/>
          <w:sz w:val="22"/>
          <w:szCs w:val="22"/>
        </w:rPr>
        <w:t xml:space="preserve"> </w:t>
      </w:r>
      <w:proofErr w:type="spellStart"/>
      <w:r w:rsidRPr="0052290F">
        <w:rPr>
          <w:color w:val="auto"/>
          <w:sz w:val="22"/>
          <w:szCs w:val="22"/>
        </w:rPr>
        <w:t>Mekanizması</w:t>
      </w:r>
      <w:proofErr w:type="spellEnd"/>
      <w:r w:rsidRPr="0052290F">
        <w:rPr>
          <w:color w:val="auto"/>
          <w:sz w:val="22"/>
          <w:szCs w:val="22"/>
        </w:rPr>
        <w:t xml:space="preserve"> </w:t>
      </w:r>
      <w:proofErr w:type="spellStart"/>
      <w:r w:rsidRPr="0052290F">
        <w:rPr>
          <w:color w:val="auto"/>
          <w:sz w:val="22"/>
          <w:szCs w:val="22"/>
        </w:rPr>
        <w:t>İhalelerinde</w:t>
      </w:r>
      <w:proofErr w:type="spellEnd"/>
      <w:r w:rsidRPr="0052290F">
        <w:rPr>
          <w:color w:val="auto"/>
          <w:sz w:val="22"/>
          <w:szCs w:val="22"/>
        </w:rPr>
        <w:t xml:space="preserve"> </w:t>
      </w:r>
      <w:proofErr w:type="spellStart"/>
      <w:r w:rsidRPr="0052290F">
        <w:rPr>
          <w:color w:val="auto"/>
          <w:sz w:val="22"/>
          <w:szCs w:val="22"/>
        </w:rPr>
        <w:t>Teknoloji</w:t>
      </w:r>
      <w:proofErr w:type="spellEnd"/>
      <w:r w:rsidRPr="0052290F">
        <w:rPr>
          <w:color w:val="auto"/>
          <w:sz w:val="22"/>
          <w:szCs w:val="22"/>
        </w:rPr>
        <w:t xml:space="preserve"> </w:t>
      </w:r>
      <w:proofErr w:type="spellStart"/>
      <w:r w:rsidRPr="0052290F">
        <w:rPr>
          <w:color w:val="auto"/>
          <w:sz w:val="22"/>
          <w:szCs w:val="22"/>
        </w:rPr>
        <w:t>Bazlı</w:t>
      </w:r>
      <w:proofErr w:type="spellEnd"/>
      <w:r w:rsidRPr="0052290F">
        <w:rPr>
          <w:color w:val="auto"/>
          <w:sz w:val="22"/>
          <w:szCs w:val="22"/>
        </w:rPr>
        <w:t xml:space="preserve"> De-Rating </w:t>
      </w:r>
      <w:proofErr w:type="spellStart"/>
      <w:r w:rsidRPr="0052290F">
        <w:rPr>
          <w:color w:val="auto"/>
          <w:sz w:val="22"/>
          <w:szCs w:val="22"/>
        </w:rPr>
        <w:t>Faktörleri</w:t>
      </w:r>
      <w:bookmarkEnd w:id="80"/>
      <w:proofErr w:type="spellEnd"/>
    </w:p>
    <w:p w14:paraId="135AD858" w14:textId="020652E6" w:rsidR="0052290F" w:rsidRDefault="00342E60" w:rsidP="004D4361">
      <w:pPr>
        <w:spacing w:line="360" w:lineRule="auto"/>
        <w:jc w:val="both"/>
        <w:rPr>
          <w:lang w:val="tr-TR"/>
        </w:rPr>
      </w:pPr>
      <w:r>
        <w:rPr>
          <w:lang w:val="tr-TR"/>
        </w:rPr>
        <w:fldChar w:fldCharType="begin"/>
      </w:r>
      <w:r>
        <w:rPr>
          <w:lang w:val="tr-TR"/>
        </w:rPr>
        <w:instrText xml:space="preserve"> REF _Ref155875877 \h </w:instrText>
      </w:r>
      <w:r>
        <w:rPr>
          <w:lang w:val="tr-TR"/>
        </w:rPr>
      </w:r>
      <w:r>
        <w:rPr>
          <w:lang w:val="tr-TR"/>
        </w:rPr>
        <w:fldChar w:fldCharType="separate"/>
      </w:r>
      <w:proofErr w:type="spellStart"/>
      <w:r w:rsidRPr="0052290F">
        <w:t>Şekil</w:t>
      </w:r>
      <w:proofErr w:type="spellEnd"/>
      <w:r w:rsidRPr="0052290F">
        <w:t xml:space="preserve"> </w:t>
      </w:r>
      <w:r w:rsidRPr="0052290F">
        <w:rPr>
          <w:noProof/>
        </w:rPr>
        <w:t>17</w:t>
      </w:r>
      <w:r>
        <w:rPr>
          <w:lang w:val="tr-TR"/>
        </w:rPr>
        <w:fldChar w:fldCharType="end"/>
      </w:r>
      <w:r>
        <w:rPr>
          <w:lang w:val="tr-TR"/>
        </w:rPr>
        <w:t xml:space="preserve">’de gösterilen </w:t>
      </w:r>
      <w:proofErr w:type="spellStart"/>
      <w:r>
        <w:rPr>
          <w:lang w:val="tr-TR"/>
        </w:rPr>
        <w:t>hidro</w:t>
      </w:r>
      <w:proofErr w:type="spellEnd"/>
      <w:r>
        <w:rPr>
          <w:lang w:val="tr-TR"/>
        </w:rPr>
        <w:t xml:space="preserve"> de-rating faktörleri, depolamaya bitişik olan hidroelektrik santrallerini kapsamamaktadır. Depolamayla entegre olan hidroelektrik santralleri </w:t>
      </w:r>
      <w:r w:rsidR="00B670C2">
        <w:rPr>
          <w:lang w:val="tr-TR"/>
        </w:rPr>
        <w:t>depolama</w:t>
      </w:r>
      <w:r>
        <w:rPr>
          <w:lang w:val="tr-TR"/>
        </w:rPr>
        <w:t xml:space="preserve"> kapsamında uygulanan de-rating faktörlerine tabi olmaktadır. </w:t>
      </w:r>
      <w:r w:rsidR="0052290F" w:rsidRPr="0052290F">
        <w:rPr>
          <w:lang w:val="tr-TR"/>
        </w:rPr>
        <w:t xml:space="preserve">2014 ile 2017 yılları arasında tüm depolama teknolojilerine aynı </w:t>
      </w:r>
      <w:r w:rsidR="004C1EB3">
        <w:rPr>
          <w:lang w:val="tr-TR"/>
        </w:rPr>
        <w:t>d</w:t>
      </w:r>
      <w:r w:rsidR="0052290F" w:rsidRPr="0052290F">
        <w:rPr>
          <w:lang w:val="tr-TR"/>
        </w:rPr>
        <w:t>e-</w:t>
      </w:r>
      <w:r w:rsidR="004C1EB3">
        <w:rPr>
          <w:lang w:val="tr-TR"/>
        </w:rPr>
        <w:t>r</w:t>
      </w:r>
      <w:r w:rsidR="0052290F" w:rsidRPr="0052290F">
        <w:rPr>
          <w:lang w:val="tr-TR"/>
        </w:rPr>
        <w:t xml:space="preserve">ating faktörü uygulanırken, 2017 yılından itibaren depolama süresi bazlı bir </w:t>
      </w:r>
      <w:r w:rsidR="004C1EB3">
        <w:rPr>
          <w:lang w:val="tr-TR"/>
        </w:rPr>
        <w:t>d</w:t>
      </w:r>
      <w:r w:rsidR="0052290F" w:rsidRPr="0052290F">
        <w:rPr>
          <w:lang w:val="tr-TR"/>
        </w:rPr>
        <w:t>e-</w:t>
      </w:r>
      <w:r w:rsidR="004C1EB3">
        <w:rPr>
          <w:lang w:val="tr-TR"/>
        </w:rPr>
        <w:t>r</w:t>
      </w:r>
      <w:r w:rsidR="0052290F" w:rsidRPr="0052290F">
        <w:rPr>
          <w:lang w:val="tr-TR"/>
        </w:rPr>
        <w:t xml:space="preserve">ating faktörü uygulanmaya başlanmıştır. De-rating değerleri </w:t>
      </w:r>
      <w:r w:rsidR="003E4C08">
        <w:rPr>
          <w:lang w:val="tr-TR"/>
        </w:rPr>
        <w:t xml:space="preserve">depolama süresi </w:t>
      </w:r>
      <w:r w:rsidR="0052290F" w:rsidRPr="0052290F">
        <w:rPr>
          <w:lang w:val="tr-TR"/>
        </w:rPr>
        <w:t xml:space="preserve">minimum 0,5 saat ile </w:t>
      </w:r>
      <w:r w:rsidR="009C369E">
        <w:rPr>
          <w:lang w:val="tr-TR"/>
        </w:rPr>
        <w:t xml:space="preserve">maksimum </w:t>
      </w:r>
      <w:r>
        <w:rPr>
          <w:lang w:val="tr-TR"/>
        </w:rPr>
        <w:t>9,5</w:t>
      </w:r>
      <w:r w:rsidR="00D80C7B">
        <w:rPr>
          <w:lang w:val="tr-TR"/>
        </w:rPr>
        <w:t xml:space="preserve"> saati </w:t>
      </w:r>
      <w:r w:rsidR="003E4C08">
        <w:rPr>
          <w:lang w:val="tr-TR"/>
        </w:rPr>
        <w:t>aşmak üzere</w:t>
      </w:r>
      <w:r>
        <w:rPr>
          <w:lang w:val="tr-TR"/>
        </w:rPr>
        <w:t xml:space="preserve"> (2022 yılı itibarıyla)</w:t>
      </w:r>
      <w:r w:rsidR="0052290F" w:rsidRPr="0052290F">
        <w:rPr>
          <w:lang w:val="tr-TR"/>
        </w:rPr>
        <w:t xml:space="preserve"> her yarım saatlik depolama farkı için ayrı ayrı belirlenmiştir. Depolama kapasitesi yükseldikçe </w:t>
      </w:r>
      <w:r w:rsidR="004C1EB3">
        <w:rPr>
          <w:lang w:val="tr-TR"/>
        </w:rPr>
        <w:t>d</w:t>
      </w:r>
      <w:r w:rsidR="0052290F" w:rsidRPr="0052290F">
        <w:rPr>
          <w:lang w:val="tr-TR"/>
        </w:rPr>
        <w:t>e-</w:t>
      </w:r>
      <w:r w:rsidR="004C1EB3">
        <w:rPr>
          <w:lang w:val="tr-TR"/>
        </w:rPr>
        <w:t>r</w:t>
      </w:r>
      <w:r w:rsidR="0052290F" w:rsidRPr="0052290F">
        <w:rPr>
          <w:lang w:val="tr-TR"/>
        </w:rPr>
        <w:t xml:space="preserve">ating faktör yükselmektedir. Batarya ve depolama teknolojilerine uygulanan </w:t>
      </w:r>
      <w:r w:rsidR="004C1EB3">
        <w:rPr>
          <w:lang w:val="tr-TR"/>
        </w:rPr>
        <w:t>d</w:t>
      </w:r>
      <w:r w:rsidR="0052290F" w:rsidRPr="0052290F">
        <w:rPr>
          <w:lang w:val="tr-TR"/>
        </w:rPr>
        <w:t>e-</w:t>
      </w:r>
      <w:r w:rsidR="004C1EB3">
        <w:rPr>
          <w:lang w:val="tr-TR"/>
        </w:rPr>
        <w:t>r</w:t>
      </w:r>
      <w:r w:rsidR="0052290F" w:rsidRPr="0052290F">
        <w:rPr>
          <w:lang w:val="tr-TR"/>
        </w:rPr>
        <w:t xml:space="preserve">ating faktörlerine ise </w:t>
      </w:r>
      <w:r w:rsidR="0052290F">
        <w:rPr>
          <w:lang w:val="tr-TR"/>
        </w:rPr>
        <w:fldChar w:fldCharType="begin"/>
      </w:r>
      <w:r w:rsidR="0052290F">
        <w:rPr>
          <w:lang w:val="tr-TR"/>
        </w:rPr>
        <w:instrText xml:space="preserve"> REF _Ref155876087 \h </w:instrText>
      </w:r>
      <w:r w:rsidR="0052290F">
        <w:rPr>
          <w:lang w:val="tr-TR"/>
        </w:rPr>
      </w:r>
      <w:r w:rsidR="0052290F">
        <w:rPr>
          <w:lang w:val="tr-TR"/>
        </w:rPr>
        <w:fldChar w:fldCharType="separate"/>
      </w:r>
      <w:proofErr w:type="spellStart"/>
      <w:r w:rsidR="0052290F" w:rsidRPr="0052290F">
        <w:t>Şekil</w:t>
      </w:r>
      <w:proofErr w:type="spellEnd"/>
      <w:r w:rsidR="0052290F" w:rsidRPr="0052290F">
        <w:t xml:space="preserve"> </w:t>
      </w:r>
      <w:r w:rsidR="0052290F" w:rsidRPr="0052290F">
        <w:rPr>
          <w:noProof/>
        </w:rPr>
        <w:t>18</w:t>
      </w:r>
      <w:r w:rsidR="0052290F">
        <w:rPr>
          <w:lang w:val="tr-TR"/>
        </w:rPr>
        <w:fldChar w:fldCharType="end"/>
      </w:r>
      <w:r w:rsidR="0052290F">
        <w:rPr>
          <w:lang w:val="tr-TR"/>
        </w:rPr>
        <w:t>’de</w:t>
      </w:r>
      <w:r w:rsidR="0052290F" w:rsidRPr="0052290F">
        <w:rPr>
          <w:lang w:val="tr-TR"/>
        </w:rPr>
        <w:t xml:space="preserve"> yer verilm</w:t>
      </w:r>
      <w:r w:rsidR="0052290F">
        <w:rPr>
          <w:lang w:val="tr-TR"/>
        </w:rPr>
        <w:t>ektedir</w:t>
      </w:r>
      <w:r w:rsidR="00D80C7B">
        <w:rPr>
          <w:rStyle w:val="FootnoteReference"/>
          <w:lang w:val="tr-TR"/>
        </w:rPr>
        <w:footnoteReference w:id="10"/>
      </w:r>
      <w:sdt>
        <w:sdtPr>
          <w:rPr>
            <w:lang w:val="tr-TR"/>
          </w:rPr>
          <w:id w:val="-1812016262"/>
          <w:citation/>
        </w:sdtPr>
        <w:sdtEndPr/>
        <w:sdtContent>
          <w:r>
            <w:rPr>
              <w:lang w:val="tr-TR"/>
            </w:rPr>
            <w:fldChar w:fldCharType="begin"/>
          </w:r>
          <w:r>
            <w:rPr>
              <w:lang w:val="tr-TR"/>
            </w:rPr>
            <w:instrText xml:space="preserve">CITATION Nat221 \n  \l 1055 </w:instrText>
          </w:r>
          <w:r>
            <w:rPr>
              <w:lang w:val="tr-TR"/>
            </w:rPr>
            <w:fldChar w:fldCharType="separate"/>
          </w:r>
          <w:r>
            <w:rPr>
              <w:noProof/>
              <w:lang w:val="tr-TR"/>
            </w:rPr>
            <w:t xml:space="preserve"> (Electricity Capacity Report, 2022)</w:t>
          </w:r>
          <w:r>
            <w:rPr>
              <w:lang w:val="tr-TR"/>
            </w:rPr>
            <w:fldChar w:fldCharType="end"/>
          </w:r>
        </w:sdtContent>
      </w:sdt>
      <w:r w:rsidR="00B670C2">
        <w:rPr>
          <w:lang w:val="tr-TR"/>
        </w:rPr>
        <w:t>.</w:t>
      </w:r>
    </w:p>
    <w:p w14:paraId="5D078AD1" w14:textId="77777777" w:rsidR="0052290F" w:rsidRDefault="0052290F" w:rsidP="009C4C8B">
      <w:pPr>
        <w:keepNext/>
        <w:spacing w:line="360" w:lineRule="auto"/>
        <w:jc w:val="both"/>
      </w:pPr>
      <w:r>
        <w:rPr>
          <w:noProof/>
          <w:lang w:val="tr-TR"/>
        </w:rPr>
        <w:drawing>
          <wp:inline distT="0" distB="0" distL="0" distR="0" wp14:anchorId="046928A2" wp14:editId="1115AD1A">
            <wp:extent cx="5943600" cy="2414270"/>
            <wp:effectExtent l="0" t="0" r="0" b="5080"/>
            <wp:docPr id="7888439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D358DA" w14:textId="09BA2756" w:rsidR="0052290F" w:rsidRDefault="0052290F" w:rsidP="009C4C8B">
      <w:pPr>
        <w:pStyle w:val="Caption"/>
        <w:jc w:val="center"/>
        <w:rPr>
          <w:lang w:val="tr-TR"/>
        </w:rPr>
      </w:pPr>
      <w:bookmarkStart w:id="81" w:name="_Ref155876087"/>
      <w:bookmarkStart w:id="82" w:name="_Toc156210472"/>
      <w:proofErr w:type="spellStart"/>
      <w:r w:rsidRPr="0052290F">
        <w:rPr>
          <w:color w:val="auto"/>
          <w:sz w:val="22"/>
          <w:szCs w:val="22"/>
        </w:rPr>
        <w:t>Şekil</w:t>
      </w:r>
      <w:proofErr w:type="spellEnd"/>
      <w:r w:rsidRPr="0052290F">
        <w:rPr>
          <w:color w:val="auto"/>
          <w:sz w:val="22"/>
          <w:szCs w:val="22"/>
        </w:rPr>
        <w:t xml:space="preserve"> </w:t>
      </w:r>
      <w:r w:rsidRPr="00CF2792">
        <w:fldChar w:fldCharType="begin"/>
      </w:r>
      <w:r w:rsidRPr="0052290F">
        <w:rPr>
          <w:color w:val="auto"/>
          <w:sz w:val="22"/>
          <w:szCs w:val="22"/>
        </w:rPr>
        <w:instrText xml:space="preserve"> SEQ Şekil \* ARABIC </w:instrText>
      </w:r>
      <w:r w:rsidRPr="00CF2792">
        <w:fldChar w:fldCharType="separate"/>
      </w:r>
      <w:r>
        <w:rPr>
          <w:noProof/>
          <w:color w:val="auto"/>
          <w:sz w:val="22"/>
          <w:szCs w:val="22"/>
        </w:rPr>
        <w:t>18</w:t>
      </w:r>
      <w:r w:rsidRPr="00CF2792">
        <w:fldChar w:fldCharType="end"/>
      </w:r>
      <w:bookmarkEnd w:id="81"/>
      <w:r w:rsidRPr="0052290F">
        <w:rPr>
          <w:color w:val="auto"/>
          <w:sz w:val="22"/>
          <w:szCs w:val="22"/>
        </w:rPr>
        <w:t xml:space="preserve">. 2014-2022 </w:t>
      </w:r>
      <w:proofErr w:type="spellStart"/>
      <w:r w:rsidRPr="0052290F">
        <w:rPr>
          <w:color w:val="auto"/>
          <w:sz w:val="22"/>
          <w:szCs w:val="22"/>
        </w:rPr>
        <w:t>Yılı</w:t>
      </w:r>
      <w:proofErr w:type="spellEnd"/>
      <w:r w:rsidRPr="0052290F">
        <w:rPr>
          <w:color w:val="auto"/>
          <w:sz w:val="22"/>
          <w:szCs w:val="22"/>
        </w:rPr>
        <w:t xml:space="preserve"> </w:t>
      </w:r>
      <w:proofErr w:type="spellStart"/>
      <w:r w:rsidRPr="0052290F">
        <w:rPr>
          <w:color w:val="auto"/>
          <w:sz w:val="22"/>
          <w:szCs w:val="22"/>
        </w:rPr>
        <w:t>Kapasite</w:t>
      </w:r>
      <w:proofErr w:type="spellEnd"/>
      <w:r w:rsidRPr="0052290F">
        <w:rPr>
          <w:color w:val="auto"/>
          <w:sz w:val="22"/>
          <w:szCs w:val="22"/>
        </w:rPr>
        <w:t xml:space="preserve"> </w:t>
      </w:r>
      <w:proofErr w:type="spellStart"/>
      <w:r w:rsidRPr="0052290F">
        <w:rPr>
          <w:color w:val="auto"/>
          <w:sz w:val="22"/>
          <w:szCs w:val="22"/>
        </w:rPr>
        <w:t>Mekanizması</w:t>
      </w:r>
      <w:proofErr w:type="spellEnd"/>
      <w:r w:rsidRPr="0052290F">
        <w:rPr>
          <w:color w:val="auto"/>
          <w:sz w:val="22"/>
          <w:szCs w:val="22"/>
        </w:rPr>
        <w:t xml:space="preserve"> </w:t>
      </w:r>
      <w:proofErr w:type="spellStart"/>
      <w:r w:rsidRPr="0052290F">
        <w:rPr>
          <w:color w:val="auto"/>
          <w:sz w:val="22"/>
          <w:szCs w:val="22"/>
        </w:rPr>
        <w:t>İhalelerinde</w:t>
      </w:r>
      <w:proofErr w:type="spellEnd"/>
      <w:r w:rsidRPr="0052290F">
        <w:rPr>
          <w:color w:val="auto"/>
          <w:sz w:val="22"/>
          <w:szCs w:val="22"/>
        </w:rPr>
        <w:t xml:space="preserve"> </w:t>
      </w:r>
      <w:proofErr w:type="spellStart"/>
      <w:r w:rsidRPr="0052290F">
        <w:rPr>
          <w:color w:val="auto"/>
          <w:sz w:val="22"/>
          <w:szCs w:val="22"/>
        </w:rPr>
        <w:t>Batarya</w:t>
      </w:r>
      <w:proofErr w:type="spellEnd"/>
      <w:r w:rsidRPr="0052290F">
        <w:rPr>
          <w:color w:val="auto"/>
          <w:sz w:val="22"/>
          <w:szCs w:val="22"/>
        </w:rPr>
        <w:t xml:space="preserve"> ve </w:t>
      </w:r>
      <w:proofErr w:type="spellStart"/>
      <w:r w:rsidRPr="0052290F">
        <w:rPr>
          <w:color w:val="auto"/>
          <w:sz w:val="22"/>
          <w:szCs w:val="22"/>
        </w:rPr>
        <w:t>Depolama</w:t>
      </w:r>
      <w:proofErr w:type="spellEnd"/>
      <w:r w:rsidRPr="0052290F">
        <w:rPr>
          <w:color w:val="auto"/>
          <w:sz w:val="22"/>
          <w:szCs w:val="22"/>
        </w:rPr>
        <w:t xml:space="preserve"> De-Rating </w:t>
      </w:r>
      <w:proofErr w:type="spellStart"/>
      <w:r w:rsidRPr="0052290F">
        <w:rPr>
          <w:color w:val="auto"/>
          <w:sz w:val="22"/>
          <w:szCs w:val="22"/>
        </w:rPr>
        <w:t>Faktörleri</w:t>
      </w:r>
      <w:bookmarkEnd w:id="82"/>
      <w:proofErr w:type="spellEnd"/>
    </w:p>
    <w:p w14:paraId="63DF17C3" w14:textId="738CBDC7" w:rsidR="0052290F" w:rsidRDefault="0052290F" w:rsidP="004D4361">
      <w:pPr>
        <w:spacing w:line="360" w:lineRule="auto"/>
        <w:jc w:val="both"/>
        <w:rPr>
          <w:lang w:val="tr-TR"/>
        </w:rPr>
      </w:pPr>
      <w:r w:rsidRPr="0052290F">
        <w:rPr>
          <w:lang w:val="tr-TR"/>
        </w:rPr>
        <w:t xml:space="preserve">Ulusal Şebeke İşletmecisi, yenilenebilir enerji kaynaklarına dair de-rating faktörlerini tanıtarak yenilenebilir enerji kaynaklarının kapasite piyasasına nasıl dahil olabileceklerine dair çalışmayı 2019 yılında gerçekleştirmiştir. </w:t>
      </w:r>
      <w:r>
        <w:rPr>
          <w:lang w:val="tr-TR"/>
        </w:rPr>
        <w:t xml:space="preserve"> </w:t>
      </w:r>
      <w:r w:rsidRPr="0052290F">
        <w:rPr>
          <w:lang w:val="tr-TR"/>
        </w:rPr>
        <w:t>Ulusal Şebeke İşletmecisi bu faktörleri belirlerken baz aldığı kriterlerden biri “</w:t>
      </w:r>
      <w:proofErr w:type="spellStart"/>
      <w:r w:rsidRPr="0052290F">
        <w:rPr>
          <w:lang w:val="tr-TR"/>
        </w:rPr>
        <w:t>Equivalent</w:t>
      </w:r>
      <w:proofErr w:type="spellEnd"/>
      <w:r w:rsidRPr="0052290F">
        <w:rPr>
          <w:lang w:val="tr-TR"/>
        </w:rPr>
        <w:t xml:space="preserve"> </w:t>
      </w:r>
      <w:proofErr w:type="spellStart"/>
      <w:r w:rsidRPr="0052290F">
        <w:rPr>
          <w:lang w:val="tr-TR"/>
        </w:rPr>
        <w:t>Firm</w:t>
      </w:r>
      <w:proofErr w:type="spellEnd"/>
      <w:r w:rsidRPr="0052290F">
        <w:rPr>
          <w:lang w:val="tr-TR"/>
        </w:rPr>
        <w:t xml:space="preserve"> </w:t>
      </w:r>
      <w:proofErr w:type="spellStart"/>
      <w:r w:rsidRPr="0052290F">
        <w:rPr>
          <w:lang w:val="tr-TR"/>
        </w:rPr>
        <w:t>Capacity</w:t>
      </w:r>
      <w:proofErr w:type="spellEnd"/>
      <w:r w:rsidRPr="0052290F">
        <w:rPr>
          <w:lang w:val="tr-TR"/>
        </w:rPr>
        <w:t>” (EFC)’</w:t>
      </w:r>
      <w:proofErr w:type="spellStart"/>
      <w:r w:rsidRPr="0052290F">
        <w:rPr>
          <w:lang w:val="tr-TR"/>
        </w:rPr>
        <w:t>dir</w:t>
      </w:r>
      <w:proofErr w:type="spellEnd"/>
      <w:r w:rsidRPr="0052290F">
        <w:rPr>
          <w:lang w:val="tr-TR"/>
        </w:rPr>
        <w:t xml:space="preserve">. </w:t>
      </w:r>
      <w:proofErr w:type="spellStart"/>
      <w:r w:rsidRPr="0052290F">
        <w:rPr>
          <w:lang w:val="tr-TR"/>
        </w:rPr>
        <w:t>EFC’nin</w:t>
      </w:r>
      <w:proofErr w:type="spellEnd"/>
      <w:r w:rsidRPr="0052290F">
        <w:rPr>
          <w:lang w:val="tr-TR"/>
        </w:rPr>
        <w:t xml:space="preserve"> tanımı, bir kaynağın sistemdeki risk seviyesini değiştirmeden </w:t>
      </w:r>
      <w:proofErr w:type="gramStart"/>
      <w:r w:rsidRPr="0052290F">
        <w:rPr>
          <w:lang w:val="tr-TR"/>
        </w:rPr>
        <w:t>sağlayabileceği</w:t>
      </w:r>
      <w:proofErr w:type="gramEnd"/>
      <w:r w:rsidRPr="0052290F">
        <w:rPr>
          <w:lang w:val="tr-TR"/>
        </w:rPr>
        <w:t xml:space="preserve"> güvenilir ve kesin kapasite miktarıdır. Doğal olarak üretimlerinde değişkenliği çok olan kaynaklar daha az güvenilir oldukları için </w:t>
      </w:r>
      <w:proofErr w:type="spellStart"/>
      <w:r w:rsidRPr="0052290F">
        <w:rPr>
          <w:lang w:val="tr-TR"/>
        </w:rPr>
        <w:t>EFC’leri</w:t>
      </w:r>
      <w:proofErr w:type="spellEnd"/>
      <w:r w:rsidRPr="0052290F">
        <w:rPr>
          <w:lang w:val="tr-TR"/>
        </w:rPr>
        <w:t xml:space="preserve"> daha düşük olmaktadır. Ulusal Şebeke </w:t>
      </w:r>
      <w:proofErr w:type="spellStart"/>
      <w:r w:rsidRPr="0052290F">
        <w:rPr>
          <w:lang w:val="tr-TR"/>
        </w:rPr>
        <w:t>İşletmecisi’nin</w:t>
      </w:r>
      <w:proofErr w:type="spellEnd"/>
      <w:r w:rsidRPr="0052290F">
        <w:rPr>
          <w:lang w:val="tr-TR"/>
        </w:rPr>
        <w:t xml:space="preserve"> baz aldığı bir diğer kriter ise “</w:t>
      </w:r>
      <w:proofErr w:type="spellStart"/>
      <w:r w:rsidRPr="0052290F">
        <w:rPr>
          <w:lang w:val="tr-TR"/>
        </w:rPr>
        <w:t>Power</w:t>
      </w:r>
      <w:proofErr w:type="spellEnd"/>
      <w:r w:rsidRPr="0052290F">
        <w:rPr>
          <w:lang w:val="tr-TR"/>
        </w:rPr>
        <w:t xml:space="preserve"> </w:t>
      </w:r>
      <w:proofErr w:type="spellStart"/>
      <w:r w:rsidRPr="0052290F">
        <w:rPr>
          <w:lang w:val="tr-TR"/>
        </w:rPr>
        <w:t>Curves</w:t>
      </w:r>
      <w:proofErr w:type="spellEnd"/>
      <w:r w:rsidRPr="0052290F">
        <w:rPr>
          <w:lang w:val="tr-TR"/>
        </w:rPr>
        <w:t>” yani güç eğrileridir. Ulusal Şebeke İşletmecisi bu eğrileri, doğal kaynakların uzun dönemdeki ortalama üretimlerini hesaplamak için kullanmakta ve bu bağlamda arz güvenliğine olan potansiyel katkılarını değerlendirmektedir.</w:t>
      </w:r>
      <w:r w:rsidR="00C164A6">
        <w:rPr>
          <w:lang w:val="tr-TR"/>
        </w:rPr>
        <w:t xml:space="preserve"> Bu güç eğrileri yıllık olarak güncellenmekte ve yıllık olarak açıklanan de-rating faktörlerinde farklılığa sebep olmaktadır.</w:t>
      </w:r>
      <w:r>
        <w:rPr>
          <w:lang w:val="tr-TR"/>
        </w:rPr>
        <w:t xml:space="preserve"> </w:t>
      </w:r>
    </w:p>
    <w:p w14:paraId="17E316C2" w14:textId="098CD933" w:rsidR="009B7EF6" w:rsidRDefault="0052290F" w:rsidP="004D4361">
      <w:pPr>
        <w:spacing w:line="360" w:lineRule="auto"/>
        <w:jc w:val="both"/>
        <w:rPr>
          <w:lang w:val="tr-TR"/>
        </w:rPr>
      </w:pPr>
      <w:r w:rsidRPr="0052290F">
        <w:rPr>
          <w:lang w:val="tr-TR"/>
        </w:rPr>
        <w:t xml:space="preserve">Yenilenebilir enerji kaynaklı De-Rating faktörleri </w:t>
      </w:r>
      <w:proofErr w:type="gramStart"/>
      <w:r w:rsidRPr="0052290F">
        <w:rPr>
          <w:lang w:val="tr-TR"/>
        </w:rPr>
        <w:t>%1</w:t>
      </w:r>
      <w:proofErr w:type="gramEnd"/>
      <w:r w:rsidRPr="0052290F">
        <w:rPr>
          <w:lang w:val="tr-TR"/>
        </w:rPr>
        <w:t xml:space="preserve"> ile %15 arasında değişkenlik göstermektedir. Yenilenebilir enerji kaynakları, özellikle güneş enerjisi, enerji sisteminin </w:t>
      </w:r>
      <w:r>
        <w:rPr>
          <w:lang w:val="tr-TR"/>
        </w:rPr>
        <w:t>ihtiyaç anındaki</w:t>
      </w:r>
      <w:r w:rsidRPr="0052290F">
        <w:rPr>
          <w:lang w:val="tr-TR"/>
        </w:rPr>
        <w:t xml:space="preserve"> yanıt verebilme potansiyeline çok marjinal bir ölçüde katkı verebilmektedir. Güneş enerjisi için iler</w:t>
      </w:r>
      <w:r>
        <w:rPr>
          <w:lang w:val="tr-TR"/>
        </w:rPr>
        <w:t>i</w:t>
      </w:r>
      <w:r w:rsidRPr="0052290F">
        <w:rPr>
          <w:lang w:val="tr-TR"/>
        </w:rPr>
        <w:t xml:space="preserve">deki teslimat yıllarına dair belirlenen </w:t>
      </w:r>
      <w:proofErr w:type="gramStart"/>
      <w:r w:rsidRPr="0052290F">
        <w:rPr>
          <w:lang w:val="tr-TR"/>
        </w:rPr>
        <w:t>%1,17</w:t>
      </w:r>
      <w:proofErr w:type="gramEnd"/>
      <w:r w:rsidRPr="0052290F">
        <w:rPr>
          <w:lang w:val="tr-TR"/>
        </w:rPr>
        <w:t xml:space="preserve"> ile %1,76 arasında değişen </w:t>
      </w:r>
      <w:r w:rsidR="004C1EB3">
        <w:rPr>
          <w:lang w:val="tr-TR"/>
        </w:rPr>
        <w:t>d</w:t>
      </w:r>
      <w:r w:rsidRPr="0052290F">
        <w:rPr>
          <w:lang w:val="tr-TR"/>
        </w:rPr>
        <w:t>e-</w:t>
      </w:r>
      <w:r w:rsidR="004C1EB3">
        <w:rPr>
          <w:lang w:val="tr-TR"/>
        </w:rPr>
        <w:t>r</w:t>
      </w:r>
      <w:r w:rsidRPr="0052290F">
        <w:rPr>
          <w:lang w:val="tr-TR"/>
        </w:rPr>
        <w:t xml:space="preserve">ating faktörleri, güneş enerjisinin </w:t>
      </w:r>
      <w:r>
        <w:rPr>
          <w:lang w:val="tr-TR"/>
        </w:rPr>
        <w:t>ihtiyaç anında</w:t>
      </w:r>
      <w:r w:rsidRPr="0052290F">
        <w:rPr>
          <w:lang w:val="tr-TR"/>
        </w:rPr>
        <w:t xml:space="preserve"> sisteme katkısının çok az olduğunu ve gün ışığı saatleri dışında ihmal edilebilir olduğunu göstermektedir. Güneş enerjisinin sisteme katkısı, ürettikleri elektriğin bataryalarda depolanması ve sistemin gereklilik anında bu elektriği kullanabilmesi ile sınırlı kalmaktadır. Karasal ve </w:t>
      </w:r>
      <w:r w:rsidR="005A3BE7" w:rsidRPr="0052290F">
        <w:rPr>
          <w:lang w:val="tr-TR"/>
        </w:rPr>
        <w:t>deniz üstü</w:t>
      </w:r>
      <w:r w:rsidRPr="0052290F">
        <w:rPr>
          <w:lang w:val="tr-TR"/>
        </w:rPr>
        <w:t xml:space="preserve"> rüzgâr enerjilerinin ise sisteme daha büyük bir katkısı olmaktadır ve belirlenen </w:t>
      </w:r>
      <w:r w:rsidR="004C1EB3">
        <w:rPr>
          <w:lang w:val="tr-TR"/>
        </w:rPr>
        <w:t>d</w:t>
      </w:r>
      <w:r w:rsidRPr="0052290F">
        <w:rPr>
          <w:lang w:val="tr-TR"/>
        </w:rPr>
        <w:t>e-</w:t>
      </w:r>
      <w:r w:rsidR="004C1EB3">
        <w:rPr>
          <w:lang w:val="tr-TR"/>
        </w:rPr>
        <w:t>r</w:t>
      </w:r>
      <w:r w:rsidRPr="0052290F">
        <w:rPr>
          <w:lang w:val="tr-TR"/>
        </w:rPr>
        <w:t xml:space="preserve">ating faktörleri </w:t>
      </w:r>
      <w:proofErr w:type="gramStart"/>
      <w:r w:rsidRPr="0052290F">
        <w:rPr>
          <w:lang w:val="tr-TR"/>
        </w:rPr>
        <w:t>%8,2</w:t>
      </w:r>
      <w:proofErr w:type="gramEnd"/>
      <w:r w:rsidRPr="0052290F">
        <w:rPr>
          <w:lang w:val="tr-TR"/>
        </w:rPr>
        <w:t xml:space="preserve"> ve %14,6 arasında değişmektedir. </w:t>
      </w:r>
      <w:r>
        <w:rPr>
          <w:lang w:val="tr-TR"/>
        </w:rPr>
        <w:t>K</w:t>
      </w:r>
      <w:r w:rsidRPr="0052290F">
        <w:rPr>
          <w:lang w:val="tr-TR"/>
        </w:rPr>
        <w:t xml:space="preserve">arasal ve </w:t>
      </w:r>
      <w:r w:rsidR="005A3BE7" w:rsidRPr="0052290F">
        <w:rPr>
          <w:lang w:val="tr-TR"/>
        </w:rPr>
        <w:t>deniz üstü</w:t>
      </w:r>
      <w:r w:rsidRPr="0052290F">
        <w:rPr>
          <w:lang w:val="tr-TR"/>
        </w:rPr>
        <w:t xml:space="preserve"> rüzgâr enerjisinin üretim miktarları ve paternlerindeki farklılıklar göz önünde bulundurulmuş ve her ikisi için ayrı bir de-rating faktörü belirlenmiştir. Ulusal Şebeke İşletmecisi, tüm güneş enerjisi için ayrım yapmadan tek bir güç eğrisini baz almıştır. Yenilenebilir enerjiye dair </w:t>
      </w:r>
      <w:r w:rsidR="004C1EB3">
        <w:rPr>
          <w:noProof/>
        </w:rPr>
        <mc:AlternateContent>
          <mc:Choice Requires="wps">
            <w:drawing>
              <wp:anchor distT="0" distB="0" distL="114300" distR="114300" simplePos="0" relativeHeight="251662353" behindDoc="0" locked="0" layoutInCell="1" allowOverlap="1" wp14:anchorId="0DFA407D" wp14:editId="3104936D">
                <wp:simplePos x="0" y="0"/>
                <wp:positionH relativeFrom="margin">
                  <wp:align>right</wp:align>
                </wp:positionH>
                <wp:positionV relativeFrom="paragraph">
                  <wp:posOffset>4822825</wp:posOffset>
                </wp:positionV>
                <wp:extent cx="5943600" cy="635"/>
                <wp:effectExtent l="0" t="0" r="0" b="8255"/>
                <wp:wrapTopAndBottom/>
                <wp:docPr id="120369253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4155FAF" w14:textId="11CEC53F" w:rsidR="0052290F" w:rsidRPr="009C4C8B" w:rsidRDefault="0052290F" w:rsidP="009C4C8B">
                            <w:pPr>
                              <w:pStyle w:val="Caption"/>
                              <w:jc w:val="center"/>
                              <w:rPr>
                                <w:sz w:val="28"/>
                                <w:szCs w:val="28"/>
                                <w:lang w:val="tr-TR"/>
                              </w:rPr>
                            </w:pPr>
                            <w:bookmarkStart w:id="83" w:name="_Ref155876611"/>
                            <w:bookmarkStart w:id="84" w:name="_Toc156210473"/>
                            <w:r w:rsidRPr="0052290F">
                              <w:rPr>
                                <w:color w:val="auto"/>
                                <w:sz w:val="22"/>
                                <w:szCs w:val="22"/>
                              </w:rPr>
                              <w:t xml:space="preserve">Şekil </w:t>
                            </w:r>
                            <w:r w:rsidRPr="009C4C8B">
                              <w:rPr>
                                <w:color w:val="auto"/>
                                <w:sz w:val="22"/>
                                <w:szCs w:val="22"/>
                              </w:rPr>
                              <w:fldChar w:fldCharType="begin"/>
                            </w:r>
                            <w:r w:rsidRPr="0052290F">
                              <w:rPr>
                                <w:color w:val="auto"/>
                                <w:sz w:val="22"/>
                                <w:szCs w:val="22"/>
                              </w:rPr>
                              <w:instrText xml:space="preserve"> SEQ Şekil \* ARABIC </w:instrText>
                            </w:r>
                            <w:r w:rsidRPr="009C4C8B">
                              <w:rPr>
                                <w:color w:val="auto"/>
                                <w:sz w:val="22"/>
                                <w:szCs w:val="22"/>
                              </w:rPr>
                              <w:fldChar w:fldCharType="separate"/>
                            </w:r>
                            <w:r w:rsidRPr="0052290F">
                              <w:rPr>
                                <w:noProof/>
                                <w:color w:val="auto"/>
                                <w:sz w:val="22"/>
                                <w:szCs w:val="22"/>
                              </w:rPr>
                              <w:t>19</w:t>
                            </w:r>
                            <w:r w:rsidRPr="009C4C8B">
                              <w:rPr>
                                <w:color w:val="auto"/>
                                <w:sz w:val="22"/>
                                <w:szCs w:val="22"/>
                              </w:rPr>
                              <w:fldChar w:fldCharType="end"/>
                            </w:r>
                            <w:bookmarkEnd w:id="83"/>
                            <w:r w:rsidRPr="0052290F">
                              <w:rPr>
                                <w:color w:val="auto"/>
                                <w:sz w:val="22"/>
                                <w:szCs w:val="22"/>
                              </w:rPr>
                              <w:t>. 2019-2022 Yılı Kapasite Mekanizması İhalelerinde Yenilenebilir Enerji Kaynakları De-Rating Faktörleri</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FA407D" id="Text Box 1" o:spid="_x0000_s1030" type="#_x0000_t202" style="position:absolute;left:0;text-align:left;margin-left:416.8pt;margin-top:379.75pt;width:468pt;height:.05pt;z-index:25166235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3GgIAAD8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" stroked="f">
                <v:textbox style="mso-fit-shape-to-text:t" inset="0,0,0,0">
                  <w:txbxContent>
                    <w:p w14:paraId="64155FAF" w14:textId="11CEC53F" w:rsidR="0052290F" w:rsidRPr="009C4C8B" w:rsidRDefault="0052290F" w:rsidP="009C4C8B">
                      <w:pPr>
                        <w:pStyle w:val="Caption"/>
                        <w:jc w:val="center"/>
                        <w:rPr>
                          <w:sz w:val="28"/>
                          <w:szCs w:val="28"/>
                          <w:lang w:val="tr-TR"/>
                        </w:rPr>
                      </w:pPr>
                      <w:bookmarkStart w:id="85" w:name="_Ref155876611"/>
                      <w:bookmarkStart w:id="86" w:name="_Toc156210473"/>
                      <w:r w:rsidRPr="0052290F">
                        <w:rPr>
                          <w:color w:val="auto"/>
                          <w:sz w:val="22"/>
                          <w:szCs w:val="22"/>
                        </w:rPr>
                        <w:t xml:space="preserve">Şekil </w:t>
                      </w:r>
                      <w:r w:rsidRPr="009C4C8B">
                        <w:rPr>
                          <w:color w:val="auto"/>
                          <w:sz w:val="22"/>
                          <w:szCs w:val="22"/>
                        </w:rPr>
                        <w:fldChar w:fldCharType="begin"/>
                      </w:r>
                      <w:r w:rsidRPr="0052290F">
                        <w:rPr>
                          <w:color w:val="auto"/>
                          <w:sz w:val="22"/>
                          <w:szCs w:val="22"/>
                        </w:rPr>
                        <w:instrText xml:space="preserve"> SEQ Şekil \* ARABIC </w:instrText>
                      </w:r>
                      <w:r w:rsidRPr="009C4C8B">
                        <w:rPr>
                          <w:color w:val="auto"/>
                          <w:sz w:val="22"/>
                          <w:szCs w:val="22"/>
                        </w:rPr>
                        <w:fldChar w:fldCharType="separate"/>
                      </w:r>
                      <w:r w:rsidRPr="0052290F">
                        <w:rPr>
                          <w:noProof/>
                          <w:color w:val="auto"/>
                          <w:sz w:val="22"/>
                          <w:szCs w:val="22"/>
                        </w:rPr>
                        <w:t>19</w:t>
                      </w:r>
                      <w:r w:rsidRPr="009C4C8B">
                        <w:rPr>
                          <w:color w:val="auto"/>
                          <w:sz w:val="22"/>
                          <w:szCs w:val="22"/>
                        </w:rPr>
                        <w:fldChar w:fldCharType="end"/>
                      </w:r>
                      <w:bookmarkEnd w:id="85"/>
                      <w:r w:rsidRPr="0052290F">
                        <w:rPr>
                          <w:color w:val="auto"/>
                          <w:sz w:val="22"/>
                          <w:szCs w:val="22"/>
                        </w:rPr>
                        <w:t>. 2019-2022 Yılı Kapasite Mekanizması İhalelerinde Yenilenebilir Enerji Kaynakları De-Rating Faktörleri</w:t>
                      </w:r>
                      <w:bookmarkEnd w:id="86"/>
                    </w:p>
                  </w:txbxContent>
                </v:textbox>
                <w10:wrap type="topAndBottom" anchorx="margin"/>
              </v:shape>
            </w:pict>
          </mc:Fallback>
        </mc:AlternateContent>
      </w:r>
      <w:r w:rsidR="004C1EB3">
        <w:rPr>
          <w:noProof/>
          <w:lang w:val="tr-TR"/>
        </w:rPr>
        <w:drawing>
          <wp:anchor distT="0" distB="0" distL="114300" distR="114300" simplePos="0" relativeHeight="251660305" behindDoc="1" locked="0" layoutInCell="1" allowOverlap="1" wp14:anchorId="7C6CFC1A" wp14:editId="3403DD79">
            <wp:simplePos x="0" y="0"/>
            <wp:positionH relativeFrom="margin">
              <wp:posOffset>-95250</wp:posOffset>
            </wp:positionH>
            <wp:positionV relativeFrom="paragraph">
              <wp:posOffset>2285365</wp:posOffset>
            </wp:positionV>
            <wp:extent cx="5943600" cy="2493010"/>
            <wp:effectExtent l="0" t="0" r="0" b="2540"/>
            <wp:wrapTopAndBottom/>
            <wp:docPr id="4562162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52290F">
        <w:rPr>
          <w:lang w:val="tr-TR"/>
        </w:rPr>
        <w:t xml:space="preserve">belirlenen </w:t>
      </w:r>
      <w:r w:rsidR="004C1EB3">
        <w:rPr>
          <w:lang w:val="tr-TR"/>
        </w:rPr>
        <w:t>d</w:t>
      </w:r>
      <w:r w:rsidRPr="0052290F">
        <w:rPr>
          <w:lang w:val="tr-TR"/>
        </w:rPr>
        <w:t>e-</w:t>
      </w:r>
      <w:r w:rsidR="004C1EB3">
        <w:rPr>
          <w:lang w:val="tr-TR"/>
        </w:rPr>
        <w:t>r</w:t>
      </w:r>
      <w:r w:rsidRPr="0052290F">
        <w:rPr>
          <w:lang w:val="tr-TR"/>
        </w:rPr>
        <w:t xml:space="preserve">ating faktörleri </w:t>
      </w:r>
      <w:r w:rsidR="00DA57FB">
        <w:rPr>
          <w:lang w:val="tr-TR"/>
        </w:rPr>
        <w:fldChar w:fldCharType="begin"/>
      </w:r>
      <w:r w:rsidR="00DA57FB">
        <w:rPr>
          <w:lang w:val="tr-TR"/>
        </w:rPr>
        <w:instrText xml:space="preserve"> REF _Ref155876611 \h </w:instrText>
      </w:r>
      <w:r w:rsidR="00DA57FB">
        <w:rPr>
          <w:lang w:val="tr-TR"/>
        </w:rPr>
      </w:r>
      <w:r w:rsidR="00DA57FB">
        <w:rPr>
          <w:lang w:val="tr-TR"/>
        </w:rPr>
        <w:fldChar w:fldCharType="separate"/>
      </w:r>
      <w:proofErr w:type="spellStart"/>
      <w:r w:rsidR="00DA57FB" w:rsidRPr="00DA57FB">
        <w:t>Şekil</w:t>
      </w:r>
      <w:proofErr w:type="spellEnd"/>
      <w:r w:rsidR="00DA57FB" w:rsidRPr="00DA57FB">
        <w:t xml:space="preserve"> </w:t>
      </w:r>
      <w:r w:rsidR="00DA57FB" w:rsidRPr="00DA57FB">
        <w:rPr>
          <w:noProof/>
        </w:rPr>
        <w:t>19</w:t>
      </w:r>
      <w:r w:rsidR="00DA57FB">
        <w:rPr>
          <w:lang w:val="tr-TR"/>
        </w:rPr>
        <w:fldChar w:fldCharType="end"/>
      </w:r>
      <w:r w:rsidR="00DA57FB">
        <w:rPr>
          <w:lang w:val="tr-TR"/>
        </w:rPr>
        <w:t xml:space="preserve">’da </w:t>
      </w:r>
      <w:r w:rsidRPr="0052290F">
        <w:rPr>
          <w:lang w:val="tr-TR"/>
        </w:rPr>
        <w:t>gösterilm</w:t>
      </w:r>
      <w:r w:rsidR="00DA57FB">
        <w:rPr>
          <w:lang w:val="tr-TR"/>
        </w:rPr>
        <w:t>ektedir</w:t>
      </w:r>
      <w:sdt>
        <w:sdtPr>
          <w:rPr>
            <w:lang w:val="tr-TR"/>
          </w:rPr>
          <w:id w:val="-851802586"/>
          <w:citation/>
        </w:sdtPr>
        <w:sdtEndPr/>
        <w:sdtContent>
          <w:r w:rsidR="00B670C2">
            <w:rPr>
              <w:lang w:val="tr-TR"/>
            </w:rPr>
            <w:fldChar w:fldCharType="begin"/>
          </w:r>
          <w:r w:rsidR="00B670C2">
            <w:rPr>
              <w:lang w:val="tr-TR"/>
            </w:rPr>
            <w:instrText xml:space="preserve">CITATION Nat221 \n  \l 1055 </w:instrText>
          </w:r>
          <w:r w:rsidR="00B670C2">
            <w:rPr>
              <w:lang w:val="tr-TR"/>
            </w:rPr>
            <w:fldChar w:fldCharType="separate"/>
          </w:r>
          <w:r w:rsidR="00B670C2">
            <w:rPr>
              <w:noProof/>
              <w:lang w:val="tr-TR"/>
            </w:rPr>
            <w:t xml:space="preserve"> (Electricity Capacity Report, 2022)</w:t>
          </w:r>
          <w:r w:rsidR="00B670C2">
            <w:rPr>
              <w:lang w:val="tr-TR"/>
            </w:rPr>
            <w:fldChar w:fldCharType="end"/>
          </w:r>
        </w:sdtContent>
      </w:sdt>
      <w:r w:rsidR="00690549">
        <w:rPr>
          <w:lang w:val="tr-TR"/>
        </w:rPr>
        <w:t>.</w:t>
      </w:r>
    </w:p>
    <w:p w14:paraId="7DECCC91" w14:textId="28D2C6EE" w:rsidR="009B7EF6" w:rsidRPr="00CF336B" w:rsidRDefault="009B7EF6" w:rsidP="004D4361">
      <w:pPr>
        <w:spacing w:line="360" w:lineRule="auto"/>
        <w:jc w:val="both"/>
        <w:rPr>
          <w:lang w:val="tr-TR"/>
        </w:rPr>
      </w:pPr>
      <w:r w:rsidRPr="00CF336B">
        <w:rPr>
          <w:lang w:val="tr-TR"/>
        </w:rPr>
        <w:t>İhaleler T-1, T-3, T-4 olarak kategorileştirilmiştir. 2016 yılında “TA” (</w:t>
      </w:r>
      <w:proofErr w:type="spellStart"/>
      <w:r w:rsidRPr="00CF336B">
        <w:rPr>
          <w:lang w:val="tr-TR"/>
        </w:rPr>
        <w:t>Transitional</w:t>
      </w:r>
      <w:proofErr w:type="spellEnd"/>
      <w:r w:rsidRPr="00CF336B">
        <w:rPr>
          <w:lang w:val="tr-TR"/>
        </w:rPr>
        <w:t xml:space="preserve"> </w:t>
      </w:r>
      <w:proofErr w:type="spellStart"/>
      <w:r w:rsidRPr="00CF336B">
        <w:rPr>
          <w:lang w:val="tr-TR"/>
        </w:rPr>
        <w:t>Auction</w:t>
      </w:r>
      <w:proofErr w:type="spellEnd"/>
      <w:r w:rsidRPr="00CF336B">
        <w:rPr>
          <w:lang w:val="tr-TR"/>
        </w:rPr>
        <w:t>) adında geçiş dönemi olarak adlandırılan bir ihale ve 2017 yılında yine bir geçiş dönemi ihalesi ile bir “EA” (</w:t>
      </w:r>
      <w:proofErr w:type="spellStart"/>
      <w:r w:rsidRPr="00CF336B">
        <w:rPr>
          <w:lang w:val="tr-TR"/>
        </w:rPr>
        <w:t>Early</w:t>
      </w:r>
      <w:proofErr w:type="spellEnd"/>
      <w:r w:rsidRPr="00CF336B">
        <w:rPr>
          <w:lang w:val="tr-TR"/>
        </w:rPr>
        <w:t xml:space="preserve"> </w:t>
      </w:r>
      <w:proofErr w:type="spellStart"/>
      <w:r w:rsidRPr="00CF336B">
        <w:rPr>
          <w:lang w:val="tr-TR"/>
        </w:rPr>
        <w:t>Auction</w:t>
      </w:r>
      <w:proofErr w:type="spellEnd"/>
      <w:r w:rsidRPr="00CF336B">
        <w:rPr>
          <w:lang w:val="tr-TR"/>
        </w:rPr>
        <w:t xml:space="preserve">) altında erken teslimat dönemli ihale yapılmıştır. İhale kategorilerindeki “T” teslimat dönemini belirtirken rakamlar ise teslimat dönemine olan uzaklığı belirtmektedir. </w:t>
      </w:r>
      <w:r w:rsidRPr="009C4C8B">
        <w:rPr>
          <w:b/>
          <w:bCs/>
          <w:lang w:val="tr-TR"/>
        </w:rPr>
        <w:t>Örnek olarak, T-4 18/19 ifadesi 2018/2019 dönemi teslimatı olan, 2014 yılında yapılan bir ihaleyi temsil etmektedir.</w:t>
      </w:r>
      <w:r w:rsidRPr="00CF336B">
        <w:rPr>
          <w:lang w:val="tr-TR"/>
        </w:rPr>
        <w:t xml:space="preserve"> İhaleyi kazanan santraller, kapasite anlaşmalarındaki kontrat süresine bağlı olarak, teslimat yılından sonrası için de kapasite sağlamaya devam edebilme hakkına sahip olabilmektedirler. Bu kapsamdaki ilk kapasite ihalesi, Aralık 2014 yılında T-4 olarak gerçekleştirilmiş ve 2018/2019 dönemi için £19,40 kWh/yıl (</w:t>
      </w:r>
      <w:proofErr w:type="spellStart"/>
      <w:r w:rsidRPr="00CF336B">
        <w:rPr>
          <w:lang w:val="tr-TR"/>
        </w:rPr>
        <w:t>clearing</w:t>
      </w:r>
      <w:proofErr w:type="spellEnd"/>
      <w:r w:rsidRPr="00CF336B">
        <w:rPr>
          <w:lang w:val="tr-TR"/>
        </w:rPr>
        <w:t xml:space="preserve"> </w:t>
      </w:r>
      <w:proofErr w:type="spellStart"/>
      <w:r w:rsidRPr="00CF336B">
        <w:rPr>
          <w:lang w:val="tr-TR"/>
        </w:rPr>
        <w:t>price</w:t>
      </w:r>
      <w:proofErr w:type="spellEnd"/>
      <w:r w:rsidRPr="00CF336B">
        <w:rPr>
          <w:lang w:val="tr-TR"/>
        </w:rPr>
        <w:t xml:space="preserve">) fiyatından toplamda 49,3 </w:t>
      </w:r>
      <w:proofErr w:type="spellStart"/>
      <w:r w:rsidRPr="00CF336B">
        <w:rPr>
          <w:lang w:val="tr-TR"/>
        </w:rPr>
        <w:t>GW’lık</w:t>
      </w:r>
      <w:proofErr w:type="spellEnd"/>
      <w:r w:rsidRPr="00CF336B">
        <w:rPr>
          <w:lang w:val="tr-TR"/>
        </w:rPr>
        <w:t xml:space="preserve"> bir kapasite dağıtımı yapılmıştır</w:t>
      </w:r>
      <w:r w:rsidR="004A268D">
        <w:rPr>
          <w:lang w:val="tr-TR"/>
        </w:rPr>
        <w:t xml:space="preserve"> </w:t>
      </w:r>
      <w:sdt>
        <w:sdtPr>
          <w:rPr>
            <w:lang w:val="tr-TR"/>
          </w:rPr>
          <w:id w:val="2140614591"/>
          <w:citation/>
        </w:sdtPr>
        <w:sdtEndPr/>
        <w:sdtContent>
          <w:r w:rsidR="004A268D">
            <w:rPr>
              <w:lang w:val="tr-TR"/>
            </w:rPr>
            <w:fldChar w:fldCharType="begin"/>
          </w:r>
          <w:r w:rsidR="004A268D">
            <w:instrText xml:space="preserve"> CITATION Nat14 \l 1033 </w:instrText>
          </w:r>
          <w:r w:rsidR="004A268D">
            <w:rPr>
              <w:lang w:val="tr-TR"/>
            </w:rPr>
            <w:fldChar w:fldCharType="separate"/>
          </w:r>
          <w:r w:rsidR="00D95FF7">
            <w:rPr>
              <w:noProof/>
            </w:rPr>
            <w:t>(National Grid, 2014)</w:t>
          </w:r>
          <w:r w:rsidR="004A268D">
            <w:rPr>
              <w:lang w:val="tr-TR"/>
            </w:rPr>
            <w:fldChar w:fldCharType="end"/>
          </w:r>
        </w:sdtContent>
      </w:sdt>
      <w:r w:rsidR="0041729F">
        <w:rPr>
          <w:lang w:val="tr-TR"/>
        </w:rPr>
        <w:t xml:space="preserve">. </w:t>
      </w:r>
      <w:r w:rsidRPr="00CF336B">
        <w:rPr>
          <w:lang w:val="tr-TR"/>
        </w:rPr>
        <w:t xml:space="preserve">2014 yılını takiben, hedeflenen teslimat yıllarında oluşturulan kapasite miktarı </w:t>
      </w:r>
      <w:r w:rsidR="00752656" w:rsidRPr="00CF336B">
        <w:rPr>
          <w:lang w:val="tr-TR"/>
        </w:rPr>
        <w:fldChar w:fldCharType="begin"/>
      </w:r>
      <w:r w:rsidR="00752656" w:rsidRPr="00CF336B">
        <w:rPr>
          <w:lang w:val="tr-TR"/>
        </w:rPr>
        <w:instrText xml:space="preserve"> REF _Ref147845884 \h </w:instrText>
      </w:r>
      <w:r w:rsidR="00413DBB" w:rsidRPr="00CF336B">
        <w:rPr>
          <w:lang w:val="tr-TR"/>
        </w:rPr>
        <w:instrText xml:space="preserve"> \* MERGEFORMAT </w:instrText>
      </w:r>
      <w:r w:rsidR="00752656" w:rsidRPr="00CF336B">
        <w:rPr>
          <w:lang w:val="tr-TR"/>
        </w:rPr>
      </w:r>
      <w:r w:rsidR="00752656" w:rsidRPr="00CF336B">
        <w:rPr>
          <w:lang w:val="tr-TR"/>
        </w:rPr>
        <w:fldChar w:fldCharType="separate"/>
      </w:r>
      <w:r w:rsidR="001D6180" w:rsidRPr="00CF336B">
        <w:rPr>
          <w:lang w:val="tr-TR"/>
        </w:rPr>
        <w:t xml:space="preserve">Şekil </w:t>
      </w:r>
      <w:r w:rsidR="001D6180">
        <w:rPr>
          <w:noProof/>
          <w:lang w:val="tr-TR"/>
        </w:rPr>
        <w:t>20</w:t>
      </w:r>
      <w:r w:rsidR="00752656" w:rsidRPr="00CF336B">
        <w:rPr>
          <w:lang w:val="tr-TR"/>
        </w:rPr>
        <w:fldChar w:fldCharType="end"/>
      </w:r>
      <w:r w:rsidRPr="00CF336B">
        <w:rPr>
          <w:lang w:val="tr-TR"/>
        </w:rPr>
        <w:fldChar w:fldCharType="begin"/>
      </w:r>
      <w:r w:rsidRPr="00CF336B">
        <w:rPr>
          <w:lang w:val="tr-TR"/>
        </w:rPr>
        <w:instrText xml:space="preserve"> REF _Ref147684481 \h  \* MERGEFORMAT </w:instrText>
      </w:r>
      <w:r w:rsidRPr="00CF336B">
        <w:rPr>
          <w:lang w:val="tr-TR"/>
        </w:rPr>
      </w:r>
      <w:r w:rsidRPr="00CF336B">
        <w:rPr>
          <w:lang w:val="tr-TR"/>
        </w:rPr>
        <w:fldChar w:fldCharType="end"/>
      </w:r>
      <w:r w:rsidRPr="00CF336B">
        <w:rPr>
          <w:lang w:val="tr-TR"/>
        </w:rPr>
        <w:t>’d</w:t>
      </w:r>
      <w:r w:rsidR="000408C7" w:rsidRPr="00CF336B">
        <w:rPr>
          <w:lang w:val="tr-TR"/>
        </w:rPr>
        <w:t>e</w:t>
      </w:r>
      <w:r w:rsidRPr="00CF336B">
        <w:rPr>
          <w:lang w:val="tr-TR"/>
        </w:rPr>
        <w:t xml:space="preserve">, ihalelerdeki toplam kapasite içerisindeki kömür kapasitesi </w:t>
      </w:r>
      <w:r w:rsidR="000408C7" w:rsidRPr="00CF336B">
        <w:rPr>
          <w:lang w:val="tr-TR"/>
        </w:rPr>
        <w:fldChar w:fldCharType="begin"/>
      </w:r>
      <w:r w:rsidR="000408C7" w:rsidRPr="00CF336B">
        <w:rPr>
          <w:lang w:val="tr-TR"/>
        </w:rPr>
        <w:instrText xml:space="preserve"> REF _Ref147845921 \h </w:instrText>
      </w:r>
      <w:r w:rsidR="004D4361">
        <w:rPr>
          <w:lang w:val="tr-TR"/>
        </w:rPr>
        <w:instrText xml:space="preserve"> \* MERGEFORMAT </w:instrText>
      </w:r>
      <w:r w:rsidR="000408C7" w:rsidRPr="00CF336B">
        <w:rPr>
          <w:lang w:val="tr-TR"/>
        </w:rPr>
      </w:r>
      <w:r w:rsidR="000408C7" w:rsidRPr="00CF336B">
        <w:rPr>
          <w:lang w:val="tr-TR"/>
        </w:rPr>
        <w:fldChar w:fldCharType="separate"/>
      </w:r>
      <w:r w:rsidR="001D6180" w:rsidRPr="00CF336B">
        <w:rPr>
          <w:lang w:val="tr-TR"/>
        </w:rPr>
        <w:t xml:space="preserve">Şekil </w:t>
      </w:r>
      <w:r w:rsidR="001D6180">
        <w:rPr>
          <w:noProof/>
          <w:lang w:val="tr-TR"/>
        </w:rPr>
        <w:t>21</w:t>
      </w:r>
      <w:r w:rsidR="000408C7" w:rsidRPr="00CF336B">
        <w:rPr>
          <w:lang w:val="tr-TR"/>
        </w:rPr>
        <w:fldChar w:fldCharType="end"/>
      </w:r>
      <w:r w:rsidR="000408C7" w:rsidRPr="00CF336B">
        <w:rPr>
          <w:lang w:val="tr-TR"/>
        </w:rPr>
        <w:t>’de ve</w:t>
      </w:r>
      <w:r w:rsidRPr="00CF336B">
        <w:rPr>
          <w:lang w:val="tr-TR"/>
        </w:rPr>
        <w:fldChar w:fldCharType="begin"/>
      </w:r>
      <w:r w:rsidRPr="00CF336B">
        <w:rPr>
          <w:lang w:val="tr-TR"/>
        </w:rPr>
        <w:instrText xml:space="preserve"> REF _Ref147763136 \h </w:instrText>
      </w:r>
      <w:r w:rsidR="00413DBB" w:rsidRPr="00CF336B">
        <w:rPr>
          <w:lang w:val="tr-TR"/>
        </w:rPr>
        <w:instrText xml:space="preserve"> \* MERGEFORMAT </w:instrText>
      </w:r>
      <w:r w:rsidRPr="00CF336B">
        <w:rPr>
          <w:lang w:val="tr-TR"/>
        </w:rPr>
      </w:r>
      <w:r w:rsidRPr="00CF336B">
        <w:rPr>
          <w:lang w:val="tr-TR"/>
        </w:rPr>
        <w:fldChar w:fldCharType="end"/>
      </w:r>
      <w:r w:rsidR="000408C7" w:rsidRPr="00CF336B">
        <w:rPr>
          <w:lang w:val="tr-TR"/>
        </w:rPr>
        <w:t xml:space="preserve"> </w:t>
      </w:r>
      <w:r w:rsidRPr="00CF336B">
        <w:rPr>
          <w:lang w:val="tr-TR"/>
        </w:rPr>
        <w:t>kapasite</w:t>
      </w:r>
      <w:r w:rsidR="00752656" w:rsidRPr="00CF336B">
        <w:rPr>
          <w:lang w:val="tr-TR"/>
        </w:rPr>
        <w:t xml:space="preserve"> </w:t>
      </w:r>
      <w:r w:rsidRPr="00CF336B">
        <w:rPr>
          <w:lang w:val="tr-TR"/>
        </w:rPr>
        <w:t>mekanizmasının toplam maliyeti ve kapasite mekanizması içerisindeki kömür kapasitesinin maliyet</w:t>
      </w:r>
      <w:r w:rsidRPr="00CF336B">
        <w:rPr>
          <w:lang w:val="tr-TR"/>
        </w:rPr>
        <w:fldChar w:fldCharType="begin"/>
      </w:r>
      <w:r w:rsidRPr="00CF336B">
        <w:rPr>
          <w:lang w:val="tr-TR"/>
        </w:rPr>
        <w:instrText xml:space="preserve"> REF _Ref147763198 \h </w:instrText>
      </w:r>
      <w:r w:rsidR="00413DBB" w:rsidRPr="00CF336B">
        <w:rPr>
          <w:lang w:val="tr-TR"/>
        </w:rPr>
        <w:instrText xml:space="preserve"> \* MERGEFORMAT </w:instrText>
      </w:r>
      <w:r w:rsidRPr="00CF336B">
        <w:rPr>
          <w:lang w:val="tr-TR"/>
        </w:rPr>
      </w:r>
      <w:r w:rsidRPr="00CF336B">
        <w:rPr>
          <w:lang w:val="tr-TR"/>
        </w:rPr>
        <w:fldChar w:fldCharType="separate"/>
      </w:r>
      <w:r w:rsidRPr="00CF336B">
        <w:rPr>
          <w:lang w:val="tr-TR"/>
        </w:rPr>
        <w:t>i</w:t>
      </w:r>
      <w:r w:rsidRPr="00CF336B">
        <w:rPr>
          <w:lang w:val="tr-TR"/>
        </w:rPr>
        <w:fldChar w:fldCharType="end"/>
      </w:r>
      <w:r w:rsidR="00F11F7F" w:rsidRPr="00CF336B">
        <w:rPr>
          <w:lang w:val="tr-TR"/>
        </w:rPr>
        <w:t xml:space="preserve"> </w:t>
      </w:r>
      <w:r w:rsidR="000408C7" w:rsidRPr="00CF336B">
        <w:rPr>
          <w:lang w:val="tr-TR"/>
        </w:rPr>
        <w:fldChar w:fldCharType="begin"/>
      </w:r>
      <w:r w:rsidR="000408C7" w:rsidRPr="00CF336B">
        <w:rPr>
          <w:lang w:val="tr-TR"/>
        </w:rPr>
        <w:instrText xml:space="preserve"> REF _Ref147845952 \h </w:instrText>
      </w:r>
      <w:r w:rsidR="004D4361">
        <w:rPr>
          <w:lang w:val="tr-TR"/>
        </w:rPr>
        <w:instrText xml:space="preserve"> \* MERGEFORMAT </w:instrText>
      </w:r>
      <w:r w:rsidR="000408C7" w:rsidRPr="00CF336B">
        <w:rPr>
          <w:lang w:val="tr-TR"/>
        </w:rPr>
      </w:r>
      <w:r w:rsidR="000408C7" w:rsidRPr="00CF336B">
        <w:rPr>
          <w:lang w:val="tr-TR"/>
        </w:rPr>
        <w:fldChar w:fldCharType="separate"/>
      </w:r>
      <w:r w:rsidR="001D6180" w:rsidRPr="00CF336B">
        <w:rPr>
          <w:lang w:val="tr-TR"/>
        </w:rPr>
        <w:t xml:space="preserve">Şekil </w:t>
      </w:r>
      <w:r w:rsidR="001D6180">
        <w:rPr>
          <w:noProof/>
          <w:lang w:val="tr-TR"/>
        </w:rPr>
        <w:t>22</w:t>
      </w:r>
      <w:r w:rsidR="000408C7" w:rsidRPr="00CF336B">
        <w:rPr>
          <w:lang w:val="tr-TR"/>
        </w:rPr>
        <w:fldChar w:fldCharType="end"/>
      </w:r>
      <w:r w:rsidR="000408C7" w:rsidRPr="00CF336B">
        <w:rPr>
          <w:lang w:val="tr-TR"/>
        </w:rPr>
        <w:t>’</w:t>
      </w:r>
      <w:r w:rsidR="001D6180">
        <w:rPr>
          <w:lang w:val="tr-TR"/>
        </w:rPr>
        <w:t>de</w:t>
      </w:r>
      <w:r w:rsidRPr="00CF336B">
        <w:rPr>
          <w:lang w:val="tr-TR"/>
        </w:rPr>
        <w:t xml:space="preserve"> gösterilmektedir</w:t>
      </w:r>
      <w:r w:rsidR="00503966">
        <w:rPr>
          <w:lang w:val="tr-TR"/>
        </w:rPr>
        <w:t xml:space="preserve"> </w:t>
      </w:r>
      <w:sdt>
        <w:sdtPr>
          <w:rPr>
            <w:lang w:val="tr-TR"/>
          </w:rPr>
          <w:id w:val="1363399776"/>
          <w:citation/>
        </w:sdtPr>
        <w:sdtEndPr/>
        <w:sdtContent>
          <w:r w:rsidR="007B7F12">
            <w:rPr>
              <w:lang w:val="tr-TR"/>
            </w:rPr>
            <w:fldChar w:fldCharType="begin"/>
          </w:r>
          <w:r w:rsidR="007B7F12">
            <w:instrText xml:space="preserve"> CITATION Nat23 \l 1033 </w:instrText>
          </w:r>
          <w:r w:rsidR="007B7F12">
            <w:rPr>
              <w:lang w:val="tr-TR"/>
            </w:rPr>
            <w:fldChar w:fldCharType="separate"/>
          </w:r>
          <w:r w:rsidR="00D95FF7">
            <w:rPr>
              <w:noProof/>
            </w:rPr>
            <w:t>(National Grid, 2023)</w:t>
          </w:r>
          <w:r w:rsidR="007B7F12">
            <w:rPr>
              <w:lang w:val="tr-TR"/>
            </w:rPr>
            <w:fldChar w:fldCharType="end"/>
          </w:r>
        </w:sdtContent>
      </w:sdt>
      <w:r w:rsidR="007B7F12">
        <w:rPr>
          <w:lang w:val="tr-TR"/>
        </w:rPr>
        <w:t>.</w:t>
      </w:r>
    </w:p>
    <w:p w14:paraId="727EA9B9" w14:textId="77777777" w:rsidR="009B7EF6" w:rsidRPr="00CF336B" w:rsidRDefault="009B7EF6" w:rsidP="004D4361">
      <w:pPr>
        <w:keepNext/>
        <w:spacing w:line="360" w:lineRule="auto"/>
        <w:jc w:val="both"/>
        <w:rPr>
          <w:lang w:val="tr-TR"/>
        </w:rPr>
      </w:pPr>
      <w:r w:rsidRPr="00CF336B">
        <w:rPr>
          <w:noProof/>
          <w:highlight w:val="yellow"/>
          <w:lang w:val="tr-TR"/>
        </w:rPr>
        <w:drawing>
          <wp:inline distT="0" distB="0" distL="0" distR="0" wp14:anchorId="1BC957E1" wp14:editId="1107F963">
            <wp:extent cx="6214745" cy="3599815"/>
            <wp:effectExtent l="0" t="0" r="0" b="635"/>
            <wp:docPr id="2122707215" name="Chart 2122707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42117D" w14:textId="0AFEE13D" w:rsidR="009B7EF6" w:rsidRPr="00CF336B" w:rsidRDefault="009B7EF6" w:rsidP="004D4361">
      <w:pPr>
        <w:pStyle w:val="Caption"/>
        <w:spacing w:line="360" w:lineRule="auto"/>
        <w:jc w:val="center"/>
        <w:rPr>
          <w:color w:val="auto"/>
          <w:sz w:val="22"/>
          <w:szCs w:val="22"/>
          <w:lang w:val="tr-TR"/>
        </w:rPr>
      </w:pPr>
      <w:bookmarkStart w:id="87" w:name="_Ref147845884"/>
      <w:bookmarkStart w:id="88" w:name="_Ref147845785"/>
      <w:bookmarkStart w:id="89" w:name="_Toc156210474"/>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20</w:t>
      </w:r>
      <w:r w:rsidRPr="00CF336B">
        <w:rPr>
          <w:color w:val="auto"/>
          <w:sz w:val="22"/>
          <w:szCs w:val="22"/>
          <w:lang w:val="tr-TR"/>
        </w:rPr>
        <w:fldChar w:fldCharType="end"/>
      </w:r>
      <w:bookmarkEnd w:id="87"/>
      <w:r w:rsidRPr="00CF336B">
        <w:rPr>
          <w:color w:val="auto"/>
          <w:sz w:val="22"/>
          <w:szCs w:val="22"/>
          <w:lang w:val="tr-TR"/>
        </w:rPr>
        <w:t xml:space="preserve">. </w:t>
      </w:r>
      <w:r w:rsidR="006A3750" w:rsidRPr="00CF336B">
        <w:rPr>
          <w:color w:val="auto"/>
          <w:sz w:val="22"/>
          <w:szCs w:val="22"/>
          <w:lang w:val="tr-TR"/>
        </w:rPr>
        <w:t xml:space="preserve">İngiltere </w:t>
      </w:r>
      <w:r w:rsidRPr="00CF336B">
        <w:rPr>
          <w:color w:val="auto"/>
          <w:sz w:val="22"/>
          <w:szCs w:val="22"/>
          <w:lang w:val="tr-TR"/>
        </w:rPr>
        <w:t>İhaleler ve Teslimat Yıllarında İhale Edilen Toplam Kapasite</w:t>
      </w:r>
      <w:bookmarkEnd w:id="88"/>
      <w:bookmarkEnd w:id="89"/>
    </w:p>
    <w:p w14:paraId="01A59A3E" w14:textId="62156877" w:rsidR="009B7EF6" w:rsidRPr="00CF336B" w:rsidRDefault="009B7EF6" w:rsidP="004D4361">
      <w:pPr>
        <w:spacing w:line="360" w:lineRule="auto"/>
        <w:jc w:val="both"/>
        <w:rPr>
          <w:lang w:val="tr-TR"/>
        </w:rPr>
      </w:pPr>
      <w:r w:rsidRPr="00CF336B">
        <w:rPr>
          <w:lang w:val="tr-TR"/>
        </w:rPr>
        <w:t>2019 yılında Kapasite Mekanizması kurallarında yapılan değişiklik ile, yenilenebilir enerji kaynaklarının da kapasite ihalelerine katılmasının önü açılmıştır</w:t>
      </w:r>
      <w:r w:rsidR="0058015C">
        <w:rPr>
          <w:lang w:val="tr-TR"/>
        </w:rPr>
        <w:t xml:space="preserve"> </w:t>
      </w:r>
      <w:sdt>
        <w:sdtPr>
          <w:rPr>
            <w:lang w:val="tr-TR"/>
          </w:rPr>
          <w:id w:val="-1658150400"/>
          <w:citation/>
        </w:sdtPr>
        <w:sdtEndPr/>
        <w:sdtContent>
          <w:r w:rsidR="0058015C">
            <w:rPr>
              <w:lang w:val="tr-TR"/>
            </w:rPr>
            <w:fldChar w:fldCharType="begin"/>
          </w:r>
          <w:r w:rsidR="0058015C">
            <w:instrText xml:space="preserve"> CITATION Dep19 \l 1033 </w:instrText>
          </w:r>
          <w:r w:rsidR="0058015C">
            <w:rPr>
              <w:lang w:val="tr-TR"/>
            </w:rPr>
            <w:fldChar w:fldCharType="separate"/>
          </w:r>
          <w:r w:rsidR="00D95FF7">
            <w:rPr>
              <w:noProof/>
            </w:rPr>
            <w:t>(Department for Energy Security and Net Zero and Department for Business, Energy &amp; Industrial Strategy, 2019)</w:t>
          </w:r>
          <w:r w:rsidR="0058015C">
            <w:rPr>
              <w:lang w:val="tr-TR"/>
            </w:rPr>
            <w:fldChar w:fldCharType="end"/>
          </w:r>
        </w:sdtContent>
      </w:sdt>
      <w:r w:rsidR="0058015C">
        <w:rPr>
          <w:lang w:val="tr-TR"/>
        </w:rPr>
        <w:t xml:space="preserve">. </w:t>
      </w:r>
      <w:r w:rsidRPr="00CF336B">
        <w:rPr>
          <w:lang w:val="tr-TR"/>
        </w:rPr>
        <w:t xml:space="preserve">Herhangi bir alım garantisi olmayan, teşvik almayan veya fark kontratına tabi olmayan yeni kurulan yenilenebilir enerji kaynaklarına dayalı santraller, devletin sağladığı düşük karbon emisyonu desteğinden yararlanabilecek ve kapasite ihalelerine katılabileceklerdir. İlk olarak T-4 23/24 ve T-3 22/23 ihalelerine katılan yenilenebilir enerji santrallerinden, karasal </w:t>
      </w:r>
      <w:proofErr w:type="gramStart"/>
      <w:r w:rsidRPr="00CF336B">
        <w:rPr>
          <w:lang w:val="tr-TR"/>
        </w:rPr>
        <w:t>rüzgar</w:t>
      </w:r>
      <w:proofErr w:type="gramEnd"/>
      <w:r w:rsidRPr="00CF336B">
        <w:rPr>
          <w:lang w:val="tr-TR"/>
        </w:rPr>
        <w:t xml:space="preserve"> enerji santralleri T-4 23/34 ihalesinde 10,5 </w:t>
      </w:r>
      <w:proofErr w:type="spellStart"/>
      <w:r w:rsidRPr="00CF336B">
        <w:rPr>
          <w:lang w:val="tr-TR"/>
        </w:rPr>
        <w:t>MW’lık</w:t>
      </w:r>
      <w:proofErr w:type="spellEnd"/>
      <w:r w:rsidRPr="00CF336B">
        <w:rPr>
          <w:lang w:val="tr-TR"/>
        </w:rPr>
        <w:t xml:space="preserve">, T-3 22/23 ihalesinde ise 14,5 </w:t>
      </w:r>
      <w:proofErr w:type="spellStart"/>
      <w:r w:rsidRPr="00CF336B">
        <w:rPr>
          <w:lang w:val="tr-TR"/>
        </w:rPr>
        <w:t>MW’lık</w:t>
      </w:r>
      <w:proofErr w:type="spellEnd"/>
      <w:r w:rsidRPr="00CF336B">
        <w:rPr>
          <w:lang w:val="tr-TR"/>
        </w:rPr>
        <w:t xml:space="preserve"> kapasite kazanırken, güneş enerji santralleri hiç kapasite alamamıştır</w:t>
      </w:r>
      <w:r w:rsidR="008A1980">
        <w:rPr>
          <w:lang w:val="tr-TR"/>
        </w:rPr>
        <w:t xml:space="preserve"> </w:t>
      </w:r>
      <w:sdt>
        <w:sdtPr>
          <w:rPr>
            <w:lang w:val="tr-TR"/>
          </w:rPr>
          <w:id w:val="-594559883"/>
          <w:citation/>
        </w:sdtPr>
        <w:sdtEndPr/>
        <w:sdtContent>
          <w:r w:rsidR="008A1980">
            <w:rPr>
              <w:lang w:val="tr-TR"/>
            </w:rPr>
            <w:fldChar w:fldCharType="begin"/>
          </w:r>
          <w:r w:rsidR="008A1980">
            <w:instrText xml:space="preserve"> CITATION Ofg20 \l 1033 </w:instrText>
          </w:r>
          <w:r w:rsidR="008A1980">
            <w:rPr>
              <w:lang w:val="tr-TR"/>
            </w:rPr>
            <w:fldChar w:fldCharType="separate"/>
          </w:r>
          <w:r w:rsidR="00D95FF7">
            <w:rPr>
              <w:noProof/>
            </w:rPr>
            <w:t>(Ofgem, 2020)</w:t>
          </w:r>
          <w:r w:rsidR="008A1980">
            <w:rPr>
              <w:lang w:val="tr-TR"/>
            </w:rPr>
            <w:fldChar w:fldCharType="end"/>
          </w:r>
        </w:sdtContent>
      </w:sdt>
      <w:r w:rsidR="008A1980">
        <w:rPr>
          <w:lang w:val="tr-TR"/>
        </w:rPr>
        <w:t>.</w:t>
      </w:r>
      <w:r w:rsidRPr="00CF336B">
        <w:rPr>
          <w:lang w:val="tr-TR"/>
        </w:rPr>
        <w:t xml:space="preserve"> </w:t>
      </w:r>
    </w:p>
    <w:p w14:paraId="491AE7FC" w14:textId="1CEA369B" w:rsidR="009B7EF6" w:rsidRPr="00CF336B" w:rsidRDefault="009B7EF6" w:rsidP="004D4361">
      <w:pPr>
        <w:spacing w:line="360" w:lineRule="auto"/>
        <w:jc w:val="both"/>
        <w:rPr>
          <w:noProof/>
          <w:lang w:val="tr-TR"/>
        </w:rPr>
      </w:pPr>
      <w:r w:rsidRPr="00CF336B">
        <w:rPr>
          <w:lang w:val="tr-TR"/>
        </w:rPr>
        <w:t xml:space="preserve">İhalelerde dağıtılan kömür santralleri kapasitelerine bakıldığında ise, mekanizmanın devreye girdiği tarihten itibaren kömür santrallerinin payında ufak artışlar yaşandığı görülmektedir. </w:t>
      </w:r>
      <w:r w:rsidR="00C6562D" w:rsidRPr="00CF336B">
        <w:rPr>
          <w:lang w:val="tr-TR"/>
        </w:rPr>
        <w:fldChar w:fldCharType="begin"/>
      </w:r>
      <w:r w:rsidR="00C6562D" w:rsidRPr="00CF336B">
        <w:rPr>
          <w:lang w:val="tr-TR"/>
        </w:rPr>
        <w:instrText xml:space="preserve"> REF _Ref147845921 \h </w:instrText>
      </w:r>
      <w:r w:rsidR="00413DBB" w:rsidRPr="00CF336B">
        <w:rPr>
          <w:lang w:val="tr-TR"/>
        </w:rPr>
        <w:instrText xml:space="preserve"> \* MERGEFORMAT </w:instrText>
      </w:r>
      <w:r w:rsidR="00C6562D" w:rsidRPr="00CF336B">
        <w:rPr>
          <w:lang w:val="tr-TR"/>
        </w:rPr>
      </w:r>
      <w:r w:rsidR="00C6562D" w:rsidRPr="00CF336B">
        <w:rPr>
          <w:lang w:val="tr-TR"/>
        </w:rPr>
        <w:fldChar w:fldCharType="separate"/>
      </w:r>
      <w:r w:rsidR="001D6180" w:rsidRPr="00CF336B">
        <w:rPr>
          <w:lang w:val="tr-TR"/>
        </w:rPr>
        <w:t xml:space="preserve">Şekil </w:t>
      </w:r>
      <w:r w:rsidR="001D6180">
        <w:rPr>
          <w:noProof/>
          <w:lang w:val="tr-TR"/>
        </w:rPr>
        <w:t>21</w:t>
      </w:r>
      <w:r w:rsidR="00C6562D" w:rsidRPr="00CF336B">
        <w:rPr>
          <w:lang w:val="tr-TR"/>
        </w:rPr>
        <w:fldChar w:fldCharType="end"/>
      </w:r>
      <w:r w:rsidRPr="00CF336B">
        <w:rPr>
          <w:lang w:val="tr-TR"/>
        </w:rPr>
        <w:fldChar w:fldCharType="begin"/>
      </w:r>
      <w:r w:rsidRPr="00CF336B">
        <w:rPr>
          <w:lang w:val="tr-TR"/>
        </w:rPr>
        <w:instrText xml:space="preserve"> REF _Ref147684641 \h  \* MERGEFORMAT </w:instrText>
      </w:r>
      <w:r w:rsidRPr="00CF336B">
        <w:rPr>
          <w:lang w:val="tr-TR"/>
        </w:rPr>
      </w:r>
      <w:r w:rsidR="008049C2">
        <w:rPr>
          <w:lang w:val="tr-TR"/>
        </w:rPr>
        <w:fldChar w:fldCharType="separate"/>
      </w:r>
      <w:r w:rsidRPr="00CF336B">
        <w:rPr>
          <w:lang w:val="tr-TR"/>
        </w:rPr>
        <w:fldChar w:fldCharType="end"/>
      </w:r>
      <w:r w:rsidRPr="00CF336B">
        <w:rPr>
          <w:lang w:val="tr-TR"/>
        </w:rPr>
        <w:t>’</w:t>
      </w:r>
      <w:r w:rsidR="008B4368" w:rsidRPr="00CF336B">
        <w:rPr>
          <w:lang w:val="tr-TR"/>
        </w:rPr>
        <w:t>d</w:t>
      </w:r>
      <w:r w:rsidR="00B676C9">
        <w:rPr>
          <w:lang w:val="tr-TR"/>
        </w:rPr>
        <w:t>e</w:t>
      </w:r>
      <w:r w:rsidRPr="00CF336B">
        <w:rPr>
          <w:lang w:val="tr-TR"/>
        </w:rPr>
        <w:t>n d</w:t>
      </w:r>
      <w:r w:rsidR="00B676C9">
        <w:rPr>
          <w:lang w:val="tr-TR"/>
        </w:rPr>
        <w:t>e</w:t>
      </w:r>
      <w:r w:rsidRPr="00CF336B">
        <w:rPr>
          <w:lang w:val="tr-TR"/>
        </w:rPr>
        <w:t xml:space="preserve"> görüleceği üzere 2017 yılını takip eden süreçte kömür kaynaklı kapasite dağıtımı sert bir düşüş yaşamıştır. 2017 yılında 14 </w:t>
      </w:r>
      <w:proofErr w:type="spellStart"/>
      <w:r w:rsidRPr="00CF336B">
        <w:rPr>
          <w:lang w:val="tr-TR"/>
        </w:rPr>
        <w:t>GW’lık</w:t>
      </w:r>
      <w:proofErr w:type="spellEnd"/>
      <w:r w:rsidRPr="00CF336B">
        <w:rPr>
          <w:lang w:val="tr-TR"/>
        </w:rPr>
        <w:t xml:space="preserve"> kömür kaynaklı kömür kapasitesi tahsisatını takiben en son yapılan 2022 tarihli ihalelerde kömür kaynaklı kapasite dağıtımı toplamda 413 MW seviyesinde oluşmuştur. 2014 yılından beri yapılan ihalelerde toplamda 37,5 </w:t>
      </w:r>
      <w:proofErr w:type="spellStart"/>
      <w:r w:rsidRPr="00CF336B">
        <w:rPr>
          <w:lang w:val="tr-TR"/>
        </w:rPr>
        <w:t>GW’lık</w:t>
      </w:r>
      <w:proofErr w:type="spellEnd"/>
      <w:r w:rsidRPr="00CF336B">
        <w:rPr>
          <w:lang w:val="tr-TR"/>
        </w:rPr>
        <w:t xml:space="preserve"> kömür kaynaklı kapasite tahsisi yapılmıştır</w:t>
      </w:r>
      <w:r w:rsidR="00C76EE5">
        <w:rPr>
          <w:lang w:val="tr-TR"/>
        </w:rPr>
        <w:t xml:space="preserve"> </w:t>
      </w:r>
      <w:sdt>
        <w:sdtPr>
          <w:rPr>
            <w:lang w:val="tr-TR"/>
          </w:rPr>
          <w:id w:val="-563952665"/>
          <w:citation/>
        </w:sdtPr>
        <w:sdtEndPr/>
        <w:sdtContent>
          <w:r w:rsidR="00C76EE5">
            <w:rPr>
              <w:lang w:val="tr-TR"/>
            </w:rPr>
            <w:fldChar w:fldCharType="begin"/>
          </w:r>
          <w:r w:rsidR="00C76EE5">
            <w:instrText xml:space="preserve"> CITATION Nat23 \l 1033 </w:instrText>
          </w:r>
          <w:r w:rsidR="00C76EE5">
            <w:rPr>
              <w:lang w:val="tr-TR"/>
            </w:rPr>
            <w:fldChar w:fldCharType="separate"/>
          </w:r>
          <w:r w:rsidR="00D95FF7">
            <w:rPr>
              <w:noProof/>
            </w:rPr>
            <w:t>(National Grid, 2023)</w:t>
          </w:r>
          <w:r w:rsidR="00C76EE5">
            <w:rPr>
              <w:lang w:val="tr-TR"/>
            </w:rPr>
            <w:fldChar w:fldCharType="end"/>
          </w:r>
        </w:sdtContent>
      </w:sdt>
      <w:r w:rsidR="00C76EE5">
        <w:rPr>
          <w:lang w:val="tr-TR"/>
        </w:rPr>
        <w:t>.</w:t>
      </w:r>
      <w:r w:rsidRPr="00CF336B">
        <w:rPr>
          <w:noProof/>
          <w:lang w:val="tr-TR"/>
        </w:rPr>
        <w:t xml:space="preserve"> </w:t>
      </w:r>
    </w:p>
    <w:p w14:paraId="28427DE3" w14:textId="77777777" w:rsidR="009B7EF6" w:rsidRPr="00CF336B" w:rsidRDefault="009B7EF6" w:rsidP="004D4361">
      <w:pPr>
        <w:keepNext/>
        <w:spacing w:line="360" w:lineRule="auto"/>
        <w:jc w:val="both"/>
        <w:rPr>
          <w:lang w:val="tr-TR"/>
        </w:rPr>
      </w:pPr>
      <w:r w:rsidRPr="00CF336B">
        <w:rPr>
          <w:noProof/>
          <w:lang w:val="tr-TR"/>
        </w:rPr>
        <w:drawing>
          <wp:inline distT="0" distB="0" distL="0" distR="0" wp14:anchorId="3D8344E5" wp14:editId="79F6FE5D">
            <wp:extent cx="5943600" cy="3389316"/>
            <wp:effectExtent l="0" t="0" r="0" b="1905"/>
            <wp:docPr id="175241538" name="Chart 17524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E42344" w14:textId="77883AFF" w:rsidR="009B7EF6" w:rsidRPr="00CF336B" w:rsidRDefault="009B7EF6" w:rsidP="004D4361">
      <w:pPr>
        <w:pStyle w:val="Caption"/>
        <w:spacing w:line="360" w:lineRule="auto"/>
        <w:jc w:val="center"/>
        <w:rPr>
          <w:color w:val="auto"/>
          <w:sz w:val="22"/>
          <w:szCs w:val="22"/>
          <w:lang w:val="tr-TR"/>
        </w:rPr>
      </w:pPr>
      <w:bookmarkStart w:id="90" w:name="_Ref147845921"/>
      <w:bookmarkStart w:id="91" w:name="_Toc156210475"/>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21</w:t>
      </w:r>
      <w:r w:rsidRPr="00CF336B">
        <w:rPr>
          <w:color w:val="auto"/>
          <w:sz w:val="22"/>
          <w:szCs w:val="22"/>
          <w:lang w:val="tr-TR"/>
        </w:rPr>
        <w:fldChar w:fldCharType="end"/>
      </w:r>
      <w:bookmarkEnd w:id="90"/>
      <w:r w:rsidRPr="00CF336B">
        <w:rPr>
          <w:color w:val="auto"/>
          <w:sz w:val="22"/>
          <w:szCs w:val="22"/>
          <w:lang w:val="tr-TR"/>
        </w:rPr>
        <w:t xml:space="preserve">. </w:t>
      </w:r>
      <w:r w:rsidR="006A3750" w:rsidRPr="00CF336B">
        <w:rPr>
          <w:color w:val="auto"/>
          <w:sz w:val="22"/>
          <w:szCs w:val="22"/>
          <w:lang w:val="tr-TR"/>
        </w:rPr>
        <w:t xml:space="preserve">İngiltere </w:t>
      </w:r>
      <w:r w:rsidR="00601B50">
        <w:rPr>
          <w:color w:val="auto"/>
          <w:sz w:val="22"/>
          <w:szCs w:val="22"/>
          <w:lang w:val="tr-TR"/>
        </w:rPr>
        <w:t xml:space="preserve">İhalelerde </w:t>
      </w:r>
      <w:r w:rsidRPr="00CF336B">
        <w:rPr>
          <w:color w:val="auto"/>
          <w:sz w:val="22"/>
          <w:szCs w:val="22"/>
          <w:lang w:val="tr-TR"/>
        </w:rPr>
        <w:t xml:space="preserve">Dağıtılan Toplam </w:t>
      </w:r>
      <w:r w:rsidR="00601B50">
        <w:rPr>
          <w:color w:val="auto"/>
          <w:sz w:val="22"/>
          <w:szCs w:val="22"/>
          <w:lang w:val="tr-TR"/>
        </w:rPr>
        <w:t xml:space="preserve">Kapasite ve </w:t>
      </w:r>
      <w:r w:rsidRPr="00CF336B">
        <w:rPr>
          <w:color w:val="auto"/>
          <w:sz w:val="22"/>
          <w:szCs w:val="22"/>
          <w:lang w:val="tr-TR"/>
        </w:rPr>
        <w:t>Kömür Santrali Kapasitesi</w:t>
      </w:r>
      <w:r w:rsidR="00153D02">
        <w:rPr>
          <w:rStyle w:val="FootnoteReference"/>
          <w:color w:val="auto"/>
          <w:sz w:val="22"/>
          <w:szCs w:val="22"/>
          <w:lang w:val="tr-TR"/>
        </w:rPr>
        <w:footnoteReference w:id="11"/>
      </w:r>
      <w:bookmarkEnd w:id="91"/>
    </w:p>
    <w:p w14:paraId="6029AB36" w14:textId="53024584" w:rsidR="009B7EF6" w:rsidRPr="00CF336B" w:rsidRDefault="009B7EF6" w:rsidP="004D4361">
      <w:pPr>
        <w:spacing w:line="360" w:lineRule="auto"/>
        <w:jc w:val="both"/>
        <w:rPr>
          <w:lang w:val="tr-TR"/>
        </w:rPr>
      </w:pPr>
      <w:r w:rsidRPr="00CF336B">
        <w:rPr>
          <w:lang w:val="tr-TR"/>
        </w:rPr>
        <w:t xml:space="preserve">Yapılan kapasite dağıtımlarının finansal boyutu incelendiğinde ise, ilk kapasite tahsisatında toplam kapasite maliyetinin </w:t>
      </w:r>
      <w:proofErr w:type="gramStart"/>
      <w:r w:rsidRPr="00CF336B">
        <w:rPr>
          <w:lang w:val="tr-TR"/>
        </w:rPr>
        <w:t>%20</w:t>
      </w:r>
      <w:proofErr w:type="gramEnd"/>
      <w:r w:rsidRPr="00CF336B">
        <w:rPr>
          <w:lang w:val="tr-TR"/>
        </w:rPr>
        <w:t xml:space="preserve">’sine sahip olan kömür santrallerin, 2022 yılında toplam maliyetin %1’lik bir kısmını oluşturduğu görülmektedir. Uygulamanın başladığı tarihten 2022 yılına kadar kapasite ihalelerinin tahmini toplam maliyeti 10,1 milyar </w:t>
      </w:r>
      <w:proofErr w:type="spellStart"/>
      <w:r w:rsidRPr="00CF336B">
        <w:rPr>
          <w:lang w:val="tr-TR"/>
        </w:rPr>
        <w:t>Sterlin’e</w:t>
      </w:r>
      <w:proofErr w:type="spellEnd"/>
      <w:r w:rsidRPr="00CF336B">
        <w:rPr>
          <w:lang w:val="tr-TR"/>
        </w:rPr>
        <w:t xml:space="preserve">, kömür santralleri kapasitesinin tahmini toplam maliyeti ise 598 milyon </w:t>
      </w:r>
      <w:proofErr w:type="gramStart"/>
      <w:r w:rsidRPr="00CF336B">
        <w:rPr>
          <w:lang w:val="tr-TR"/>
        </w:rPr>
        <w:t>Sterlin</w:t>
      </w:r>
      <w:proofErr w:type="gramEnd"/>
      <w:r w:rsidRPr="00CF336B">
        <w:rPr>
          <w:lang w:val="tr-TR"/>
        </w:rPr>
        <w:t xml:space="preserve"> seviyesine ulaşmıştır. İhalelerdeki kapasitenin ve kömür kaynaklı kapasitenin tahmini toplam maliyeti </w:t>
      </w:r>
      <w:r w:rsidR="009C5703" w:rsidRPr="00CF336B">
        <w:rPr>
          <w:lang w:val="tr-TR"/>
        </w:rPr>
        <w:fldChar w:fldCharType="begin"/>
      </w:r>
      <w:r w:rsidR="009C5703" w:rsidRPr="00CF336B">
        <w:rPr>
          <w:lang w:val="tr-TR"/>
        </w:rPr>
        <w:instrText xml:space="preserve"> REF _Ref147845952 \h </w:instrText>
      </w:r>
      <w:r w:rsidR="00413DBB" w:rsidRPr="00CF336B">
        <w:rPr>
          <w:lang w:val="tr-TR"/>
        </w:rPr>
        <w:instrText xml:space="preserve"> \* MERGEFORMAT </w:instrText>
      </w:r>
      <w:r w:rsidR="009C5703" w:rsidRPr="00CF336B">
        <w:rPr>
          <w:lang w:val="tr-TR"/>
        </w:rPr>
      </w:r>
      <w:r w:rsidR="009C5703" w:rsidRPr="00CF336B">
        <w:rPr>
          <w:lang w:val="tr-TR"/>
        </w:rPr>
        <w:fldChar w:fldCharType="separate"/>
      </w:r>
      <w:r w:rsidR="001D6180" w:rsidRPr="00CF336B">
        <w:rPr>
          <w:lang w:val="tr-TR"/>
        </w:rPr>
        <w:t xml:space="preserve">Şekil </w:t>
      </w:r>
      <w:r w:rsidR="001D6180">
        <w:rPr>
          <w:noProof/>
          <w:lang w:val="tr-TR"/>
        </w:rPr>
        <w:t>22</w:t>
      </w:r>
      <w:r w:rsidR="009C5703" w:rsidRPr="00CF336B">
        <w:rPr>
          <w:lang w:val="tr-TR"/>
        </w:rPr>
        <w:fldChar w:fldCharType="end"/>
      </w:r>
      <w:r w:rsidRPr="00CF336B">
        <w:rPr>
          <w:lang w:val="tr-TR"/>
        </w:rPr>
        <w:fldChar w:fldCharType="begin"/>
      </w:r>
      <w:r w:rsidRPr="00CF336B">
        <w:rPr>
          <w:lang w:val="tr-TR"/>
        </w:rPr>
        <w:instrText xml:space="preserve"> REF _Ref147684792 \h  \* MERGEFORMAT </w:instrText>
      </w:r>
      <w:r w:rsidRPr="00CF336B">
        <w:rPr>
          <w:lang w:val="tr-TR"/>
        </w:rPr>
      </w:r>
      <w:r w:rsidRPr="00CF336B">
        <w:rPr>
          <w:lang w:val="tr-TR"/>
        </w:rPr>
        <w:fldChar w:fldCharType="end"/>
      </w:r>
      <w:r w:rsidRPr="00CF336B">
        <w:rPr>
          <w:lang w:val="tr-TR"/>
        </w:rPr>
        <w:t>’</w:t>
      </w:r>
      <w:r w:rsidR="008B4368" w:rsidRPr="00CF336B">
        <w:rPr>
          <w:lang w:val="tr-TR"/>
        </w:rPr>
        <w:t>d</w:t>
      </w:r>
      <w:r w:rsidR="001D6180">
        <w:rPr>
          <w:lang w:val="tr-TR"/>
        </w:rPr>
        <w:t>e</w:t>
      </w:r>
      <w:r w:rsidRPr="00CF336B">
        <w:rPr>
          <w:lang w:val="tr-TR"/>
        </w:rPr>
        <w:t xml:space="preserve"> gösterilmiştir</w:t>
      </w:r>
      <w:r w:rsidR="0080356A">
        <w:rPr>
          <w:lang w:val="tr-TR"/>
        </w:rPr>
        <w:t xml:space="preserve"> </w:t>
      </w:r>
      <w:sdt>
        <w:sdtPr>
          <w:rPr>
            <w:lang w:val="tr-TR"/>
          </w:rPr>
          <w:id w:val="-1832361317"/>
          <w:citation/>
        </w:sdtPr>
        <w:sdtEndPr/>
        <w:sdtContent>
          <w:r w:rsidR="0080356A">
            <w:rPr>
              <w:lang w:val="tr-TR"/>
            </w:rPr>
            <w:fldChar w:fldCharType="begin"/>
          </w:r>
          <w:r w:rsidR="0080356A">
            <w:instrText xml:space="preserve"> CITATION Nat23 \l 1033 </w:instrText>
          </w:r>
          <w:r w:rsidR="0080356A">
            <w:rPr>
              <w:lang w:val="tr-TR"/>
            </w:rPr>
            <w:fldChar w:fldCharType="separate"/>
          </w:r>
          <w:r w:rsidR="00D95FF7">
            <w:rPr>
              <w:noProof/>
            </w:rPr>
            <w:t>(National Grid, 2023)</w:t>
          </w:r>
          <w:r w:rsidR="0080356A">
            <w:rPr>
              <w:lang w:val="tr-TR"/>
            </w:rPr>
            <w:fldChar w:fldCharType="end"/>
          </w:r>
        </w:sdtContent>
      </w:sdt>
      <w:r w:rsidR="0080356A">
        <w:rPr>
          <w:lang w:val="tr-TR"/>
        </w:rPr>
        <w:t>.</w:t>
      </w:r>
    </w:p>
    <w:p w14:paraId="399A29B5" w14:textId="77777777" w:rsidR="009B7EF6" w:rsidRPr="00CF336B" w:rsidRDefault="009B7EF6" w:rsidP="004D4361">
      <w:pPr>
        <w:spacing w:line="360" w:lineRule="auto"/>
        <w:jc w:val="both"/>
        <w:rPr>
          <w:lang w:val="tr-TR"/>
        </w:rPr>
      </w:pPr>
    </w:p>
    <w:p w14:paraId="6A3EDE97" w14:textId="77777777" w:rsidR="009B7EF6" w:rsidRPr="00CF336B" w:rsidRDefault="009B7EF6" w:rsidP="004D4361">
      <w:pPr>
        <w:spacing w:line="360" w:lineRule="auto"/>
        <w:jc w:val="both"/>
        <w:rPr>
          <w:lang w:val="tr-TR"/>
        </w:rPr>
      </w:pPr>
    </w:p>
    <w:p w14:paraId="08EE3EE5" w14:textId="77777777" w:rsidR="009B7EF6" w:rsidRPr="00CF336B" w:rsidRDefault="009B7EF6" w:rsidP="004D4361">
      <w:pPr>
        <w:spacing w:line="360" w:lineRule="auto"/>
        <w:jc w:val="both"/>
        <w:rPr>
          <w:lang w:val="tr-TR"/>
        </w:rPr>
      </w:pPr>
    </w:p>
    <w:p w14:paraId="36EF8A38" w14:textId="77777777" w:rsidR="009B7EF6" w:rsidRPr="00CF336B" w:rsidRDefault="009B7EF6" w:rsidP="004D4361">
      <w:pPr>
        <w:keepNext/>
        <w:spacing w:line="360" w:lineRule="auto"/>
        <w:jc w:val="both"/>
        <w:rPr>
          <w:lang w:val="tr-TR"/>
        </w:rPr>
      </w:pPr>
      <w:r w:rsidRPr="00CF336B">
        <w:rPr>
          <w:noProof/>
          <w:lang w:val="tr-TR"/>
        </w:rPr>
        <w:drawing>
          <wp:inline distT="0" distB="0" distL="0" distR="0" wp14:anchorId="6CDCC751" wp14:editId="138926DB">
            <wp:extent cx="6019800" cy="3397250"/>
            <wp:effectExtent l="0" t="0" r="0" b="0"/>
            <wp:docPr id="1692932908" name="Chart 1692932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965492" w14:textId="6EE00B65" w:rsidR="009B7EF6" w:rsidRPr="00CF336B" w:rsidRDefault="009B7EF6" w:rsidP="004D4361">
      <w:pPr>
        <w:pStyle w:val="Caption"/>
        <w:spacing w:line="360" w:lineRule="auto"/>
        <w:jc w:val="center"/>
        <w:rPr>
          <w:color w:val="auto"/>
          <w:sz w:val="22"/>
          <w:szCs w:val="22"/>
          <w:lang w:val="tr-TR"/>
        </w:rPr>
      </w:pPr>
      <w:bookmarkStart w:id="92" w:name="_Ref147845952"/>
      <w:bookmarkStart w:id="93" w:name="_Toc156210476"/>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22</w:t>
      </w:r>
      <w:r w:rsidRPr="00CF336B">
        <w:rPr>
          <w:color w:val="auto"/>
          <w:sz w:val="22"/>
          <w:szCs w:val="22"/>
          <w:lang w:val="tr-TR"/>
        </w:rPr>
        <w:fldChar w:fldCharType="end"/>
      </w:r>
      <w:bookmarkEnd w:id="92"/>
      <w:r w:rsidRPr="00CF336B">
        <w:rPr>
          <w:color w:val="auto"/>
          <w:sz w:val="22"/>
          <w:szCs w:val="22"/>
          <w:lang w:val="tr-TR"/>
        </w:rPr>
        <w:t xml:space="preserve">. </w:t>
      </w:r>
      <w:r w:rsidR="006A3750" w:rsidRPr="00CF336B">
        <w:rPr>
          <w:color w:val="auto"/>
          <w:sz w:val="22"/>
          <w:szCs w:val="22"/>
          <w:lang w:val="tr-TR"/>
        </w:rPr>
        <w:t xml:space="preserve">İngiltere </w:t>
      </w:r>
      <w:r w:rsidRPr="00CF336B">
        <w:rPr>
          <w:color w:val="auto"/>
          <w:sz w:val="22"/>
          <w:szCs w:val="22"/>
          <w:lang w:val="tr-TR"/>
        </w:rPr>
        <w:t>İhalelerin Tahmini Toplam Maliyeti</w:t>
      </w:r>
      <w:bookmarkEnd w:id="93"/>
    </w:p>
    <w:p w14:paraId="083730CC" w14:textId="17299E6D" w:rsidR="009B7EF6" w:rsidRPr="00CF336B" w:rsidRDefault="009B7EF6" w:rsidP="004D4361">
      <w:pPr>
        <w:spacing w:line="360" w:lineRule="auto"/>
        <w:jc w:val="both"/>
        <w:rPr>
          <w:lang w:val="tr-TR"/>
        </w:rPr>
      </w:pPr>
      <w:r w:rsidRPr="00CF336B">
        <w:rPr>
          <w:lang w:val="tr-TR"/>
        </w:rPr>
        <w:t>İngiltere’deki kömür kaynaklı elektrik üretimi incelendiğinde, 2012 yılından itibaren kömür kaynaklı elektrik üretiminin payını</w:t>
      </w:r>
      <w:r w:rsidR="00463548">
        <w:rPr>
          <w:lang w:val="tr-TR"/>
        </w:rPr>
        <w:t>n</w:t>
      </w:r>
      <w:r w:rsidRPr="00CF336B">
        <w:rPr>
          <w:lang w:val="tr-TR"/>
        </w:rPr>
        <w:t xml:space="preserve"> hızla azaldığı gözlemlenmektedir. 2012 ve 2013 yıllarında ise doğal gaz fiyatlarındaki artış, doğal gaz santrallerinin çalışmamasına veya minimal düzeyde çalışmasına ve arz yükünün kömür santralleri tarafından karşılanmasına sebep olmuştur. 2012 yılından günümüze gelen süreçte ise İngiltere’nin yenilenebilir kapasitesindeki hızlı artış, kömür kaynaklı elektrik üretiminin azalmasında önemli bir rol oynamıştır. 2002 yılında yürürlüğe giren Yenilenebilir Zorunluluğu (“RO” </w:t>
      </w:r>
      <w:proofErr w:type="spellStart"/>
      <w:r w:rsidRPr="00CF336B">
        <w:rPr>
          <w:lang w:val="tr-TR"/>
        </w:rPr>
        <w:t>The</w:t>
      </w:r>
      <w:proofErr w:type="spellEnd"/>
      <w:r w:rsidRPr="00CF336B">
        <w:rPr>
          <w:lang w:val="tr-TR"/>
        </w:rPr>
        <w:t xml:space="preserve"> </w:t>
      </w:r>
      <w:proofErr w:type="spellStart"/>
      <w:r w:rsidRPr="00CF336B">
        <w:rPr>
          <w:lang w:val="tr-TR"/>
        </w:rPr>
        <w:t>Renewable</w:t>
      </w:r>
      <w:proofErr w:type="spellEnd"/>
      <w:r w:rsidRPr="00CF336B">
        <w:rPr>
          <w:lang w:val="tr-TR"/>
        </w:rPr>
        <w:t xml:space="preserve"> </w:t>
      </w:r>
      <w:proofErr w:type="spellStart"/>
      <w:r w:rsidRPr="00CF336B">
        <w:rPr>
          <w:lang w:val="tr-TR"/>
        </w:rPr>
        <w:t>Obligation</w:t>
      </w:r>
      <w:proofErr w:type="spellEnd"/>
      <w:r w:rsidRPr="00CF336B">
        <w:rPr>
          <w:lang w:val="tr-TR"/>
        </w:rPr>
        <w:t xml:space="preserve">) İngiltere ve Galler’deki tüm lisanslı elektrik üreticilerinin, ürettikleri elektriğin her yıl belirli bir kısmını yenilenebilir enerji kaynağından temin etmelerini zorunlu kılmıştır. </w:t>
      </w:r>
      <w:proofErr w:type="spellStart"/>
      <w:r w:rsidRPr="00CF336B">
        <w:rPr>
          <w:lang w:val="tr-TR"/>
        </w:rPr>
        <w:t>Ofgem</w:t>
      </w:r>
      <w:proofErr w:type="spellEnd"/>
      <w:r w:rsidRPr="00CF336B">
        <w:rPr>
          <w:lang w:val="tr-TR"/>
        </w:rPr>
        <w:t xml:space="preserve">, akredite edilmiş yenilenebilir enerji üreticilerine ürettikleri yenilenebilir enerji hacminde bir Yenilenebilir Zorunluluğu Sertifikası (“ROC” </w:t>
      </w:r>
      <w:proofErr w:type="spellStart"/>
      <w:r w:rsidRPr="00CF336B">
        <w:rPr>
          <w:lang w:val="tr-TR"/>
        </w:rPr>
        <w:t>Renewable</w:t>
      </w:r>
      <w:proofErr w:type="spellEnd"/>
      <w:r w:rsidRPr="00CF336B">
        <w:rPr>
          <w:lang w:val="tr-TR"/>
        </w:rPr>
        <w:t xml:space="preserve"> </w:t>
      </w:r>
      <w:proofErr w:type="spellStart"/>
      <w:r w:rsidRPr="00CF336B">
        <w:rPr>
          <w:lang w:val="tr-TR"/>
        </w:rPr>
        <w:t>Obligation</w:t>
      </w:r>
      <w:proofErr w:type="spellEnd"/>
      <w:r w:rsidRPr="00CF336B">
        <w:rPr>
          <w:lang w:val="tr-TR"/>
        </w:rPr>
        <w:t xml:space="preserve"> </w:t>
      </w:r>
      <w:proofErr w:type="spellStart"/>
      <w:r w:rsidRPr="00CF336B">
        <w:rPr>
          <w:lang w:val="tr-TR"/>
        </w:rPr>
        <w:t>Certificate</w:t>
      </w:r>
      <w:proofErr w:type="spellEnd"/>
      <w:r w:rsidRPr="00CF336B">
        <w:rPr>
          <w:lang w:val="tr-TR"/>
        </w:rPr>
        <w:t xml:space="preserve">) temin etmektedir. Bu </w:t>
      </w:r>
      <w:r w:rsidR="001B5DDC" w:rsidRPr="00CF336B">
        <w:rPr>
          <w:lang w:val="tr-TR"/>
        </w:rPr>
        <w:t>sertifikanın</w:t>
      </w:r>
      <w:r w:rsidRPr="00CF336B">
        <w:rPr>
          <w:lang w:val="tr-TR"/>
        </w:rPr>
        <w:t xml:space="preserve"> ticaretinin mümkün olması ve yenilenebilir enerji kaynağı dışındaki elektrik üreticilerinin zorunluluk kapsamında bu belgeye olan talebi, yenilenebilir enerji kaynakları için bir gelir kapısı oluşturmuştur. Bu uygulama ile büyük çaplı </w:t>
      </w:r>
      <w:r w:rsidR="001D0C6E" w:rsidRPr="00CF336B">
        <w:rPr>
          <w:lang w:val="tr-TR"/>
        </w:rPr>
        <w:t>rüzgâr</w:t>
      </w:r>
      <w:r w:rsidRPr="00CF336B">
        <w:rPr>
          <w:lang w:val="tr-TR"/>
        </w:rPr>
        <w:t xml:space="preserve"> ve güneş enerjisi projelerinin gelişmesinin önü açılmıştır. Mevcutta elektrik üretimi yapan birçok büyük çaplı yenilenebilir enerji santrali bu uygulamanın desteği altında bulunmaktadır. Uygulama Mart 2017 </w:t>
      </w:r>
      <w:r w:rsidR="00463548">
        <w:rPr>
          <w:lang w:val="tr-TR"/>
        </w:rPr>
        <w:t>itibarıyla</w:t>
      </w:r>
      <w:r w:rsidRPr="00CF336B">
        <w:rPr>
          <w:lang w:val="tr-TR"/>
        </w:rPr>
        <w:t xml:space="preserve"> sonlandırılmış olup yeni kapasiteler bu uygulama kapsamına girememektedir. Güneş enerjisindeki artışta ise 2010 yılında tanıtılan alım garantilerinin önemli bir rolü olmuştur. 2000 yılında İngiltere’nin kurulu gücü içerisindeki payı </w:t>
      </w:r>
      <w:proofErr w:type="gramStart"/>
      <w:r w:rsidRPr="00CF336B">
        <w:rPr>
          <w:lang w:val="tr-TR"/>
        </w:rPr>
        <w:t>%38</w:t>
      </w:r>
      <w:proofErr w:type="gramEnd"/>
      <w:r w:rsidRPr="00CF336B">
        <w:rPr>
          <w:lang w:val="tr-TR"/>
        </w:rPr>
        <w:t xml:space="preserve"> olan kömür santrallerinin payı 2020 yılında %6 seviyesine düşmüş, 2000 yılında payı %7 olan yenilenebilir enerji kaynaklarının payı 2020 yılında %50 seviyesine çıkmıştır</w:t>
      </w:r>
      <w:r w:rsidR="00847916">
        <w:rPr>
          <w:lang w:val="tr-TR"/>
        </w:rPr>
        <w:t xml:space="preserve"> </w:t>
      </w:r>
      <w:sdt>
        <w:sdtPr>
          <w:rPr>
            <w:lang w:val="tr-TR"/>
          </w:rPr>
          <w:id w:val="-1518078046"/>
          <w:citation/>
        </w:sdtPr>
        <w:sdtEndPr/>
        <w:sdtContent>
          <w:r w:rsidR="00F12746">
            <w:rPr>
              <w:lang w:val="tr-TR"/>
            </w:rPr>
            <w:fldChar w:fldCharType="begin"/>
          </w:r>
          <w:r w:rsidR="00F12746">
            <w:instrText xml:space="preserve"> CITATION Dep23 \l 1033 </w:instrText>
          </w:r>
          <w:r w:rsidR="00F12746">
            <w:rPr>
              <w:lang w:val="tr-TR"/>
            </w:rPr>
            <w:fldChar w:fldCharType="separate"/>
          </w:r>
          <w:r w:rsidR="00D95FF7">
            <w:rPr>
              <w:noProof/>
            </w:rPr>
            <w:t>(Department for Energy Security &amp; Net Zero, 2023)</w:t>
          </w:r>
          <w:r w:rsidR="00F12746">
            <w:rPr>
              <w:lang w:val="tr-TR"/>
            </w:rPr>
            <w:fldChar w:fldCharType="end"/>
          </w:r>
        </w:sdtContent>
      </w:sdt>
      <w:r w:rsidR="00F12746">
        <w:rPr>
          <w:lang w:val="tr-TR"/>
        </w:rPr>
        <w:t>.</w:t>
      </w:r>
      <w:r w:rsidRPr="00CF336B">
        <w:rPr>
          <w:lang w:val="tr-TR"/>
        </w:rPr>
        <w:t xml:space="preserve"> 2017 yılından itibaren RO uygulamasının sona ermesi, alım garantilerindeki güncellemeler ile yeni küçük çaplı projelerin sayısının azalması, ülkenin yenilenebilir kurulu gücündeki artış hızını azaltmıştır. Ek olarak büyük kapasiteli kömür santrallerinin bir kısmının kapanması, bir kısmının ise biyogaz santrallerine çevrilmesi ülkedeki kömür santrali kurulu gücünde önemli bir azalışa yol açmış ve kömür kaynaklı elektrik üretiminin de azalmasına sebep olmuştur. İngiltere’deki toplam elektrik üretimi ve bu elektrik üretimi içerisindeki kömür kayaklı elektrik üretim payı</w:t>
      </w:r>
      <w:r w:rsidR="009C5703" w:rsidRPr="00CF336B">
        <w:rPr>
          <w:lang w:val="tr-TR"/>
        </w:rPr>
        <w:t xml:space="preserve"> </w:t>
      </w:r>
      <w:r w:rsidR="009C5703" w:rsidRPr="00CF336B">
        <w:rPr>
          <w:lang w:val="tr-TR"/>
        </w:rPr>
        <w:fldChar w:fldCharType="begin"/>
      </w:r>
      <w:r w:rsidR="009C5703" w:rsidRPr="00CF336B">
        <w:rPr>
          <w:lang w:val="tr-TR"/>
        </w:rPr>
        <w:instrText xml:space="preserve"> REF _Ref147846004 \h </w:instrText>
      </w:r>
      <w:r w:rsidR="00413DBB" w:rsidRPr="00CF336B">
        <w:rPr>
          <w:lang w:val="tr-TR"/>
        </w:rPr>
        <w:instrText xml:space="preserve"> \* MERGEFORMAT </w:instrText>
      </w:r>
      <w:r w:rsidR="009C5703" w:rsidRPr="00CF336B">
        <w:rPr>
          <w:lang w:val="tr-TR"/>
        </w:rPr>
      </w:r>
      <w:r w:rsidR="009C5703" w:rsidRPr="00CF336B">
        <w:rPr>
          <w:lang w:val="tr-TR"/>
        </w:rPr>
        <w:fldChar w:fldCharType="separate"/>
      </w:r>
      <w:r w:rsidR="001D6180" w:rsidRPr="00CF336B">
        <w:rPr>
          <w:lang w:val="tr-TR"/>
        </w:rPr>
        <w:t xml:space="preserve">Şekil </w:t>
      </w:r>
      <w:r w:rsidR="001D6180">
        <w:rPr>
          <w:noProof/>
          <w:lang w:val="tr-TR"/>
        </w:rPr>
        <w:t>23</w:t>
      </w:r>
      <w:r w:rsidR="009C5703" w:rsidRPr="00CF336B">
        <w:rPr>
          <w:lang w:val="tr-TR"/>
        </w:rPr>
        <w:fldChar w:fldCharType="end"/>
      </w:r>
      <w:r w:rsidRPr="00CF336B">
        <w:rPr>
          <w:lang w:val="tr-TR"/>
        </w:rPr>
        <w:t>’</w:t>
      </w:r>
      <w:r w:rsidR="001D6180">
        <w:rPr>
          <w:lang w:val="tr-TR"/>
        </w:rPr>
        <w:t>t</w:t>
      </w:r>
      <w:r w:rsidRPr="00CF336B">
        <w:rPr>
          <w:lang w:val="tr-TR"/>
        </w:rPr>
        <w:t>e gösterilmiştir</w:t>
      </w:r>
      <w:r w:rsidR="004A27CD">
        <w:rPr>
          <w:lang w:val="tr-TR"/>
        </w:rPr>
        <w:t xml:space="preserve"> </w:t>
      </w:r>
      <w:sdt>
        <w:sdtPr>
          <w:rPr>
            <w:lang w:val="tr-TR"/>
          </w:rPr>
          <w:id w:val="505878575"/>
          <w:citation/>
        </w:sdtPr>
        <w:sdtEndPr/>
        <w:sdtContent>
          <w:r w:rsidR="004A27CD">
            <w:rPr>
              <w:lang w:val="tr-TR"/>
            </w:rPr>
            <w:fldChar w:fldCharType="begin"/>
          </w:r>
          <w:r w:rsidR="004A27CD">
            <w:instrText xml:space="preserve"> CITATION Nat231 \l 1033 </w:instrText>
          </w:r>
          <w:r w:rsidR="004A27CD">
            <w:rPr>
              <w:lang w:val="tr-TR"/>
            </w:rPr>
            <w:fldChar w:fldCharType="separate"/>
          </w:r>
          <w:r w:rsidR="00D95FF7">
            <w:rPr>
              <w:noProof/>
            </w:rPr>
            <w:t>(National Grid Data Portal, 2023)</w:t>
          </w:r>
          <w:r w:rsidR="004A27CD">
            <w:rPr>
              <w:lang w:val="tr-TR"/>
            </w:rPr>
            <w:fldChar w:fldCharType="end"/>
          </w:r>
        </w:sdtContent>
      </w:sdt>
      <w:r w:rsidR="004A27CD">
        <w:rPr>
          <w:lang w:val="tr-TR"/>
        </w:rPr>
        <w:t xml:space="preserve">. </w:t>
      </w:r>
    </w:p>
    <w:p w14:paraId="4857A7B9" w14:textId="77777777" w:rsidR="009B7EF6" w:rsidRPr="00CF336B" w:rsidRDefault="009B7EF6" w:rsidP="004D4361">
      <w:pPr>
        <w:keepNext/>
        <w:spacing w:line="360" w:lineRule="auto"/>
        <w:rPr>
          <w:lang w:val="tr-TR"/>
        </w:rPr>
      </w:pPr>
      <w:r w:rsidRPr="00CF336B">
        <w:rPr>
          <w:noProof/>
          <w:shd w:val="clear" w:color="auto" w:fill="000000" w:themeFill="text1"/>
          <w:lang w:val="tr-TR"/>
        </w:rPr>
        <w:drawing>
          <wp:inline distT="0" distB="0" distL="0" distR="0" wp14:anchorId="1E6E773D" wp14:editId="0FA456C9">
            <wp:extent cx="5486400" cy="3200400"/>
            <wp:effectExtent l="0" t="0" r="0" b="0"/>
            <wp:docPr id="56815882" name="Chart 56815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5CA4516" w14:textId="3B12BC06" w:rsidR="009B7EF6" w:rsidRPr="00CF336B" w:rsidRDefault="009B7EF6" w:rsidP="004D4361">
      <w:pPr>
        <w:pStyle w:val="Caption"/>
        <w:spacing w:line="360" w:lineRule="auto"/>
        <w:jc w:val="center"/>
        <w:rPr>
          <w:rStyle w:val="Heading2Char"/>
          <w:i w:val="0"/>
          <w:iCs w:val="0"/>
          <w:color w:val="auto"/>
          <w:sz w:val="28"/>
          <w:szCs w:val="28"/>
          <w:lang w:val="tr-TR"/>
        </w:rPr>
      </w:pPr>
      <w:bookmarkStart w:id="94" w:name="_Ref147846004"/>
      <w:bookmarkStart w:id="95" w:name="_Toc156210477"/>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23</w:t>
      </w:r>
      <w:r w:rsidRPr="00CF336B">
        <w:rPr>
          <w:color w:val="auto"/>
          <w:sz w:val="22"/>
          <w:szCs w:val="22"/>
          <w:lang w:val="tr-TR"/>
        </w:rPr>
        <w:fldChar w:fldCharType="end"/>
      </w:r>
      <w:bookmarkEnd w:id="94"/>
      <w:r w:rsidRPr="00CF336B">
        <w:rPr>
          <w:color w:val="auto"/>
          <w:sz w:val="22"/>
          <w:szCs w:val="22"/>
          <w:lang w:val="tr-TR"/>
        </w:rPr>
        <w:t xml:space="preserve">. </w:t>
      </w:r>
      <w:r w:rsidR="006A3750" w:rsidRPr="00CF336B">
        <w:rPr>
          <w:color w:val="auto"/>
          <w:sz w:val="22"/>
          <w:szCs w:val="22"/>
          <w:lang w:val="tr-TR"/>
        </w:rPr>
        <w:t>İngiltere Kömür Kaynaklı Elektrik Üretimi ve Toplam Üretimdeki Payı</w:t>
      </w:r>
      <w:bookmarkEnd w:id="95"/>
    </w:p>
    <w:p w14:paraId="30F93F0A" w14:textId="0DB4EAB1" w:rsidR="00085E31" w:rsidRPr="00CF336B" w:rsidRDefault="00256096" w:rsidP="004D4361">
      <w:pPr>
        <w:pStyle w:val="Heading2"/>
        <w:numPr>
          <w:ilvl w:val="1"/>
          <w:numId w:val="12"/>
        </w:numPr>
        <w:spacing w:line="360" w:lineRule="auto"/>
        <w:rPr>
          <w:sz w:val="22"/>
          <w:szCs w:val="22"/>
          <w:lang w:val="tr-TR"/>
        </w:rPr>
      </w:pPr>
      <w:bookmarkStart w:id="96" w:name="_Toc147845415"/>
      <w:bookmarkStart w:id="97" w:name="_Toc147845416"/>
      <w:bookmarkStart w:id="98" w:name="_Toc147845435"/>
      <w:bookmarkStart w:id="99" w:name="_Toc147845436"/>
      <w:bookmarkStart w:id="100" w:name="_Toc147845437"/>
      <w:bookmarkStart w:id="101" w:name="_Toc147845438"/>
      <w:bookmarkStart w:id="102" w:name="_Toc147845439"/>
      <w:bookmarkStart w:id="103" w:name="_Toc147845440"/>
      <w:bookmarkStart w:id="104" w:name="_Toc147845441"/>
      <w:bookmarkStart w:id="105" w:name="_Toc147845442"/>
      <w:bookmarkStart w:id="106" w:name="_Toc147845443"/>
      <w:bookmarkStart w:id="107" w:name="_Toc147845444"/>
      <w:bookmarkStart w:id="108" w:name="_Toc147845445"/>
      <w:bookmarkStart w:id="109" w:name="_Toc147845446"/>
      <w:bookmarkStart w:id="110" w:name="_Toc147845447"/>
      <w:bookmarkStart w:id="111" w:name="_Toc147845448"/>
      <w:bookmarkStart w:id="112" w:name="_Toc147845449"/>
      <w:bookmarkStart w:id="113" w:name="_Toc147845450"/>
      <w:bookmarkStart w:id="114" w:name="_Toc147845451"/>
      <w:bookmarkStart w:id="115" w:name="_Toc147845452"/>
      <w:bookmarkStart w:id="116" w:name="_Toc147845453"/>
      <w:bookmarkStart w:id="117" w:name="_Toc147845454"/>
      <w:bookmarkStart w:id="118" w:name="_Toc147845455"/>
      <w:bookmarkStart w:id="119" w:name="_Toc15621044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CF336B">
        <w:rPr>
          <w:sz w:val="22"/>
          <w:szCs w:val="22"/>
          <w:lang w:val="tr-TR"/>
        </w:rPr>
        <w:t>İspanya</w:t>
      </w:r>
      <w:bookmarkEnd w:id="119"/>
    </w:p>
    <w:p w14:paraId="09DADCED" w14:textId="2FFB3852" w:rsidR="00A534C1" w:rsidRPr="00CF336B" w:rsidRDefault="00A534C1" w:rsidP="004D4361">
      <w:pPr>
        <w:spacing w:line="360" w:lineRule="auto"/>
        <w:jc w:val="both"/>
        <w:rPr>
          <w:lang w:val="tr-TR"/>
        </w:rPr>
      </w:pPr>
      <w:r w:rsidRPr="00CF336B">
        <w:rPr>
          <w:lang w:val="tr-TR"/>
        </w:rPr>
        <w:t xml:space="preserve">İspanya’da </w:t>
      </w:r>
      <w:r w:rsidR="00BD349A" w:rsidRPr="00CF336B">
        <w:rPr>
          <w:lang w:val="tr-TR"/>
        </w:rPr>
        <w:t>1997</w:t>
      </w:r>
      <w:r w:rsidR="003471CA" w:rsidRPr="00CF336B">
        <w:rPr>
          <w:lang w:val="tr-TR"/>
        </w:rPr>
        <w:t xml:space="preserve"> </w:t>
      </w:r>
      <w:r w:rsidR="00463548">
        <w:rPr>
          <w:lang w:val="tr-TR"/>
        </w:rPr>
        <w:t>itibarıyla</w:t>
      </w:r>
      <w:r w:rsidR="003471CA" w:rsidRPr="00CF336B">
        <w:rPr>
          <w:lang w:val="tr-TR"/>
        </w:rPr>
        <w:t xml:space="preserve"> başlayan serbestleşme adımlarıyla</w:t>
      </w:r>
      <w:r w:rsidR="0005024E" w:rsidRPr="00CF336B">
        <w:rPr>
          <w:lang w:val="tr-TR"/>
        </w:rPr>
        <w:t>,</w:t>
      </w:r>
      <w:r w:rsidR="003471CA" w:rsidRPr="00CF336B">
        <w:rPr>
          <w:lang w:val="tr-TR"/>
        </w:rPr>
        <w:t xml:space="preserve"> </w:t>
      </w:r>
      <w:r w:rsidR="00403990" w:rsidRPr="00CF336B">
        <w:rPr>
          <w:lang w:val="tr-TR"/>
        </w:rPr>
        <w:t>daha önceden benimsenen merkeziyetçi planlama yaklaşımını bırakmaya yönelik aksiyonlar alınmıştır.</w:t>
      </w:r>
      <w:r w:rsidR="0005024E" w:rsidRPr="00CF336B">
        <w:rPr>
          <w:lang w:val="tr-TR"/>
        </w:rPr>
        <w:t xml:space="preserve"> Serbestleşme öncesi dönemde oluşan </w:t>
      </w:r>
      <w:r w:rsidRPr="00CF336B">
        <w:rPr>
          <w:lang w:val="tr-TR"/>
        </w:rPr>
        <w:t>ihtiyaç fazlası kapasite sistemde yerini almış ve</w:t>
      </w:r>
      <w:r w:rsidR="008D63C3" w:rsidRPr="00CF336B">
        <w:rPr>
          <w:lang w:val="tr-TR"/>
        </w:rPr>
        <w:t xml:space="preserve"> o dönemde sistemin verimsiz işletilmesi sonucunu beraberinde getirmiştir.</w:t>
      </w:r>
      <w:r w:rsidRPr="00CF336B">
        <w:rPr>
          <w:lang w:val="tr-TR"/>
        </w:rPr>
        <w:t xml:space="preserve"> Serbestleşmeye geçişle beraber, “</w:t>
      </w:r>
      <w:proofErr w:type="spellStart"/>
      <w:r w:rsidRPr="00CF336B">
        <w:rPr>
          <w:lang w:val="tr-TR"/>
        </w:rPr>
        <w:t>garantia</w:t>
      </w:r>
      <w:proofErr w:type="spellEnd"/>
      <w:r w:rsidRPr="00CF336B">
        <w:rPr>
          <w:lang w:val="tr-TR"/>
        </w:rPr>
        <w:t xml:space="preserve"> de </w:t>
      </w:r>
      <w:proofErr w:type="spellStart"/>
      <w:r w:rsidRPr="00CF336B">
        <w:rPr>
          <w:lang w:val="tr-TR"/>
        </w:rPr>
        <w:t>potencia</w:t>
      </w:r>
      <w:proofErr w:type="spellEnd"/>
      <w:r w:rsidRPr="00CF336B">
        <w:rPr>
          <w:lang w:val="tr-TR"/>
        </w:rPr>
        <w:t xml:space="preserve">” (güç garantisi) adı altında </w:t>
      </w:r>
      <w:r w:rsidR="008D63C3" w:rsidRPr="00CF336B">
        <w:rPr>
          <w:lang w:val="tr-TR"/>
        </w:rPr>
        <w:t>konvansiyonel</w:t>
      </w:r>
      <w:r w:rsidRPr="00CF336B">
        <w:rPr>
          <w:lang w:val="tr-TR"/>
        </w:rPr>
        <w:t xml:space="preserve"> elektrik üreticilerine kapasite ödemeleri sistemde yerini almıştır. İspanya’da ilk kez 1997’de oluş</w:t>
      </w:r>
      <w:r w:rsidR="00EA6CA2" w:rsidRPr="00CF336B">
        <w:rPr>
          <w:lang w:val="tr-TR"/>
        </w:rPr>
        <w:t>turul</w:t>
      </w:r>
      <w:r w:rsidRPr="00CF336B">
        <w:rPr>
          <w:lang w:val="tr-TR"/>
        </w:rPr>
        <w:t>an kapasite mekanizma</w:t>
      </w:r>
      <w:r w:rsidR="005869FF" w:rsidRPr="00CF336B">
        <w:rPr>
          <w:lang w:val="tr-TR"/>
        </w:rPr>
        <w:t>sı uygulamasına</w:t>
      </w:r>
      <w:r w:rsidRPr="00CF336B">
        <w:rPr>
          <w:lang w:val="tr-TR"/>
        </w:rPr>
        <w:t xml:space="preserve"> 2007 yılında güncelleme gelmiş</w:t>
      </w:r>
      <w:r w:rsidR="005869FF" w:rsidRPr="00CF336B">
        <w:rPr>
          <w:lang w:val="tr-TR"/>
        </w:rPr>
        <w:t xml:space="preserve"> ve yeni kapasite ödeme fiyatları belirlenmiş</w:t>
      </w:r>
      <w:r w:rsidRPr="00CF336B">
        <w:rPr>
          <w:lang w:val="tr-TR"/>
        </w:rPr>
        <w:t>tir. 2007 yılında üreticiler için iki temel ödenek açıklanmıştır</w:t>
      </w:r>
      <w:r w:rsidR="0027119B" w:rsidRPr="00CF336B">
        <w:rPr>
          <w:lang w:val="tr-TR"/>
        </w:rPr>
        <w:t xml:space="preserve"> </w:t>
      </w:r>
      <w:sdt>
        <w:sdtPr>
          <w:rPr>
            <w:lang w:val="tr-TR"/>
          </w:rPr>
          <w:id w:val="-1287663561"/>
          <w:citation/>
        </w:sdtPr>
        <w:sdtEndPr/>
        <w:sdtContent>
          <w:r w:rsidR="009507FE" w:rsidRPr="00CF336B">
            <w:rPr>
              <w:lang w:val="tr-TR"/>
            </w:rPr>
            <w:fldChar w:fldCharType="begin"/>
          </w:r>
          <w:r w:rsidR="009507FE" w:rsidRPr="00CF336B">
            <w:rPr>
              <w:lang w:val="tr-TR"/>
            </w:rPr>
            <w:instrText xml:space="preserve"> CITATION IEE16 \l 1033 </w:instrText>
          </w:r>
          <w:r w:rsidR="009507FE" w:rsidRPr="00CF336B">
            <w:rPr>
              <w:lang w:val="tr-TR"/>
            </w:rPr>
            <w:fldChar w:fldCharType="separate"/>
          </w:r>
          <w:r w:rsidR="00D95FF7" w:rsidRPr="00D95FF7">
            <w:rPr>
              <w:noProof/>
              <w:lang w:val="tr-TR"/>
            </w:rPr>
            <w:t>(IEEFA, 2016)</w:t>
          </w:r>
          <w:r w:rsidR="009507FE" w:rsidRPr="00CF336B">
            <w:rPr>
              <w:lang w:val="tr-TR"/>
            </w:rPr>
            <w:fldChar w:fldCharType="end"/>
          </w:r>
        </w:sdtContent>
      </w:sdt>
      <w:r w:rsidRPr="00CF336B">
        <w:rPr>
          <w:lang w:val="tr-TR"/>
        </w:rPr>
        <w:t>:</w:t>
      </w:r>
    </w:p>
    <w:p w14:paraId="2C5A3675" w14:textId="33977A7B" w:rsidR="00A534C1" w:rsidRPr="00CF336B" w:rsidRDefault="00BB4439" w:rsidP="004D4361">
      <w:pPr>
        <w:pStyle w:val="ListParagraph"/>
        <w:numPr>
          <w:ilvl w:val="0"/>
          <w:numId w:val="22"/>
        </w:numPr>
        <w:spacing w:line="360" w:lineRule="auto"/>
        <w:jc w:val="both"/>
        <w:rPr>
          <w:lang w:val="tr-TR"/>
        </w:rPr>
      </w:pPr>
      <w:r w:rsidRPr="00CF336B">
        <w:rPr>
          <w:lang w:val="tr-TR"/>
        </w:rPr>
        <w:t xml:space="preserve">Emre </w:t>
      </w:r>
      <w:proofErr w:type="spellStart"/>
      <w:r w:rsidRPr="00CF336B">
        <w:rPr>
          <w:lang w:val="tr-TR"/>
        </w:rPr>
        <w:t>Amadelik</w:t>
      </w:r>
      <w:proofErr w:type="spellEnd"/>
      <w:r w:rsidR="00A534C1" w:rsidRPr="00CF336B">
        <w:rPr>
          <w:lang w:val="tr-TR"/>
        </w:rPr>
        <w:t xml:space="preserve"> </w:t>
      </w:r>
      <w:r w:rsidRPr="00CF336B">
        <w:rPr>
          <w:lang w:val="tr-TR"/>
        </w:rPr>
        <w:t>S</w:t>
      </w:r>
      <w:r w:rsidR="00A534C1" w:rsidRPr="00CF336B">
        <w:rPr>
          <w:lang w:val="tr-TR"/>
        </w:rPr>
        <w:t xml:space="preserve">übvansiyonu: Hidroelektrik, </w:t>
      </w:r>
      <w:r w:rsidR="00A534C1" w:rsidRPr="00B676C9">
        <w:rPr>
          <w:lang w:val="tr-TR"/>
        </w:rPr>
        <w:t>doğal gaz, kömür ve akaryakıt</w:t>
      </w:r>
      <w:r w:rsidR="00A534C1" w:rsidRPr="00CF336B">
        <w:rPr>
          <w:lang w:val="tr-TR"/>
        </w:rPr>
        <w:t xml:space="preserve"> santrallerinden oluşan</w:t>
      </w:r>
      <w:r w:rsidR="0081368C" w:rsidRPr="00CF336B">
        <w:rPr>
          <w:lang w:val="tr-TR"/>
        </w:rPr>
        <w:t xml:space="preserve"> toplam</w:t>
      </w:r>
      <w:r w:rsidR="00A534C1" w:rsidRPr="00CF336B">
        <w:rPr>
          <w:lang w:val="tr-TR"/>
        </w:rPr>
        <w:t xml:space="preserve"> 50GW’lık</w:t>
      </w:r>
      <w:r w:rsidR="000B0DD1" w:rsidRPr="00CF336B">
        <w:rPr>
          <w:lang w:val="tr-TR"/>
        </w:rPr>
        <w:t xml:space="preserve"> kapasite</w:t>
      </w:r>
      <w:r w:rsidR="00A534C1" w:rsidRPr="00CF336B">
        <w:rPr>
          <w:lang w:val="tr-TR"/>
        </w:rPr>
        <w:t xml:space="preserve"> </w:t>
      </w:r>
      <w:r w:rsidR="001A165C" w:rsidRPr="00CF336B">
        <w:rPr>
          <w:lang w:val="tr-TR"/>
        </w:rPr>
        <w:t xml:space="preserve">için santrallerin üretim yapmasından bağımsız olarak </w:t>
      </w:r>
      <w:r w:rsidR="00A534C1" w:rsidRPr="00CF336B">
        <w:rPr>
          <w:lang w:val="tr-TR"/>
        </w:rPr>
        <w:t xml:space="preserve">ödemeler </w:t>
      </w:r>
      <w:r w:rsidR="000B0DD1" w:rsidRPr="00CF336B">
        <w:rPr>
          <w:lang w:val="tr-TR"/>
        </w:rPr>
        <w:t>yapılmıştır</w:t>
      </w:r>
      <w:r w:rsidR="00A534C1" w:rsidRPr="00CF336B">
        <w:rPr>
          <w:lang w:val="tr-TR"/>
        </w:rPr>
        <w:t>. 2011</w:t>
      </w:r>
      <w:r w:rsidR="004110BB" w:rsidRPr="00CF336B">
        <w:rPr>
          <w:lang w:val="tr-TR"/>
        </w:rPr>
        <w:t xml:space="preserve"> yılında</w:t>
      </w:r>
      <w:r w:rsidR="00A534C1" w:rsidRPr="00CF336B">
        <w:rPr>
          <w:lang w:val="tr-TR"/>
        </w:rPr>
        <w:t xml:space="preserve"> bu </w:t>
      </w:r>
      <w:r w:rsidR="000572FB" w:rsidRPr="00CF336B">
        <w:rPr>
          <w:lang w:val="tr-TR"/>
        </w:rPr>
        <w:t>miktarı</w:t>
      </w:r>
      <w:r w:rsidR="00A534C1" w:rsidRPr="00CF336B">
        <w:rPr>
          <w:lang w:val="tr-TR"/>
        </w:rPr>
        <w:t xml:space="preserve"> kömür için 4.700 €/MW, hidroelektrik için 1.200 €/MW olarak belirlenmiştir.</w:t>
      </w:r>
    </w:p>
    <w:p w14:paraId="1BE7EF7D" w14:textId="5B3154A3" w:rsidR="00A534C1" w:rsidRPr="00CF336B" w:rsidRDefault="00A534C1" w:rsidP="004D4361">
      <w:pPr>
        <w:pStyle w:val="ListParagraph"/>
        <w:numPr>
          <w:ilvl w:val="0"/>
          <w:numId w:val="22"/>
        </w:numPr>
        <w:spacing w:line="360" w:lineRule="auto"/>
        <w:jc w:val="both"/>
        <w:rPr>
          <w:lang w:val="tr-TR"/>
        </w:rPr>
      </w:pPr>
      <w:r w:rsidRPr="00CF336B">
        <w:rPr>
          <w:lang w:val="tr-TR"/>
        </w:rPr>
        <w:t xml:space="preserve">Yatırım </w:t>
      </w:r>
      <w:r w:rsidR="00463548">
        <w:rPr>
          <w:lang w:val="tr-TR"/>
        </w:rPr>
        <w:t>S</w:t>
      </w:r>
      <w:r w:rsidRPr="00CF336B">
        <w:rPr>
          <w:lang w:val="tr-TR"/>
        </w:rPr>
        <w:t>übvansiyonu: 1997 sonrası inşa edilen kombine çevrim enerji santrallerine (kömür dahil) yönelik 28.000 €/</w:t>
      </w:r>
      <w:proofErr w:type="spellStart"/>
      <w:r w:rsidRPr="00CF336B">
        <w:rPr>
          <w:lang w:val="tr-TR"/>
        </w:rPr>
        <w:t>MW’a</w:t>
      </w:r>
      <w:proofErr w:type="spellEnd"/>
      <w:r w:rsidRPr="00CF336B">
        <w:rPr>
          <w:lang w:val="tr-TR"/>
        </w:rPr>
        <w:t xml:space="preserve"> varan ödenekler sunulmuştur</w:t>
      </w:r>
      <w:r w:rsidR="00A22BD1" w:rsidRPr="00CF336B">
        <w:rPr>
          <w:lang w:val="tr-TR"/>
        </w:rPr>
        <w:t xml:space="preserve"> (2012 yılında istisnai olarak bu değer </w:t>
      </w:r>
      <w:r w:rsidR="0065376E" w:rsidRPr="00CF336B">
        <w:rPr>
          <w:lang w:val="tr-TR"/>
        </w:rPr>
        <w:t>23.400 €/</w:t>
      </w:r>
      <w:proofErr w:type="spellStart"/>
      <w:r w:rsidR="0065376E" w:rsidRPr="00CF336B">
        <w:rPr>
          <w:lang w:val="tr-TR"/>
        </w:rPr>
        <w:t>MW’a</w:t>
      </w:r>
      <w:proofErr w:type="spellEnd"/>
      <w:r w:rsidR="0065376E" w:rsidRPr="00CF336B">
        <w:rPr>
          <w:lang w:val="tr-TR"/>
        </w:rPr>
        <w:t xml:space="preserve"> çekilmiştir</w:t>
      </w:r>
      <w:r w:rsidR="00742E07" w:rsidRPr="00CF336B">
        <w:rPr>
          <w:lang w:val="tr-TR"/>
        </w:rPr>
        <w:t xml:space="preserve"> ve yalnızca yatırım </w:t>
      </w:r>
      <w:r w:rsidR="00CC0DA9" w:rsidRPr="00CF336B">
        <w:rPr>
          <w:lang w:val="tr-TR"/>
        </w:rPr>
        <w:t>sübvansi</w:t>
      </w:r>
      <w:r w:rsidR="00162137" w:rsidRPr="00CF336B">
        <w:rPr>
          <w:lang w:val="tr-TR"/>
        </w:rPr>
        <w:t>yonu</w:t>
      </w:r>
      <w:r w:rsidR="00FB2918" w:rsidRPr="00CF336B">
        <w:rPr>
          <w:lang w:val="tr-TR"/>
        </w:rPr>
        <w:t xml:space="preserve"> altında kapasite</w:t>
      </w:r>
      <w:r w:rsidR="008B70D4" w:rsidRPr="00CF336B">
        <w:rPr>
          <w:lang w:val="tr-TR"/>
        </w:rPr>
        <w:t xml:space="preserve"> ödemesi</w:t>
      </w:r>
      <w:r w:rsidR="00FB2918" w:rsidRPr="00CF336B">
        <w:rPr>
          <w:lang w:val="tr-TR"/>
        </w:rPr>
        <w:t xml:space="preserve"> alan santrallere uygulanmıştır.</w:t>
      </w:r>
      <w:r w:rsidR="0065376E" w:rsidRPr="00CF336B">
        <w:rPr>
          <w:lang w:val="tr-TR"/>
        </w:rPr>
        <w:t>)</w:t>
      </w:r>
      <w:r w:rsidRPr="00CF336B">
        <w:rPr>
          <w:lang w:val="tr-TR"/>
        </w:rPr>
        <w:t>. Sağlanan yatırım ödeneği 2013 yılında düşürülerek yıllık 10.000€/MW olarak belirlenirken</w:t>
      </w:r>
      <w:r w:rsidR="00465089" w:rsidRPr="00CF336B">
        <w:rPr>
          <w:lang w:val="tr-TR"/>
        </w:rPr>
        <w:t xml:space="preserve"> ödemenin yapılacağı</w:t>
      </w:r>
      <w:r w:rsidRPr="00CF336B">
        <w:rPr>
          <w:lang w:val="tr-TR"/>
        </w:rPr>
        <w:t xml:space="preserve"> zaman </w:t>
      </w:r>
      <w:r w:rsidR="00465089" w:rsidRPr="00CF336B">
        <w:rPr>
          <w:lang w:val="tr-TR"/>
        </w:rPr>
        <w:t>dilimi</w:t>
      </w:r>
      <w:r w:rsidRPr="00CF336B">
        <w:rPr>
          <w:lang w:val="tr-TR"/>
        </w:rPr>
        <w:t xml:space="preserve"> 10 seneden 20 sene</w:t>
      </w:r>
      <w:r w:rsidR="00993ABF" w:rsidRPr="00CF336B">
        <w:rPr>
          <w:lang w:val="tr-TR"/>
        </w:rPr>
        <w:t>ye çıkarılmıştır</w:t>
      </w:r>
      <w:r w:rsidRPr="00CF336B">
        <w:rPr>
          <w:lang w:val="tr-TR"/>
        </w:rPr>
        <w:t>.</w:t>
      </w:r>
      <w:r w:rsidR="007E139D" w:rsidRPr="00CF336B">
        <w:rPr>
          <w:lang w:val="tr-TR"/>
        </w:rPr>
        <w:t xml:space="preserve"> </w:t>
      </w:r>
      <w:r w:rsidRPr="00CF336B">
        <w:rPr>
          <w:lang w:val="tr-TR"/>
        </w:rPr>
        <w:t>Bunun en temel sebebi o dönem yaşanan ekonomik krizin elektrik talebini azaltması</w:t>
      </w:r>
      <w:r w:rsidR="00241EA5" w:rsidRPr="00CF336B">
        <w:rPr>
          <w:lang w:val="tr-TR"/>
        </w:rPr>
        <w:t xml:space="preserve"> </w:t>
      </w:r>
      <w:r w:rsidRPr="00CF336B">
        <w:rPr>
          <w:lang w:val="tr-TR"/>
        </w:rPr>
        <w:t xml:space="preserve">olmuştur. Yatırım sübvansiyonu alan santrallerin aynı zamanda </w:t>
      </w:r>
      <w:r w:rsidR="00241EA5" w:rsidRPr="00CF336B">
        <w:rPr>
          <w:lang w:val="tr-TR"/>
        </w:rPr>
        <w:t xml:space="preserve">emre </w:t>
      </w:r>
      <w:proofErr w:type="spellStart"/>
      <w:r w:rsidR="00241EA5" w:rsidRPr="00CF336B">
        <w:rPr>
          <w:lang w:val="tr-TR"/>
        </w:rPr>
        <w:t>amadelik</w:t>
      </w:r>
      <w:proofErr w:type="spellEnd"/>
      <w:r w:rsidR="00241EA5" w:rsidRPr="00CF336B">
        <w:rPr>
          <w:lang w:val="tr-TR"/>
        </w:rPr>
        <w:t xml:space="preserve"> </w:t>
      </w:r>
      <w:r w:rsidRPr="00CF336B">
        <w:rPr>
          <w:lang w:val="tr-TR"/>
        </w:rPr>
        <w:t xml:space="preserve">sübvansiyonunu almalarının önüne bir engel konulmamıştır. </w:t>
      </w:r>
    </w:p>
    <w:p w14:paraId="2BDB3EBE" w14:textId="348E9F78" w:rsidR="00A534C1" w:rsidRPr="00CF336B" w:rsidRDefault="00EF2BAD" w:rsidP="004D4361">
      <w:pPr>
        <w:spacing w:line="360" w:lineRule="auto"/>
        <w:jc w:val="both"/>
        <w:rPr>
          <w:lang w:val="tr-TR"/>
        </w:rPr>
      </w:pPr>
      <w:proofErr w:type="gramStart"/>
      <w:r w:rsidRPr="00B676C9">
        <w:rPr>
          <w:lang w:val="tr-TR"/>
        </w:rPr>
        <w:t>2011</w:t>
      </w:r>
      <w:r w:rsidR="00463548" w:rsidRPr="00B676C9">
        <w:rPr>
          <w:lang w:val="tr-TR"/>
        </w:rPr>
        <w:t xml:space="preserve"> </w:t>
      </w:r>
      <w:r w:rsidRPr="00B676C9">
        <w:rPr>
          <w:lang w:val="tr-TR"/>
        </w:rPr>
        <w:t>-</w:t>
      </w:r>
      <w:proofErr w:type="gramEnd"/>
      <w:r w:rsidR="00463548" w:rsidRPr="00B676C9">
        <w:rPr>
          <w:lang w:val="tr-TR"/>
        </w:rPr>
        <w:t xml:space="preserve"> </w:t>
      </w:r>
      <w:r w:rsidRPr="00B676C9">
        <w:rPr>
          <w:lang w:val="tr-TR"/>
        </w:rPr>
        <w:t>2015 yılları arasında bu ödeneklerin toplamı</w:t>
      </w:r>
      <w:r w:rsidRPr="00CF336B">
        <w:rPr>
          <w:lang w:val="tr-TR"/>
        </w:rPr>
        <w:t xml:space="preserve"> 2,9 milyar €’</w:t>
      </w:r>
      <w:proofErr w:type="spellStart"/>
      <w:r w:rsidRPr="00CF336B">
        <w:rPr>
          <w:lang w:val="tr-TR"/>
        </w:rPr>
        <w:t>yu</w:t>
      </w:r>
      <w:proofErr w:type="spellEnd"/>
      <w:r w:rsidRPr="00CF336B">
        <w:rPr>
          <w:lang w:val="tr-TR"/>
        </w:rPr>
        <w:t xml:space="preserve"> bulmuştur. </w:t>
      </w:r>
      <w:r w:rsidR="004110BB" w:rsidRPr="00CF336B">
        <w:rPr>
          <w:lang w:val="tr-TR"/>
        </w:rPr>
        <w:t xml:space="preserve">2013 yılında yürürlüğe giren Energy </w:t>
      </w:r>
      <w:proofErr w:type="spellStart"/>
      <w:r w:rsidR="004110BB" w:rsidRPr="00CF336B">
        <w:rPr>
          <w:lang w:val="tr-TR"/>
        </w:rPr>
        <w:t>Sector</w:t>
      </w:r>
      <w:proofErr w:type="spellEnd"/>
      <w:r w:rsidR="004110BB" w:rsidRPr="00CF336B">
        <w:rPr>
          <w:lang w:val="tr-TR"/>
        </w:rPr>
        <w:t xml:space="preserve"> </w:t>
      </w:r>
      <w:proofErr w:type="spellStart"/>
      <w:r w:rsidR="004110BB" w:rsidRPr="00CF336B">
        <w:rPr>
          <w:lang w:val="tr-TR"/>
        </w:rPr>
        <w:t>Act</w:t>
      </w:r>
      <w:proofErr w:type="spellEnd"/>
      <w:r w:rsidR="004110BB" w:rsidRPr="00CF336B">
        <w:rPr>
          <w:lang w:val="tr-TR"/>
        </w:rPr>
        <w:t xml:space="preserve"> (ESA 2013) ile bu ödeneklerin bazıları azaltılırken bazıları tamamen kaldırılmıştır</w:t>
      </w:r>
      <w:sdt>
        <w:sdtPr>
          <w:rPr>
            <w:lang w:val="tr-TR"/>
          </w:rPr>
          <w:id w:val="2081254426"/>
          <w:citation/>
        </w:sdtPr>
        <w:sdtEndPr/>
        <w:sdtContent>
          <w:r w:rsidR="0078168C" w:rsidRPr="00CF336B">
            <w:rPr>
              <w:lang w:val="tr-TR"/>
            </w:rPr>
            <w:fldChar w:fldCharType="begin"/>
          </w:r>
          <w:r w:rsidR="00A81F82" w:rsidRPr="00CF336B">
            <w:rPr>
              <w:lang w:val="tr-TR"/>
            </w:rPr>
            <w:instrText xml:space="preserve">CITATION Han22 \l 1033 </w:instrText>
          </w:r>
          <w:r w:rsidR="0078168C" w:rsidRPr="00CF336B">
            <w:rPr>
              <w:lang w:val="tr-TR"/>
            </w:rPr>
            <w:fldChar w:fldCharType="separate"/>
          </w:r>
          <w:r w:rsidR="00D95FF7">
            <w:rPr>
              <w:noProof/>
              <w:lang w:val="tr-TR"/>
            </w:rPr>
            <w:t xml:space="preserve"> </w:t>
          </w:r>
          <w:r w:rsidR="00D95FF7" w:rsidRPr="00D95FF7">
            <w:rPr>
              <w:noProof/>
              <w:lang w:val="tr-TR"/>
            </w:rPr>
            <w:t>(Hancher, 2022)</w:t>
          </w:r>
          <w:r w:rsidR="0078168C" w:rsidRPr="00CF336B">
            <w:rPr>
              <w:lang w:val="tr-TR"/>
            </w:rPr>
            <w:fldChar w:fldCharType="end"/>
          </w:r>
        </w:sdtContent>
      </w:sdt>
      <w:r w:rsidR="004110BB" w:rsidRPr="00CF336B">
        <w:rPr>
          <w:lang w:val="tr-TR"/>
        </w:rPr>
        <w:t xml:space="preserve">.  </w:t>
      </w:r>
    </w:p>
    <w:p w14:paraId="246F7FB3" w14:textId="50F25B33" w:rsidR="00A534C1" w:rsidRPr="00CF336B" w:rsidRDefault="00A534C1" w:rsidP="004D4361">
      <w:pPr>
        <w:spacing w:line="360" w:lineRule="auto"/>
        <w:jc w:val="both"/>
        <w:rPr>
          <w:lang w:val="tr-TR"/>
        </w:rPr>
      </w:pPr>
      <w:r w:rsidRPr="00B676C9">
        <w:rPr>
          <w:lang w:val="tr-TR"/>
        </w:rPr>
        <w:t>2018 yılında çoğunlukla</w:t>
      </w:r>
      <w:r w:rsidRPr="00CF336B">
        <w:rPr>
          <w:lang w:val="tr-TR"/>
        </w:rPr>
        <w:t xml:space="preserve"> termik santrallerin yararlandığı ‘kullanılabilirlik hizmeti’ adı altındaki kapasite ödemeleri TEC/1366/2018 Bakanlık Kararı ile sonlandırılmıştır. Bakanlık bu kararın</w:t>
      </w:r>
      <w:r w:rsidR="003D0540" w:rsidRPr="00CF336B">
        <w:rPr>
          <w:lang w:val="tr-TR"/>
        </w:rPr>
        <w:t>ı</w:t>
      </w:r>
      <w:r w:rsidRPr="00CF336B">
        <w:rPr>
          <w:lang w:val="tr-TR"/>
        </w:rPr>
        <w:t xml:space="preserve"> oluşturulan temiz enerji paketin</w:t>
      </w:r>
      <w:r w:rsidR="00EF7785" w:rsidRPr="00CF336B">
        <w:rPr>
          <w:lang w:val="tr-TR"/>
        </w:rPr>
        <w:t>e</w:t>
      </w:r>
      <w:r w:rsidRPr="00CF336B">
        <w:rPr>
          <w:lang w:val="tr-TR"/>
        </w:rPr>
        <w:t xml:space="preserve"> ve Paris İklim Antlaşması</w:t>
      </w:r>
      <w:r w:rsidR="00EF7785" w:rsidRPr="00CF336B">
        <w:rPr>
          <w:lang w:val="tr-TR"/>
        </w:rPr>
        <w:t>’</w:t>
      </w:r>
      <w:r w:rsidRPr="00CF336B">
        <w:rPr>
          <w:lang w:val="tr-TR"/>
        </w:rPr>
        <w:t>nda verilen taahhütler</w:t>
      </w:r>
      <w:r w:rsidR="00EF7785" w:rsidRPr="00CF336B">
        <w:rPr>
          <w:lang w:val="tr-TR"/>
        </w:rPr>
        <w:t>e dayandırmıştır.</w:t>
      </w:r>
      <w:r w:rsidR="001312A2" w:rsidRPr="00CF336B">
        <w:rPr>
          <w:lang w:val="tr-TR"/>
        </w:rPr>
        <w:t xml:space="preserve"> </w:t>
      </w:r>
      <w:r w:rsidR="00CF22DB" w:rsidRPr="00CF336B">
        <w:rPr>
          <w:lang w:val="tr-TR"/>
        </w:rPr>
        <w:t>Bu ödemelerin kaldırılması y</w:t>
      </w:r>
      <w:r w:rsidR="001312A2" w:rsidRPr="00CF336B">
        <w:rPr>
          <w:lang w:val="tr-TR"/>
        </w:rPr>
        <w:t>üksek yatırım maliyetlerine sahip termik santrallerin</w:t>
      </w:r>
      <w:r w:rsidRPr="00CF336B">
        <w:rPr>
          <w:lang w:val="tr-TR"/>
        </w:rPr>
        <w:t xml:space="preserve"> </w:t>
      </w:r>
      <w:r w:rsidR="0012445E" w:rsidRPr="00CF336B">
        <w:rPr>
          <w:lang w:val="tr-TR"/>
        </w:rPr>
        <w:t>finansal zorluklar yaşamalarına neden olmuştur.</w:t>
      </w:r>
      <w:r w:rsidRPr="00CF336B">
        <w:rPr>
          <w:lang w:val="tr-TR"/>
        </w:rPr>
        <w:t xml:space="preserve"> </w:t>
      </w:r>
      <w:r w:rsidRPr="00CF336B">
        <w:rPr>
          <w:b/>
          <w:bCs/>
          <w:lang w:val="tr-TR"/>
        </w:rPr>
        <w:t xml:space="preserve">2018 </w:t>
      </w:r>
      <w:r w:rsidRPr="00CF336B">
        <w:rPr>
          <w:lang w:val="tr-TR"/>
        </w:rPr>
        <w:t xml:space="preserve">yılında bir diğer kapasite ödemesi çeşidi olan yatırım </w:t>
      </w:r>
      <w:r w:rsidR="00AF6D94" w:rsidRPr="00CF336B">
        <w:rPr>
          <w:lang w:val="tr-TR"/>
        </w:rPr>
        <w:t>sübvansiyonu</w:t>
      </w:r>
      <w:r w:rsidRPr="00CF336B">
        <w:rPr>
          <w:lang w:val="tr-TR"/>
        </w:rPr>
        <w:t xml:space="preserve"> d</w:t>
      </w:r>
      <w:r w:rsidR="00AF6D94" w:rsidRPr="00CF336B">
        <w:rPr>
          <w:lang w:val="tr-TR"/>
        </w:rPr>
        <w:t>a</w:t>
      </w:r>
      <w:r w:rsidRPr="00CF336B">
        <w:rPr>
          <w:lang w:val="tr-TR"/>
        </w:rPr>
        <w:t xml:space="preserve"> </w:t>
      </w:r>
      <w:r w:rsidR="00C020D7" w:rsidRPr="00CF336B">
        <w:rPr>
          <w:lang w:val="tr-TR"/>
        </w:rPr>
        <w:t xml:space="preserve">yürürlükten </w:t>
      </w:r>
      <w:r w:rsidRPr="00CF336B">
        <w:rPr>
          <w:lang w:val="tr-TR"/>
        </w:rPr>
        <w:t xml:space="preserve">kaldırılmıştır. Ancak 2016 yılı öncesi yapımına başlanmış ve anlaşmaları gerçekleştirilmiş olan bazı santrallerin </w:t>
      </w:r>
      <w:r w:rsidR="00C020D7" w:rsidRPr="00CF336B">
        <w:rPr>
          <w:lang w:val="tr-TR"/>
        </w:rPr>
        <w:t xml:space="preserve">yatırım sübvansiyonu altında aldıkları kapasite ödemelerinin taksileri devam </w:t>
      </w:r>
      <w:r w:rsidR="00FA0893" w:rsidRPr="00CF336B">
        <w:rPr>
          <w:lang w:val="tr-TR"/>
        </w:rPr>
        <w:t>etmektedir</w:t>
      </w:r>
      <w:r w:rsidR="00284B72" w:rsidRPr="00CF336B">
        <w:rPr>
          <w:lang w:val="tr-TR"/>
        </w:rPr>
        <w:t xml:space="preserve"> </w:t>
      </w:r>
      <w:sdt>
        <w:sdtPr>
          <w:rPr>
            <w:lang w:val="tr-TR"/>
          </w:rPr>
          <w:id w:val="109172969"/>
          <w:citation/>
        </w:sdtPr>
        <w:sdtEndPr/>
        <w:sdtContent>
          <w:r w:rsidR="00284B72" w:rsidRPr="00CF336B">
            <w:rPr>
              <w:lang w:val="tr-TR"/>
            </w:rPr>
            <w:fldChar w:fldCharType="begin"/>
          </w:r>
          <w:r w:rsidR="001F46D4" w:rsidRPr="00CF336B">
            <w:rPr>
              <w:lang w:val="tr-TR"/>
            </w:rPr>
            <w:instrText xml:space="preserve">CITATION ACE21 \l 1033 </w:instrText>
          </w:r>
          <w:r w:rsidR="00284B72" w:rsidRPr="00CF336B">
            <w:rPr>
              <w:lang w:val="tr-TR"/>
            </w:rPr>
            <w:fldChar w:fldCharType="separate"/>
          </w:r>
          <w:r w:rsidR="00D95FF7" w:rsidRPr="00D95FF7">
            <w:rPr>
              <w:noProof/>
              <w:lang w:val="tr-TR"/>
            </w:rPr>
            <w:t>(ACER, 2021)</w:t>
          </w:r>
          <w:r w:rsidR="00284B72" w:rsidRPr="00CF336B">
            <w:rPr>
              <w:lang w:val="tr-TR"/>
            </w:rPr>
            <w:fldChar w:fldCharType="end"/>
          </w:r>
        </w:sdtContent>
      </w:sdt>
      <w:r w:rsidRPr="00CF336B">
        <w:rPr>
          <w:lang w:val="tr-TR"/>
        </w:rPr>
        <w:fldChar w:fldCharType="begin"/>
      </w:r>
      <w:r w:rsidRPr="00CF336B">
        <w:rPr>
          <w:lang w:val="tr-TR"/>
        </w:rPr>
        <w:instrText xml:space="preserve"> REF _Ref146810157 \r \h </w:instrText>
      </w:r>
      <w:r w:rsidR="00A4172C" w:rsidRPr="00CF336B">
        <w:rPr>
          <w:lang w:val="tr-TR"/>
        </w:rPr>
        <w:instrText xml:space="preserve"> \* MERGEFORMAT </w:instrText>
      </w:r>
      <w:r w:rsidRPr="00CF336B">
        <w:rPr>
          <w:lang w:val="tr-TR"/>
        </w:rPr>
      </w:r>
      <w:r w:rsidR="008049C2">
        <w:rPr>
          <w:lang w:val="tr-TR"/>
        </w:rPr>
        <w:fldChar w:fldCharType="separate"/>
      </w:r>
      <w:r w:rsidRPr="00CF336B">
        <w:rPr>
          <w:lang w:val="tr-TR"/>
        </w:rPr>
        <w:fldChar w:fldCharType="end"/>
      </w:r>
      <w:r w:rsidRPr="00CF336B">
        <w:rPr>
          <w:lang w:val="tr-TR"/>
        </w:rPr>
        <w:t>.</w:t>
      </w:r>
    </w:p>
    <w:p w14:paraId="05541887" w14:textId="09ED06BD" w:rsidR="00A534C1" w:rsidRPr="00CF336B" w:rsidRDefault="00416F61" w:rsidP="004D4361">
      <w:pPr>
        <w:spacing w:line="360" w:lineRule="auto"/>
        <w:jc w:val="both"/>
        <w:rPr>
          <w:lang w:val="tr-TR"/>
        </w:rPr>
      </w:pPr>
      <w:r w:rsidRPr="00CF336B">
        <w:rPr>
          <w:i/>
          <w:iCs/>
          <w:noProof/>
          <w:lang w:val="tr-TR"/>
        </w:rPr>
        <mc:AlternateContent>
          <mc:Choice Requires="wps">
            <w:drawing>
              <wp:anchor distT="0" distB="0" distL="114300" distR="114300" simplePos="0" relativeHeight="251658242" behindDoc="1" locked="0" layoutInCell="1" allowOverlap="1" wp14:anchorId="639335BE" wp14:editId="5D471E3B">
                <wp:simplePos x="0" y="0"/>
                <wp:positionH relativeFrom="margin">
                  <wp:align>left</wp:align>
                </wp:positionH>
                <wp:positionV relativeFrom="paragraph">
                  <wp:posOffset>18107</wp:posOffset>
                </wp:positionV>
                <wp:extent cx="6057900" cy="1339850"/>
                <wp:effectExtent l="0" t="0" r="19050" b="12700"/>
                <wp:wrapNone/>
                <wp:docPr id="556247668" name="Rectangle 556247668"/>
                <wp:cNvGraphicFramePr/>
                <a:graphic xmlns:a="http://schemas.openxmlformats.org/drawingml/2006/main">
                  <a:graphicData uri="http://schemas.microsoft.com/office/word/2010/wordprocessingShape">
                    <wps:wsp>
                      <wps:cNvSpPr/>
                      <wps:spPr>
                        <a:xfrm>
                          <a:off x="0" y="0"/>
                          <a:ext cx="6057900" cy="1339850"/>
                        </a:xfrm>
                        <a:prstGeom prst="rect">
                          <a:avLst/>
                        </a:prstGeom>
                        <a:solidFill>
                          <a:srgbClr val="4472C4">
                            <a:alpha val="10196"/>
                          </a:srgbClr>
                        </a:solid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DBA641" id="Rectangle 556247668" o:spid="_x0000_s1026" style="position:absolute;margin-left:0;margin-top:1.45pt;width:477pt;height:105.5pt;z-index:-2516582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" fillcolor="#4472c4" strokecolor="#09101d [484]" strokeweight="1pt">
                <v:fill opacity="6682f"/>
                <v:stroke dashstyle="longDash"/>
                <w10:wrap anchorx="margin"/>
              </v:rect>
            </w:pict>
          </mc:Fallback>
        </mc:AlternateContent>
      </w:r>
      <w:r w:rsidR="00184CAF" w:rsidRPr="00CF336B">
        <w:rPr>
          <w:lang w:val="tr-TR"/>
        </w:rPr>
        <w:t>Tüm bunlara ek olarak,</w:t>
      </w:r>
      <w:r w:rsidR="00A534C1" w:rsidRPr="00CF336B">
        <w:rPr>
          <w:lang w:val="tr-TR"/>
        </w:rPr>
        <w:t xml:space="preserve"> Avrupa </w:t>
      </w:r>
      <w:r w:rsidR="00184CAF" w:rsidRPr="00CF336B">
        <w:rPr>
          <w:lang w:val="tr-TR"/>
        </w:rPr>
        <w:t>P</w:t>
      </w:r>
      <w:r w:rsidR="00A534C1" w:rsidRPr="00CF336B">
        <w:rPr>
          <w:lang w:val="tr-TR"/>
        </w:rPr>
        <w:t xml:space="preserve">arlamentosu </w:t>
      </w:r>
      <w:r w:rsidR="00A534C1" w:rsidRPr="00CF336B">
        <w:rPr>
          <w:b/>
          <w:bCs/>
          <w:lang w:val="tr-TR"/>
        </w:rPr>
        <w:t>2019</w:t>
      </w:r>
      <w:r w:rsidR="00A534C1" w:rsidRPr="00CF336B">
        <w:rPr>
          <w:lang w:val="tr-TR"/>
        </w:rPr>
        <w:t xml:space="preserve"> yılında getirdiği yönetmelikle CO</w:t>
      </w:r>
      <w:r w:rsidR="00A534C1" w:rsidRPr="00CF336B">
        <w:rPr>
          <w:vertAlign w:val="subscript"/>
          <w:lang w:val="tr-TR"/>
        </w:rPr>
        <w:t>2</w:t>
      </w:r>
      <w:r w:rsidR="00A534C1" w:rsidRPr="00CF336B">
        <w:rPr>
          <w:lang w:val="tr-TR"/>
        </w:rPr>
        <w:t xml:space="preserve"> salımıyla ilişkili olarak kapasite ödemelerine limit getirmiştir</w:t>
      </w:r>
      <w:r w:rsidR="008B3AB9" w:rsidRPr="00CF336B">
        <w:rPr>
          <w:lang w:val="tr-TR"/>
        </w:rPr>
        <w:t xml:space="preserve"> </w:t>
      </w:r>
      <w:sdt>
        <w:sdtPr>
          <w:rPr>
            <w:lang w:val="tr-TR"/>
          </w:rPr>
          <w:id w:val="-16782965"/>
          <w:citation/>
        </w:sdtPr>
        <w:sdtEndPr/>
        <w:sdtContent>
          <w:r w:rsidR="008B3AB9" w:rsidRPr="00CF336B">
            <w:rPr>
              <w:lang w:val="tr-TR"/>
            </w:rPr>
            <w:fldChar w:fldCharType="begin"/>
          </w:r>
          <w:r w:rsidR="008B3AB9" w:rsidRPr="00CF336B">
            <w:rPr>
              <w:lang w:val="tr-TR"/>
            </w:rPr>
            <w:instrText xml:space="preserve"> CITATION ACE211 \l 1033 </w:instrText>
          </w:r>
          <w:r w:rsidR="008B3AB9" w:rsidRPr="00CF336B">
            <w:rPr>
              <w:lang w:val="tr-TR"/>
            </w:rPr>
            <w:fldChar w:fldCharType="separate"/>
          </w:r>
          <w:r w:rsidR="00D95FF7" w:rsidRPr="00D95FF7">
            <w:rPr>
              <w:noProof/>
              <w:lang w:val="tr-TR"/>
            </w:rPr>
            <w:t>(ACER, 2021)</w:t>
          </w:r>
          <w:r w:rsidR="008B3AB9" w:rsidRPr="00CF336B">
            <w:rPr>
              <w:lang w:val="tr-TR"/>
            </w:rPr>
            <w:fldChar w:fldCharType="end"/>
          </w:r>
        </w:sdtContent>
      </w:sdt>
      <w:r w:rsidR="00A534C1" w:rsidRPr="00CF336B">
        <w:rPr>
          <w:lang w:val="tr-TR"/>
        </w:rPr>
        <w:t>. Buna göre;</w:t>
      </w:r>
    </w:p>
    <w:p w14:paraId="51305675" w14:textId="47057DED" w:rsidR="00416F61" w:rsidRPr="00CF336B" w:rsidRDefault="00416F61" w:rsidP="004D4361">
      <w:pPr>
        <w:pStyle w:val="ListParagraph"/>
        <w:numPr>
          <w:ilvl w:val="0"/>
          <w:numId w:val="5"/>
        </w:numPr>
        <w:spacing w:line="360" w:lineRule="auto"/>
        <w:jc w:val="both"/>
        <w:rPr>
          <w:i/>
          <w:iCs/>
          <w:lang w:val="tr-TR"/>
        </w:rPr>
      </w:pPr>
      <w:r w:rsidRPr="00CF336B">
        <w:rPr>
          <w:i/>
          <w:iCs/>
          <w:lang w:val="tr-TR"/>
        </w:rPr>
        <w:t>4 Temmuz 2019 itibar</w:t>
      </w:r>
      <w:r w:rsidR="00463548">
        <w:rPr>
          <w:i/>
          <w:iCs/>
          <w:lang w:val="tr-TR"/>
        </w:rPr>
        <w:t>ı</w:t>
      </w:r>
      <w:r w:rsidRPr="00CF336B">
        <w:rPr>
          <w:i/>
          <w:iCs/>
          <w:lang w:val="tr-TR"/>
        </w:rPr>
        <w:t>yl</w:t>
      </w:r>
      <w:r w:rsidR="00463548">
        <w:rPr>
          <w:i/>
          <w:iCs/>
          <w:lang w:val="tr-TR"/>
        </w:rPr>
        <w:t>a</w:t>
      </w:r>
      <w:r w:rsidRPr="00CF336B">
        <w:rPr>
          <w:i/>
          <w:iCs/>
          <w:lang w:val="tr-TR"/>
        </w:rPr>
        <w:t>, bu tarihte ve sonrasında üretime başlamış fosil yakıtla üretim yapan santraller, 1 kWh elektrik üretimi için 550 gramdan fazla CO</w:t>
      </w:r>
      <w:r w:rsidRPr="00463548">
        <w:rPr>
          <w:i/>
          <w:iCs/>
          <w:vertAlign w:val="subscript"/>
          <w:lang w:val="tr-TR"/>
        </w:rPr>
        <w:t>2</w:t>
      </w:r>
      <w:r w:rsidRPr="00CF336B">
        <w:rPr>
          <w:i/>
          <w:iCs/>
          <w:lang w:val="tr-TR"/>
        </w:rPr>
        <w:t xml:space="preserve"> salımı yaparlarsa kapasite mekanizması adı altında hiçbir taahhüt ve ödeme alamayacaklardır.</w:t>
      </w:r>
    </w:p>
    <w:p w14:paraId="59BD50FD" w14:textId="788E4196" w:rsidR="00416F61" w:rsidRPr="00CF336B" w:rsidRDefault="001D6180" w:rsidP="004D4361">
      <w:pPr>
        <w:pStyle w:val="ListParagraph"/>
        <w:numPr>
          <w:ilvl w:val="0"/>
          <w:numId w:val="5"/>
        </w:numPr>
        <w:spacing w:line="360" w:lineRule="auto"/>
        <w:jc w:val="both"/>
        <w:rPr>
          <w:i/>
          <w:iCs/>
          <w:lang w:val="tr-TR"/>
        </w:rPr>
      </w:pPr>
      <w:r w:rsidRPr="00CF336B">
        <w:rPr>
          <w:i/>
          <w:iCs/>
          <w:noProof/>
          <w:lang w:val="tr-TR"/>
        </w:rPr>
        <mc:AlternateContent>
          <mc:Choice Requires="wps">
            <w:drawing>
              <wp:anchor distT="0" distB="0" distL="114300" distR="114300" simplePos="0" relativeHeight="251658257" behindDoc="1" locked="0" layoutInCell="1" allowOverlap="1" wp14:anchorId="379AAF0C" wp14:editId="31CC485F">
                <wp:simplePos x="0" y="0"/>
                <wp:positionH relativeFrom="margin">
                  <wp:align>left</wp:align>
                </wp:positionH>
                <wp:positionV relativeFrom="paragraph">
                  <wp:posOffset>-117769</wp:posOffset>
                </wp:positionV>
                <wp:extent cx="6057900" cy="1098550"/>
                <wp:effectExtent l="0" t="0" r="19050" b="25400"/>
                <wp:wrapNone/>
                <wp:docPr id="598640632" name="Rectangle 598640632"/>
                <wp:cNvGraphicFramePr/>
                <a:graphic xmlns:a="http://schemas.openxmlformats.org/drawingml/2006/main">
                  <a:graphicData uri="http://schemas.microsoft.com/office/word/2010/wordprocessingShape">
                    <wps:wsp>
                      <wps:cNvSpPr/>
                      <wps:spPr>
                        <a:xfrm>
                          <a:off x="0" y="0"/>
                          <a:ext cx="6057900" cy="1098550"/>
                        </a:xfrm>
                        <a:prstGeom prst="rect">
                          <a:avLst/>
                        </a:prstGeom>
                        <a:solidFill>
                          <a:srgbClr val="4472C4">
                            <a:alpha val="10196"/>
                          </a:srgbClr>
                        </a:solid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F11CE" id="Rectangle 598640632" o:spid="_x0000_s1026" style="position:absolute;margin-left:0;margin-top:-9.25pt;width:477pt;height:86.5pt;z-index:-2516582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" fillcolor="#4472c4" strokecolor="#09101d [484]" strokeweight="1pt">
                <v:fill opacity="6682f"/>
                <v:stroke dashstyle="longDash"/>
                <w10:wrap anchorx="margin"/>
              </v:rect>
            </w:pict>
          </mc:Fallback>
        </mc:AlternateContent>
      </w:r>
      <w:r w:rsidR="00416F61" w:rsidRPr="00CF336B">
        <w:rPr>
          <w:i/>
          <w:iCs/>
          <w:lang w:val="tr-TR"/>
        </w:rPr>
        <w:t xml:space="preserve">1 Temmuz 2025 </w:t>
      </w:r>
      <w:r w:rsidR="00463548">
        <w:rPr>
          <w:i/>
          <w:iCs/>
          <w:lang w:val="tr-TR"/>
        </w:rPr>
        <w:t>itibarıyla</w:t>
      </w:r>
      <w:r w:rsidR="00416F61" w:rsidRPr="00CF336B">
        <w:rPr>
          <w:i/>
          <w:iCs/>
          <w:lang w:val="tr-TR"/>
        </w:rPr>
        <w:t>, 4 Temmuz 2019’dan önce üretime başlamış fosil yakıtla üretim yapan santraller, 1 kWh elektrik üretimi için 550 gramdan fazla CO</w:t>
      </w:r>
      <w:r w:rsidR="00416F61" w:rsidRPr="00463548">
        <w:rPr>
          <w:i/>
          <w:iCs/>
          <w:vertAlign w:val="subscript"/>
          <w:lang w:val="tr-TR"/>
        </w:rPr>
        <w:t>2</w:t>
      </w:r>
      <w:r w:rsidR="00416F61" w:rsidRPr="00CF336B">
        <w:rPr>
          <w:i/>
          <w:iCs/>
          <w:lang w:val="tr-TR"/>
        </w:rPr>
        <w:t xml:space="preserve"> salımı yaparlarsa ve 1kWe kapasite başına yıllık ortalama 350 kg CO</w:t>
      </w:r>
      <w:r w:rsidR="00416F61" w:rsidRPr="00463548">
        <w:rPr>
          <w:i/>
          <w:iCs/>
          <w:vertAlign w:val="subscript"/>
          <w:lang w:val="tr-TR"/>
        </w:rPr>
        <w:t>2</w:t>
      </w:r>
      <w:r w:rsidR="00416F61" w:rsidRPr="00CF336B">
        <w:rPr>
          <w:i/>
          <w:iCs/>
          <w:lang w:val="tr-TR"/>
        </w:rPr>
        <w:t xml:space="preserve"> salımı yaparlarsa kapasite mekanizması adı altında hiçbir taahhüt ve ödeme alamayacaklardır.</w:t>
      </w:r>
    </w:p>
    <w:p w14:paraId="074C60EE" w14:textId="3EDF71C9" w:rsidR="00A534C1" w:rsidRPr="00CF336B" w:rsidRDefault="00A534C1" w:rsidP="004D4361">
      <w:pPr>
        <w:spacing w:line="360" w:lineRule="auto"/>
        <w:jc w:val="both"/>
        <w:rPr>
          <w:lang w:val="tr-TR"/>
        </w:rPr>
      </w:pPr>
      <w:r w:rsidRPr="00CF336B">
        <w:rPr>
          <w:lang w:val="tr-TR"/>
        </w:rPr>
        <w:t>İspanyol hükümeti şebekede esnekliğin sağlanamayacağı endişesiyle doğal gaz santrallerini kapsayan yeni bir kapasite mekanizması değerlendirmesinde bulunmuştur.</w:t>
      </w:r>
      <w:r w:rsidR="00841FA9" w:rsidRPr="00CF336B">
        <w:rPr>
          <w:lang w:val="tr-TR"/>
        </w:rPr>
        <w:t xml:space="preserve"> </w:t>
      </w:r>
      <w:r w:rsidRPr="00CF336B">
        <w:rPr>
          <w:lang w:val="tr-TR"/>
        </w:rPr>
        <w:t xml:space="preserve">Eylül 2020'de konuyla ilgili bir kamuoyu müzakeresi başlatılmış, ancak bir kapasite mekanizmasının gerekli olup olmadığına ilişkin nihai bir karar alınmamıştır </w:t>
      </w:r>
      <w:sdt>
        <w:sdtPr>
          <w:rPr>
            <w:lang w:val="tr-TR"/>
          </w:rPr>
          <w:id w:val="1569689849"/>
          <w:citation/>
        </w:sdtPr>
        <w:sdtEndPr/>
        <w:sdtContent>
          <w:r w:rsidR="000D7CDF" w:rsidRPr="00CF336B">
            <w:rPr>
              <w:lang w:val="tr-TR"/>
            </w:rPr>
            <w:fldChar w:fldCharType="begin"/>
          </w:r>
          <w:r w:rsidR="000D7CDF" w:rsidRPr="00CF336B">
            <w:rPr>
              <w:lang w:val="tr-TR"/>
            </w:rPr>
            <w:instrText xml:space="preserve"> CITATION IEA21 \l 1033 </w:instrText>
          </w:r>
          <w:r w:rsidR="000D7CDF" w:rsidRPr="00CF336B">
            <w:rPr>
              <w:lang w:val="tr-TR"/>
            </w:rPr>
            <w:fldChar w:fldCharType="separate"/>
          </w:r>
          <w:r w:rsidR="00D95FF7" w:rsidRPr="00D95FF7">
            <w:rPr>
              <w:noProof/>
              <w:lang w:val="tr-TR"/>
            </w:rPr>
            <w:t>(IEA, 2021)</w:t>
          </w:r>
          <w:r w:rsidR="000D7CDF" w:rsidRPr="00CF336B">
            <w:rPr>
              <w:lang w:val="tr-TR"/>
            </w:rPr>
            <w:fldChar w:fldCharType="end"/>
          </w:r>
        </w:sdtContent>
      </w:sdt>
      <w:r w:rsidRPr="00CF336B">
        <w:rPr>
          <w:lang w:val="tr-TR"/>
        </w:rPr>
        <w:fldChar w:fldCharType="begin"/>
      </w:r>
      <w:r w:rsidRPr="00CF336B">
        <w:rPr>
          <w:lang w:val="tr-TR"/>
        </w:rPr>
        <w:instrText xml:space="preserve"> REF _Ref147270313 \r \h </w:instrText>
      </w:r>
      <w:r w:rsidR="00A4172C" w:rsidRPr="00CF336B">
        <w:rPr>
          <w:lang w:val="tr-TR"/>
        </w:rPr>
        <w:instrText xml:space="preserve"> \* MERGEFORMAT </w:instrText>
      </w:r>
      <w:r w:rsidRPr="00CF336B">
        <w:rPr>
          <w:lang w:val="tr-TR"/>
        </w:rPr>
      </w:r>
      <w:r w:rsidR="008049C2">
        <w:rPr>
          <w:lang w:val="tr-TR"/>
        </w:rPr>
        <w:fldChar w:fldCharType="separate"/>
      </w:r>
      <w:r w:rsidRPr="00CF336B">
        <w:rPr>
          <w:lang w:val="tr-TR"/>
        </w:rPr>
        <w:fldChar w:fldCharType="end"/>
      </w:r>
      <w:r w:rsidRPr="00CF336B">
        <w:rPr>
          <w:lang w:val="tr-TR"/>
        </w:rPr>
        <w:t>.</w:t>
      </w:r>
    </w:p>
    <w:p w14:paraId="481E6C1A" w14:textId="626F23CB" w:rsidR="00A534C1" w:rsidRPr="00CF336B" w:rsidRDefault="00767A99" w:rsidP="004D4361">
      <w:pPr>
        <w:spacing w:line="360" w:lineRule="auto"/>
        <w:jc w:val="both"/>
        <w:rPr>
          <w:lang w:val="tr-TR"/>
        </w:rPr>
      </w:pPr>
      <w:r w:rsidRPr="00CF336B">
        <w:rPr>
          <w:lang w:val="tr-TR"/>
        </w:rPr>
        <w:t>İspanya’da arz güvenliği konusu</w:t>
      </w:r>
      <w:r w:rsidR="00641C80" w:rsidRPr="00CF336B">
        <w:rPr>
          <w:lang w:val="tr-TR"/>
        </w:rPr>
        <w:t xml:space="preserve">ndaki temel </w:t>
      </w:r>
      <w:r w:rsidR="009120ED" w:rsidRPr="00CF336B">
        <w:rPr>
          <w:lang w:val="tr-TR"/>
        </w:rPr>
        <w:t xml:space="preserve">sorun iletim kapasitesinin yetersizliğidir. Mevcut durumda </w:t>
      </w:r>
      <w:r w:rsidR="00A534C1" w:rsidRPr="00CF336B">
        <w:rPr>
          <w:lang w:val="tr-TR"/>
        </w:rPr>
        <w:t xml:space="preserve">İspanya, hem üretim kapasitesine ilişkin arz güvenliği hem esneklik konusunda kaynak yeterliliği açısından bir problem yaşamamaktadır. </w:t>
      </w:r>
      <w:r w:rsidR="009706F9" w:rsidRPr="00CF336B">
        <w:rPr>
          <w:lang w:val="tr-TR"/>
        </w:rPr>
        <w:t>2017 yılından günümüze İspanya’nın kaynak bazında kurulu gücü</w:t>
      </w:r>
      <w:r w:rsidR="009C5703" w:rsidRPr="00CF336B">
        <w:rPr>
          <w:lang w:val="tr-TR"/>
        </w:rPr>
        <w:t xml:space="preserve"> </w:t>
      </w:r>
      <w:r w:rsidR="009C5703" w:rsidRPr="00CF336B">
        <w:rPr>
          <w:lang w:val="tr-TR"/>
        </w:rPr>
        <w:fldChar w:fldCharType="begin"/>
      </w:r>
      <w:r w:rsidR="009C5703" w:rsidRPr="00CF336B">
        <w:rPr>
          <w:lang w:val="tr-TR"/>
        </w:rPr>
        <w:instrText xml:space="preserve"> REF _Ref147761151 \h </w:instrText>
      </w:r>
      <w:r w:rsidR="00413DBB" w:rsidRPr="00CF336B">
        <w:rPr>
          <w:lang w:val="tr-TR"/>
        </w:rPr>
        <w:instrText xml:space="preserve"> \* MERGEFORMAT </w:instrText>
      </w:r>
      <w:r w:rsidR="009C5703" w:rsidRPr="00CF336B">
        <w:rPr>
          <w:lang w:val="tr-TR"/>
        </w:rPr>
      </w:r>
      <w:r w:rsidR="009C5703" w:rsidRPr="00CF336B">
        <w:rPr>
          <w:lang w:val="tr-TR"/>
        </w:rPr>
        <w:fldChar w:fldCharType="separate"/>
      </w:r>
      <w:r w:rsidR="001D6180" w:rsidRPr="00CF336B">
        <w:rPr>
          <w:lang w:val="tr-TR"/>
        </w:rPr>
        <w:t xml:space="preserve">Şekil </w:t>
      </w:r>
      <w:r w:rsidR="001D6180">
        <w:rPr>
          <w:noProof/>
          <w:lang w:val="tr-TR"/>
        </w:rPr>
        <w:t>24</w:t>
      </w:r>
      <w:r w:rsidR="009C5703" w:rsidRPr="00CF336B">
        <w:rPr>
          <w:lang w:val="tr-TR"/>
        </w:rPr>
        <w:fldChar w:fldCharType="end"/>
      </w:r>
      <w:r w:rsidR="00B71566" w:rsidRPr="00CF336B">
        <w:rPr>
          <w:lang w:val="tr-TR"/>
        </w:rPr>
        <w:t>’</w:t>
      </w:r>
      <w:r w:rsidR="001D6180">
        <w:rPr>
          <w:lang w:val="tr-TR"/>
        </w:rPr>
        <w:t>t</w:t>
      </w:r>
      <w:r w:rsidR="002F2B43" w:rsidRPr="00CF336B">
        <w:rPr>
          <w:lang w:val="tr-TR"/>
        </w:rPr>
        <w:t>e</w:t>
      </w:r>
      <w:r w:rsidR="00B71566" w:rsidRPr="00CF336B">
        <w:rPr>
          <w:lang w:val="tr-TR"/>
        </w:rPr>
        <w:t xml:space="preserve"> gösterilmektedir.</w:t>
      </w:r>
    </w:p>
    <w:p w14:paraId="079DD7D4" w14:textId="77777777" w:rsidR="00903B77" w:rsidRPr="00CF336B" w:rsidRDefault="00903B77" w:rsidP="004D4361">
      <w:pPr>
        <w:keepNext/>
        <w:spacing w:line="360" w:lineRule="auto"/>
        <w:jc w:val="center"/>
        <w:rPr>
          <w:lang w:val="tr-TR"/>
        </w:rPr>
      </w:pPr>
      <w:r w:rsidRPr="00CF336B">
        <w:rPr>
          <w:noProof/>
          <w:lang w:val="tr-TR"/>
        </w:rPr>
        <w:drawing>
          <wp:inline distT="0" distB="0" distL="0" distR="0" wp14:anchorId="186755E7" wp14:editId="2EA20B7A">
            <wp:extent cx="5702300" cy="2774950"/>
            <wp:effectExtent l="0" t="0" r="0" b="6350"/>
            <wp:docPr id="706755610" name="Chart 1">
              <a:extLst xmlns:a="http://schemas.openxmlformats.org/drawingml/2006/main">
                <a:ext uri="{FF2B5EF4-FFF2-40B4-BE49-F238E27FC236}">
                  <a16:creationId xmlns:a16="http://schemas.microsoft.com/office/drawing/2014/main" id="{65865740-B2A1-DA12-53DF-CCF2FD1EF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6DB75E" w14:textId="5CBD1995" w:rsidR="00E7793F" w:rsidRPr="00CF336B" w:rsidRDefault="00903B77" w:rsidP="004D4361">
      <w:pPr>
        <w:pStyle w:val="Caption"/>
        <w:spacing w:line="360" w:lineRule="auto"/>
        <w:jc w:val="center"/>
        <w:rPr>
          <w:color w:val="auto"/>
          <w:sz w:val="22"/>
          <w:szCs w:val="22"/>
          <w:lang w:val="tr-TR"/>
        </w:rPr>
      </w:pPr>
      <w:bookmarkStart w:id="120" w:name="_Ref147761151"/>
      <w:bookmarkStart w:id="121" w:name="_Toc156210478"/>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24</w:t>
      </w:r>
      <w:r w:rsidRPr="00CF336B">
        <w:rPr>
          <w:color w:val="auto"/>
          <w:sz w:val="22"/>
          <w:szCs w:val="22"/>
          <w:lang w:val="tr-TR"/>
        </w:rPr>
        <w:fldChar w:fldCharType="end"/>
      </w:r>
      <w:bookmarkEnd w:id="120"/>
      <w:r w:rsidRPr="00CF336B">
        <w:rPr>
          <w:color w:val="auto"/>
          <w:sz w:val="22"/>
          <w:szCs w:val="22"/>
          <w:lang w:val="tr-TR"/>
        </w:rPr>
        <w:t>. İspanya</w:t>
      </w:r>
      <w:r w:rsidR="00401CFC" w:rsidRPr="00CF336B">
        <w:rPr>
          <w:color w:val="auto"/>
          <w:sz w:val="22"/>
          <w:szCs w:val="22"/>
          <w:lang w:val="tr-TR"/>
        </w:rPr>
        <w:t xml:space="preserve"> </w:t>
      </w:r>
      <w:r w:rsidRPr="00CF336B">
        <w:rPr>
          <w:color w:val="auto"/>
          <w:sz w:val="22"/>
          <w:szCs w:val="22"/>
          <w:lang w:val="tr-TR"/>
        </w:rPr>
        <w:t>Kurulu Güç</w:t>
      </w:r>
      <w:r w:rsidR="00401CFC" w:rsidRPr="00CF336B">
        <w:rPr>
          <w:color w:val="auto"/>
          <w:sz w:val="22"/>
          <w:szCs w:val="22"/>
          <w:lang w:val="tr-TR"/>
        </w:rPr>
        <w:t xml:space="preserve"> Dağılımı</w:t>
      </w:r>
      <w:bookmarkEnd w:id="121"/>
    </w:p>
    <w:p w14:paraId="16486FA4" w14:textId="422320C1" w:rsidR="00A534C1" w:rsidRPr="00CF336B" w:rsidRDefault="00A534C1" w:rsidP="004D4361">
      <w:pPr>
        <w:spacing w:line="360" w:lineRule="auto"/>
        <w:jc w:val="both"/>
        <w:rPr>
          <w:lang w:val="tr-TR"/>
        </w:rPr>
      </w:pPr>
      <w:r w:rsidRPr="00CF336B">
        <w:rPr>
          <w:lang w:val="tr-TR"/>
        </w:rPr>
        <w:t xml:space="preserve">İspanya’da </w:t>
      </w:r>
      <w:proofErr w:type="gramStart"/>
      <w:r w:rsidRPr="00CF336B">
        <w:rPr>
          <w:lang w:val="tr-TR"/>
        </w:rPr>
        <w:t>rüzgar</w:t>
      </w:r>
      <w:proofErr w:type="gramEnd"/>
      <w:r w:rsidRPr="00CF336B">
        <w:rPr>
          <w:lang w:val="tr-TR"/>
        </w:rPr>
        <w:t xml:space="preserve"> ve </w:t>
      </w:r>
      <w:r w:rsidR="00B71566" w:rsidRPr="00CF336B">
        <w:rPr>
          <w:lang w:val="tr-TR"/>
        </w:rPr>
        <w:t xml:space="preserve">güneş </w:t>
      </w:r>
      <w:r w:rsidRPr="00CF336B">
        <w:rPr>
          <w:lang w:val="tr-TR"/>
        </w:rPr>
        <w:t>gibi yenilenebilir enerji kaynaklarının kurulu güçleri artarken, özellikle kömür kurulu gücünde ciddi bir düşüş yaşanmıştır. 2020 yılında 9</w:t>
      </w:r>
      <w:r w:rsidR="00B71566" w:rsidRPr="00CF336B">
        <w:rPr>
          <w:lang w:val="tr-TR"/>
        </w:rPr>
        <w:t>.</w:t>
      </w:r>
      <w:r w:rsidRPr="00CF336B">
        <w:rPr>
          <w:lang w:val="tr-TR"/>
        </w:rPr>
        <w:t xml:space="preserve">214 MW olan kurulu güç 2023 yılında </w:t>
      </w:r>
      <w:proofErr w:type="gramStart"/>
      <w:r w:rsidRPr="00CF336B">
        <w:rPr>
          <w:lang w:val="tr-TR"/>
        </w:rPr>
        <w:t>%65</w:t>
      </w:r>
      <w:proofErr w:type="gramEnd"/>
      <w:r w:rsidR="00463548">
        <w:rPr>
          <w:lang w:val="tr-TR"/>
        </w:rPr>
        <w:t>’</w:t>
      </w:r>
      <w:r w:rsidRPr="00CF336B">
        <w:rPr>
          <w:lang w:val="tr-TR"/>
        </w:rPr>
        <w:t>lik bir azalış göstererek 3</w:t>
      </w:r>
      <w:r w:rsidR="00B71566" w:rsidRPr="00CF336B">
        <w:rPr>
          <w:lang w:val="tr-TR"/>
        </w:rPr>
        <w:t>.</w:t>
      </w:r>
      <w:r w:rsidRPr="00CF336B">
        <w:rPr>
          <w:lang w:val="tr-TR"/>
        </w:rPr>
        <w:t xml:space="preserve">223 MW seviyesine gerilemiştir </w:t>
      </w:r>
      <w:r w:rsidRPr="00CF336B">
        <w:rPr>
          <w:lang w:val="tr-TR"/>
        </w:rPr>
        <w:fldChar w:fldCharType="begin"/>
      </w:r>
      <w:r w:rsidRPr="00CF336B">
        <w:rPr>
          <w:lang w:val="tr-TR"/>
        </w:rPr>
        <w:instrText xml:space="preserve"> REF _Ref146208256 \r \h  \* MERGEFORMAT </w:instrText>
      </w:r>
      <w:r w:rsidRPr="00CF336B">
        <w:rPr>
          <w:lang w:val="tr-TR"/>
        </w:rPr>
      </w:r>
      <w:r w:rsidRPr="00CF336B">
        <w:rPr>
          <w:lang w:val="tr-TR"/>
        </w:rPr>
        <w:fldChar w:fldCharType="separate"/>
      </w:r>
      <w:sdt>
        <w:sdtPr>
          <w:rPr>
            <w:lang w:val="tr-TR"/>
          </w:rPr>
          <w:id w:val="-919170864"/>
          <w:citation/>
        </w:sdtPr>
        <w:sdtEndPr/>
        <w:sdtContent>
          <w:r w:rsidR="00F26159" w:rsidRPr="00CF336B">
            <w:rPr>
              <w:lang w:val="tr-TR"/>
            </w:rPr>
            <w:fldChar w:fldCharType="begin"/>
          </w:r>
          <w:r w:rsidR="00A6721A" w:rsidRPr="00CF336B">
            <w:rPr>
              <w:lang w:val="tr-TR"/>
            </w:rPr>
            <w:instrText xml:space="preserve">CITATION ENT \l 1033 </w:instrText>
          </w:r>
          <w:r w:rsidR="00F26159" w:rsidRPr="00CF336B">
            <w:rPr>
              <w:lang w:val="tr-TR"/>
            </w:rPr>
            <w:fldChar w:fldCharType="separate"/>
          </w:r>
          <w:r w:rsidR="00D95FF7">
            <w:rPr>
              <w:noProof/>
              <w:lang w:val="tr-TR"/>
            </w:rPr>
            <w:t xml:space="preserve"> </w:t>
          </w:r>
          <w:r w:rsidR="00D95FF7" w:rsidRPr="00D95FF7">
            <w:rPr>
              <w:noProof/>
              <w:lang w:val="tr-TR"/>
            </w:rPr>
            <w:t>(ENTSO, 2023)</w:t>
          </w:r>
          <w:r w:rsidR="00F26159" w:rsidRPr="00CF336B">
            <w:rPr>
              <w:lang w:val="tr-TR"/>
            </w:rPr>
            <w:fldChar w:fldCharType="end"/>
          </w:r>
        </w:sdtContent>
      </w:sdt>
      <w:r w:rsidRPr="00CF336B">
        <w:rPr>
          <w:lang w:val="tr-TR"/>
        </w:rPr>
        <w:fldChar w:fldCharType="end"/>
      </w:r>
      <w:r w:rsidRPr="00CF336B">
        <w:rPr>
          <w:lang w:val="tr-TR"/>
        </w:rPr>
        <w:t xml:space="preserve">. </w:t>
      </w:r>
      <w:r w:rsidR="00560BD7" w:rsidRPr="00CF336B">
        <w:rPr>
          <w:lang w:val="tr-TR"/>
        </w:rPr>
        <w:t>2023 Ağustos ayında</w:t>
      </w:r>
      <w:r w:rsidRPr="00CF336B">
        <w:rPr>
          <w:lang w:val="tr-TR"/>
        </w:rPr>
        <w:t>, Galiçya</w:t>
      </w:r>
      <w:r w:rsidR="00560BD7" w:rsidRPr="00CF336B">
        <w:rPr>
          <w:lang w:val="tr-TR"/>
        </w:rPr>
        <w:t>’</w:t>
      </w:r>
      <w:r w:rsidRPr="00CF336B">
        <w:rPr>
          <w:lang w:val="tr-TR"/>
        </w:rPr>
        <w:t xml:space="preserve">nın As </w:t>
      </w:r>
      <w:proofErr w:type="spellStart"/>
      <w:r w:rsidRPr="00CF336B">
        <w:rPr>
          <w:lang w:val="tr-TR"/>
        </w:rPr>
        <w:t>Pontes</w:t>
      </w:r>
      <w:proofErr w:type="spellEnd"/>
      <w:r w:rsidRPr="00CF336B">
        <w:rPr>
          <w:lang w:val="tr-TR"/>
        </w:rPr>
        <w:t xml:space="preserve"> kentinde bulunan 1</w:t>
      </w:r>
      <w:r w:rsidR="00560BD7" w:rsidRPr="00CF336B">
        <w:rPr>
          <w:lang w:val="tr-TR"/>
        </w:rPr>
        <w:t>.</w:t>
      </w:r>
      <w:r w:rsidRPr="00CF336B">
        <w:rPr>
          <w:lang w:val="tr-TR"/>
        </w:rPr>
        <w:t xml:space="preserve">468 </w:t>
      </w:r>
      <w:proofErr w:type="spellStart"/>
      <w:r w:rsidRPr="00CF336B">
        <w:rPr>
          <w:lang w:val="tr-TR"/>
        </w:rPr>
        <w:t>MW’lık</w:t>
      </w:r>
      <w:proofErr w:type="spellEnd"/>
      <w:r w:rsidRPr="00CF336B">
        <w:rPr>
          <w:lang w:val="tr-TR"/>
        </w:rPr>
        <w:t xml:space="preserve"> ülkenin en büyük kömür santralinin Ağustos 2024'e kadar kapatılacağı İspanya Çevresel Dönüşüm Bakanlığı tarafından doğrulanmıştır. İspanya sürdürülebilirlik hedefleri doğrultusunda 2030</w:t>
      </w:r>
      <w:r w:rsidR="002254A2" w:rsidRPr="00CF336B">
        <w:rPr>
          <w:lang w:val="tr-TR"/>
        </w:rPr>
        <w:t xml:space="preserve"> olarak belirlediği kömürden çıkış hedefini</w:t>
      </w:r>
      <w:r w:rsidRPr="00CF336B">
        <w:rPr>
          <w:lang w:val="tr-TR"/>
        </w:rPr>
        <w:t xml:space="preserve"> 5 yıl erken bitirme çabası içindedir </w:t>
      </w:r>
      <w:r w:rsidRPr="00CF336B">
        <w:rPr>
          <w:lang w:val="tr-TR"/>
        </w:rPr>
        <w:fldChar w:fldCharType="begin"/>
      </w:r>
      <w:r w:rsidRPr="00CF336B">
        <w:rPr>
          <w:lang w:val="tr-TR"/>
        </w:rPr>
        <w:instrText xml:space="preserve"> REF _Ref146208331 \r \h </w:instrText>
      </w:r>
      <w:r w:rsidR="00A4172C" w:rsidRPr="00CF336B">
        <w:rPr>
          <w:lang w:val="tr-TR"/>
        </w:rPr>
        <w:instrText xml:space="preserve"> \* MERGEFORMAT </w:instrText>
      </w:r>
      <w:r w:rsidRPr="00CF336B">
        <w:rPr>
          <w:lang w:val="tr-TR"/>
        </w:rPr>
      </w:r>
      <w:r w:rsidRPr="00CF336B">
        <w:rPr>
          <w:lang w:val="tr-TR"/>
        </w:rPr>
        <w:fldChar w:fldCharType="separate"/>
      </w:r>
      <w:sdt>
        <w:sdtPr>
          <w:rPr>
            <w:lang w:val="tr-TR"/>
          </w:rPr>
          <w:id w:val="-1211263845"/>
          <w:citation/>
        </w:sdtPr>
        <w:sdtEndPr/>
        <w:sdtContent>
          <w:r w:rsidR="009E7E3E" w:rsidRPr="00CF336B">
            <w:rPr>
              <w:lang w:val="tr-TR"/>
            </w:rPr>
            <w:fldChar w:fldCharType="begin"/>
          </w:r>
          <w:r w:rsidR="001A4A3E" w:rsidRPr="00CF336B">
            <w:rPr>
              <w:lang w:val="tr-TR"/>
            </w:rPr>
            <w:instrText xml:space="preserve">CITATION Spa \l 1033 </w:instrText>
          </w:r>
          <w:r w:rsidR="009E7E3E" w:rsidRPr="00CF336B">
            <w:rPr>
              <w:lang w:val="tr-TR"/>
            </w:rPr>
            <w:fldChar w:fldCharType="separate"/>
          </w:r>
          <w:r w:rsidR="00D95FF7">
            <w:rPr>
              <w:noProof/>
              <w:lang w:val="tr-TR"/>
            </w:rPr>
            <w:t xml:space="preserve"> </w:t>
          </w:r>
          <w:r w:rsidR="00D95FF7" w:rsidRPr="00D95FF7">
            <w:rPr>
              <w:noProof/>
              <w:lang w:val="tr-TR"/>
            </w:rPr>
            <w:t>(Spain is our green country of the month, 2023)</w:t>
          </w:r>
          <w:r w:rsidR="009E7E3E" w:rsidRPr="00CF336B">
            <w:rPr>
              <w:lang w:val="tr-TR"/>
            </w:rPr>
            <w:fldChar w:fldCharType="end"/>
          </w:r>
        </w:sdtContent>
      </w:sdt>
      <w:r w:rsidRPr="00CF336B">
        <w:rPr>
          <w:lang w:val="tr-TR"/>
        </w:rPr>
        <w:fldChar w:fldCharType="end"/>
      </w:r>
      <w:r w:rsidRPr="00CF336B">
        <w:rPr>
          <w:lang w:val="tr-TR"/>
        </w:rPr>
        <w:t>.</w:t>
      </w:r>
    </w:p>
    <w:p w14:paraId="24EF2379" w14:textId="4EB7041D" w:rsidR="003D586F" w:rsidRPr="00CF336B" w:rsidRDefault="003D586F" w:rsidP="004D4361">
      <w:pPr>
        <w:spacing w:line="360" w:lineRule="auto"/>
        <w:jc w:val="both"/>
        <w:rPr>
          <w:lang w:val="tr-TR"/>
        </w:rPr>
      </w:pPr>
      <w:r w:rsidRPr="00CF336B">
        <w:rPr>
          <w:lang w:val="tr-TR"/>
        </w:rPr>
        <w:t>İspanya’nın elektrik üretimindeki kömür kullanımı yıllar içinde azalış göstermiştir. 2021 yılında son 20 yılın en düşük değerini olan 6</w:t>
      </w:r>
      <w:r w:rsidR="008572F6" w:rsidRPr="00CF336B">
        <w:rPr>
          <w:lang w:val="tr-TR"/>
        </w:rPr>
        <w:t>.</w:t>
      </w:r>
      <w:r w:rsidRPr="00CF336B">
        <w:rPr>
          <w:lang w:val="tr-TR"/>
        </w:rPr>
        <w:t xml:space="preserve">013 </w:t>
      </w:r>
      <w:proofErr w:type="spellStart"/>
      <w:r w:rsidRPr="00CF336B">
        <w:rPr>
          <w:lang w:val="tr-TR"/>
        </w:rPr>
        <w:t>GWh’e</w:t>
      </w:r>
      <w:proofErr w:type="spellEnd"/>
      <w:r w:rsidRPr="00CF336B">
        <w:rPr>
          <w:lang w:val="tr-TR"/>
        </w:rPr>
        <w:t xml:space="preserve"> kadar gerilemiştir. 2022 yılında ise </w:t>
      </w:r>
      <w:r w:rsidR="008572F6" w:rsidRPr="00CF336B">
        <w:rPr>
          <w:lang w:val="tr-TR"/>
        </w:rPr>
        <w:t xml:space="preserve">artan </w:t>
      </w:r>
      <w:r w:rsidR="00752569" w:rsidRPr="00CF336B">
        <w:rPr>
          <w:lang w:val="tr-TR"/>
        </w:rPr>
        <w:t>rüzgâr</w:t>
      </w:r>
      <w:r w:rsidR="008572F6" w:rsidRPr="00CF336B">
        <w:rPr>
          <w:lang w:val="tr-TR"/>
        </w:rPr>
        <w:t xml:space="preserve"> ve güneş üretiminin de etkisiyle </w:t>
      </w:r>
      <w:r w:rsidRPr="00CF336B">
        <w:rPr>
          <w:lang w:val="tr-TR"/>
        </w:rPr>
        <w:t xml:space="preserve">elektrik üretiminin yalnızca </w:t>
      </w:r>
      <w:proofErr w:type="gramStart"/>
      <w:r w:rsidRPr="00CF336B">
        <w:rPr>
          <w:lang w:val="tr-TR"/>
        </w:rPr>
        <w:t>%3</w:t>
      </w:r>
      <w:proofErr w:type="gramEnd"/>
      <w:r w:rsidRPr="00CF336B">
        <w:rPr>
          <w:lang w:val="tr-TR"/>
        </w:rPr>
        <w:t xml:space="preserve">’ü kömürden sağlanmıştır </w:t>
      </w:r>
      <w:sdt>
        <w:sdtPr>
          <w:rPr>
            <w:lang w:val="tr-TR"/>
          </w:rPr>
          <w:id w:val="-984611055"/>
          <w:citation/>
        </w:sdtPr>
        <w:sdtEndPr/>
        <w:sdtContent>
          <w:r w:rsidR="00743AB3" w:rsidRPr="00CF336B">
            <w:rPr>
              <w:lang w:val="tr-TR"/>
            </w:rPr>
            <w:fldChar w:fldCharType="begin"/>
          </w:r>
          <w:r w:rsidR="00743AB3" w:rsidRPr="00CF336B">
            <w:rPr>
              <w:lang w:val="tr-TR"/>
            </w:rPr>
            <w:instrText xml:space="preserve"> CITATION IEA22 \l 1033 </w:instrText>
          </w:r>
          <w:r w:rsidR="00743AB3" w:rsidRPr="00CF336B">
            <w:rPr>
              <w:lang w:val="tr-TR"/>
            </w:rPr>
            <w:fldChar w:fldCharType="separate"/>
          </w:r>
          <w:r w:rsidR="00D95FF7" w:rsidRPr="00D95FF7">
            <w:rPr>
              <w:noProof/>
              <w:lang w:val="tr-TR"/>
            </w:rPr>
            <w:t>(IEA, 2022)</w:t>
          </w:r>
          <w:r w:rsidR="00743AB3" w:rsidRPr="00CF336B">
            <w:rPr>
              <w:lang w:val="tr-TR"/>
            </w:rPr>
            <w:fldChar w:fldCharType="end"/>
          </w:r>
        </w:sdtContent>
      </w:sdt>
      <w:r w:rsidRPr="00CF336B">
        <w:rPr>
          <w:lang w:val="tr-TR"/>
        </w:rPr>
        <w:fldChar w:fldCharType="begin"/>
      </w:r>
      <w:r w:rsidRPr="00CF336B">
        <w:rPr>
          <w:lang w:val="tr-TR"/>
        </w:rPr>
        <w:instrText xml:space="preserve"> REF _Ref146208372 \r \h </w:instrText>
      </w:r>
      <w:r w:rsidR="00A4172C" w:rsidRPr="00CF336B">
        <w:rPr>
          <w:lang w:val="tr-TR"/>
        </w:rPr>
        <w:instrText xml:space="preserve"> \* MERGEFORMAT </w:instrText>
      </w:r>
      <w:r w:rsidRPr="00CF336B">
        <w:rPr>
          <w:lang w:val="tr-TR"/>
        </w:rPr>
      </w:r>
      <w:r w:rsidR="008049C2">
        <w:rPr>
          <w:lang w:val="tr-TR"/>
        </w:rPr>
        <w:fldChar w:fldCharType="separate"/>
      </w:r>
      <w:r w:rsidRPr="00CF336B">
        <w:rPr>
          <w:lang w:val="tr-TR"/>
        </w:rPr>
        <w:fldChar w:fldCharType="end"/>
      </w:r>
      <w:r w:rsidRPr="00CF336B">
        <w:rPr>
          <w:lang w:val="tr-TR"/>
        </w:rPr>
        <w:t>.</w:t>
      </w:r>
      <w:r w:rsidR="009D72EC" w:rsidRPr="00CF336B">
        <w:rPr>
          <w:lang w:val="tr-TR"/>
        </w:rPr>
        <w:t xml:space="preserve"> Kaynak bazında elektrik üretiminin yıllar içindeki gelişimi </w:t>
      </w:r>
      <w:r w:rsidR="00F11F7F" w:rsidRPr="00CF336B">
        <w:rPr>
          <w:lang w:val="tr-TR"/>
        </w:rPr>
        <w:fldChar w:fldCharType="begin"/>
      </w:r>
      <w:r w:rsidR="00F11F7F" w:rsidRPr="00CF336B">
        <w:rPr>
          <w:lang w:val="tr-TR"/>
        </w:rPr>
        <w:instrText xml:space="preserve"> REF _Ref148970628 \h </w:instrText>
      </w:r>
      <w:r w:rsidR="00413DBB" w:rsidRPr="00CF336B">
        <w:rPr>
          <w:lang w:val="tr-TR"/>
        </w:rPr>
        <w:instrText xml:space="preserve"> \* MERGEFORMAT </w:instrText>
      </w:r>
      <w:r w:rsidR="00F11F7F" w:rsidRPr="00CF336B">
        <w:rPr>
          <w:lang w:val="tr-TR"/>
        </w:rPr>
      </w:r>
      <w:r w:rsidR="00F11F7F" w:rsidRPr="00CF336B">
        <w:rPr>
          <w:lang w:val="tr-TR"/>
        </w:rPr>
        <w:fldChar w:fldCharType="separate"/>
      </w:r>
      <w:r w:rsidR="001D6180" w:rsidRPr="00CF336B">
        <w:rPr>
          <w:lang w:val="tr-TR"/>
        </w:rPr>
        <w:t xml:space="preserve">Şekil </w:t>
      </w:r>
      <w:r w:rsidR="001D6180">
        <w:rPr>
          <w:noProof/>
          <w:lang w:val="tr-TR"/>
        </w:rPr>
        <w:t>25</w:t>
      </w:r>
      <w:r w:rsidR="00F11F7F" w:rsidRPr="00CF336B">
        <w:rPr>
          <w:lang w:val="tr-TR"/>
        </w:rPr>
        <w:fldChar w:fldCharType="end"/>
      </w:r>
      <w:r w:rsidR="009C5703" w:rsidRPr="00CF336B">
        <w:rPr>
          <w:lang w:val="tr-TR"/>
        </w:rPr>
        <w:fldChar w:fldCharType="begin"/>
      </w:r>
      <w:r w:rsidR="009C5703" w:rsidRPr="00CF336B">
        <w:rPr>
          <w:lang w:val="tr-TR"/>
        </w:rPr>
        <w:instrText xml:space="preserve"> REF _Ref147761216 \h </w:instrText>
      </w:r>
      <w:r w:rsidR="00413DBB" w:rsidRPr="00CF336B">
        <w:rPr>
          <w:lang w:val="tr-TR"/>
        </w:rPr>
        <w:instrText xml:space="preserve"> \* MERGEFORMAT </w:instrText>
      </w:r>
      <w:r w:rsidR="009C5703" w:rsidRPr="00CF336B">
        <w:rPr>
          <w:lang w:val="tr-TR"/>
        </w:rPr>
      </w:r>
      <w:r w:rsidR="008049C2">
        <w:rPr>
          <w:lang w:val="tr-TR"/>
        </w:rPr>
        <w:fldChar w:fldCharType="separate"/>
      </w:r>
      <w:r w:rsidR="009C5703" w:rsidRPr="00CF336B">
        <w:rPr>
          <w:lang w:val="tr-TR"/>
        </w:rPr>
        <w:fldChar w:fldCharType="end"/>
      </w:r>
      <w:r w:rsidR="00CC4C4D" w:rsidRPr="00CF336B">
        <w:rPr>
          <w:lang w:val="tr-TR"/>
        </w:rPr>
        <w:fldChar w:fldCharType="begin"/>
      </w:r>
      <w:r w:rsidR="00CC4C4D" w:rsidRPr="00CF336B">
        <w:rPr>
          <w:lang w:val="tr-TR"/>
        </w:rPr>
        <w:instrText xml:space="preserve"> REF _Ref147761216 \h </w:instrText>
      </w:r>
      <w:r w:rsidR="00413DBB" w:rsidRPr="00CF336B">
        <w:rPr>
          <w:lang w:val="tr-TR"/>
        </w:rPr>
        <w:instrText xml:space="preserve"> \* MERGEFORMAT </w:instrText>
      </w:r>
      <w:r w:rsidR="00CC4C4D" w:rsidRPr="00CF336B">
        <w:rPr>
          <w:lang w:val="tr-TR"/>
        </w:rPr>
      </w:r>
      <w:r w:rsidR="008049C2">
        <w:rPr>
          <w:lang w:val="tr-TR"/>
        </w:rPr>
        <w:fldChar w:fldCharType="separate"/>
      </w:r>
      <w:r w:rsidR="00CC4C4D" w:rsidRPr="00CF336B">
        <w:rPr>
          <w:lang w:val="tr-TR"/>
        </w:rPr>
        <w:fldChar w:fldCharType="end"/>
      </w:r>
      <w:r w:rsidR="00CC4C4D" w:rsidRPr="00CF336B">
        <w:rPr>
          <w:lang w:val="tr-TR"/>
        </w:rPr>
        <w:t xml:space="preserve"> </w:t>
      </w:r>
      <w:r w:rsidR="009D72EC" w:rsidRPr="00CF336B">
        <w:rPr>
          <w:lang w:val="tr-TR"/>
        </w:rPr>
        <w:t>altında gösterilmektedir.</w:t>
      </w:r>
    </w:p>
    <w:p w14:paraId="44F870B3" w14:textId="0C7DAB03" w:rsidR="00CC4C4D" w:rsidRPr="00CF336B" w:rsidRDefault="00CC4C4D" w:rsidP="004D4361">
      <w:pPr>
        <w:keepNext/>
        <w:spacing w:line="360" w:lineRule="auto"/>
        <w:jc w:val="both"/>
        <w:rPr>
          <w:lang w:val="tr-TR"/>
        </w:rPr>
      </w:pPr>
    </w:p>
    <w:p w14:paraId="4EE96DC4" w14:textId="77777777" w:rsidR="00F11CF8" w:rsidRPr="00CF336B" w:rsidRDefault="00DE461A" w:rsidP="004D4361">
      <w:pPr>
        <w:keepNext/>
        <w:spacing w:line="360" w:lineRule="auto"/>
        <w:jc w:val="center"/>
        <w:rPr>
          <w:lang w:val="tr-TR"/>
        </w:rPr>
      </w:pPr>
      <w:r w:rsidRPr="00CF336B">
        <w:rPr>
          <w:noProof/>
          <w:lang w:val="tr-TR"/>
        </w:rPr>
        <w:drawing>
          <wp:inline distT="0" distB="0" distL="0" distR="0" wp14:anchorId="5938FFFB" wp14:editId="199F127A">
            <wp:extent cx="5753100" cy="2825750"/>
            <wp:effectExtent l="0" t="0" r="0" b="0"/>
            <wp:docPr id="701989660" name="Chart 1">
              <a:extLst xmlns:a="http://schemas.openxmlformats.org/drawingml/2006/main">
                <a:ext uri="{FF2B5EF4-FFF2-40B4-BE49-F238E27FC236}">
                  <a16:creationId xmlns:a16="http://schemas.microsoft.com/office/drawing/2014/main" id="{927D1A47-076A-A1D5-6373-D0567FE84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4713C48" w14:textId="5E25BEA6" w:rsidR="00DE461A" w:rsidRPr="00CF336B" w:rsidRDefault="00F11CF8" w:rsidP="004D4361">
      <w:pPr>
        <w:pStyle w:val="Caption"/>
        <w:spacing w:line="360" w:lineRule="auto"/>
        <w:jc w:val="center"/>
        <w:rPr>
          <w:color w:val="auto"/>
          <w:sz w:val="22"/>
          <w:szCs w:val="22"/>
          <w:lang w:val="tr-TR"/>
        </w:rPr>
      </w:pPr>
      <w:bookmarkStart w:id="122" w:name="_Ref148970628"/>
      <w:bookmarkStart w:id="123" w:name="_Toc156210479"/>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25</w:t>
      </w:r>
      <w:r w:rsidRPr="00CF336B">
        <w:rPr>
          <w:color w:val="auto"/>
          <w:sz w:val="22"/>
          <w:szCs w:val="22"/>
          <w:lang w:val="tr-TR"/>
        </w:rPr>
        <w:fldChar w:fldCharType="end"/>
      </w:r>
      <w:bookmarkEnd w:id="122"/>
      <w:r w:rsidRPr="00CF336B">
        <w:rPr>
          <w:color w:val="auto"/>
          <w:sz w:val="22"/>
          <w:szCs w:val="22"/>
          <w:lang w:val="tr-TR"/>
        </w:rPr>
        <w:t xml:space="preserve">. </w:t>
      </w:r>
      <w:r w:rsidR="006A3750" w:rsidRPr="00CF336B">
        <w:rPr>
          <w:color w:val="auto"/>
          <w:sz w:val="22"/>
          <w:szCs w:val="22"/>
          <w:lang w:val="tr-TR"/>
        </w:rPr>
        <w:t>İspanya Kömür Kaynaklı Elektrik Üretimi ve Toplam Üretimdeki Payı</w:t>
      </w:r>
      <w:bookmarkEnd w:id="123"/>
    </w:p>
    <w:p w14:paraId="1926478E" w14:textId="44B3DA61" w:rsidR="00256096" w:rsidRPr="00CF336B" w:rsidRDefault="00AF54D5" w:rsidP="004D4361">
      <w:pPr>
        <w:spacing w:line="360" w:lineRule="auto"/>
        <w:jc w:val="both"/>
        <w:rPr>
          <w:lang w:val="tr-TR"/>
        </w:rPr>
      </w:pPr>
      <w:r w:rsidRPr="00CF336B">
        <w:rPr>
          <w:lang w:val="tr-TR"/>
        </w:rPr>
        <w:t>Ülkede temel sorun yeterli kapasitenin sağlanamamasından ziyade</w:t>
      </w:r>
      <w:r w:rsidR="00A36546" w:rsidRPr="00CF336B">
        <w:rPr>
          <w:lang w:val="tr-TR"/>
        </w:rPr>
        <w:t>,</w:t>
      </w:r>
      <w:r w:rsidR="0058248B" w:rsidRPr="00CF336B">
        <w:rPr>
          <w:lang w:val="tr-TR"/>
        </w:rPr>
        <w:t xml:space="preserve"> üreticiler ile son kullanıcıları buluşturan elektrik şebekesi kapasitesi</w:t>
      </w:r>
      <w:r w:rsidR="00683A90" w:rsidRPr="00CF336B">
        <w:rPr>
          <w:lang w:val="tr-TR"/>
        </w:rPr>
        <w:t>nin</w:t>
      </w:r>
      <w:r w:rsidR="0058248B" w:rsidRPr="00CF336B">
        <w:rPr>
          <w:lang w:val="tr-TR"/>
        </w:rPr>
        <w:t xml:space="preserve"> yeter</w:t>
      </w:r>
      <w:r w:rsidR="00683A90" w:rsidRPr="00CF336B">
        <w:rPr>
          <w:lang w:val="tr-TR"/>
        </w:rPr>
        <w:t>siz olmasıdır</w:t>
      </w:r>
      <w:r w:rsidR="0058248B" w:rsidRPr="00CF336B">
        <w:rPr>
          <w:lang w:val="tr-TR"/>
        </w:rPr>
        <w:t>. Serbestleşme döneminde planlaması doğru şekilde yapılmayan elektrik iletim kapasite</w:t>
      </w:r>
      <w:r w:rsidR="001F572F" w:rsidRPr="00CF336B">
        <w:rPr>
          <w:lang w:val="tr-TR"/>
        </w:rPr>
        <w:t>si</w:t>
      </w:r>
      <w:r w:rsidR="0058248B" w:rsidRPr="00CF336B">
        <w:rPr>
          <w:lang w:val="tr-TR"/>
        </w:rPr>
        <w:t xml:space="preserve"> nedeniyle İspanya’da elektrik kesintileri yaşanmıştır. Talep tarafı katılımı, ülkede arz güvenliğinin sağlanmasında oldukça etkin bir şekilde kullanılmaktadır. ‘Kesinti Şemaları’ talep tarafı yönetimindeki alınan önlemlere bir örnektir. Bu yöntem tipik olarak, iletim sistem operatörlerinin büyük ölçekli endüstriyel tüketicilere belirli zaman aralıklarıyla elektrik tüketimlerini kısmalarına ve üretimlerini durdurmalarına yönelik verdikleri talimatlarla gerçekleşmektedir</w:t>
      </w:r>
      <w:r w:rsidR="002722FD" w:rsidRPr="00CF336B">
        <w:rPr>
          <w:lang w:val="tr-TR"/>
        </w:rPr>
        <w:t xml:space="preserve">. </w:t>
      </w:r>
      <w:r w:rsidR="002753B1" w:rsidRPr="00CF336B">
        <w:rPr>
          <w:lang w:val="tr-TR"/>
        </w:rPr>
        <w:t>Avrupa ülkeleri arasında Portekiz, Fransa, Almanya, İtalya, Polonya ve Yunanistan’da uygulanan ‘Kesint</w:t>
      </w:r>
      <w:r w:rsidR="0015491F" w:rsidRPr="00CF336B">
        <w:rPr>
          <w:lang w:val="tr-TR"/>
        </w:rPr>
        <w:t>i Ş</w:t>
      </w:r>
      <w:r w:rsidR="002753B1" w:rsidRPr="00CF336B">
        <w:rPr>
          <w:lang w:val="tr-TR"/>
        </w:rPr>
        <w:t xml:space="preserve">emaları’ </w:t>
      </w:r>
      <w:r w:rsidR="002753B1" w:rsidRPr="00B676C9">
        <w:rPr>
          <w:lang w:val="tr-TR"/>
        </w:rPr>
        <w:t>2020 yılında</w:t>
      </w:r>
      <w:r w:rsidR="002753B1" w:rsidRPr="00CF336B">
        <w:rPr>
          <w:lang w:val="tr-TR"/>
        </w:rPr>
        <w:t xml:space="preserve"> İspanya’da uygulamadan kaldırılmıştır</w:t>
      </w:r>
      <w:r w:rsidR="0010358C" w:rsidRPr="00CF336B">
        <w:rPr>
          <w:lang w:val="tr-TR"/>
        </w:rPr>
        <w:t xml:space="preserve"> </w:t>
      </w:r>
      <w:sdt>
        <w:sdtPr>
          <w:rPr>
            <w:lang w:val="tr-TR"/>
          </w:rPr>
          <w:id w:val="-899595546"/>
          <w:citation/>
        </w:sdtPr>
        <w:sdtEndPr/>
        <w:sdtContent>
          <w:r w:rsidR="00AD1A94" w:rsidRPr="00CF336B">
            <w:rPr>
              <w:lang w:val="tr-TR"/>
            </w:rPr>
            <w:fldChar w:fldCharType="begin"/>
          </w:r>
          <w:r w:rsidR="001F46D4" w:rsidRPr="00CF336B">
            <w:rPr>
              <w:lang w:val="tr-TR"/>
            </w:rPr>
            <w:instrText xml:space="preserve">CITATION ACE21 \l 1033 </w:instrText>
          </w:r>
          <w:r w:rsidR="00AD1A94" w:rsidRPr="00CF336B">
            <w:rPr>
              <w:lang w:val="tr-TR"/>
            </w:rPr>
            <w:fldChar w:fldCharType="separate"/>
          </w:r>
          <w:r w:rsidR="00D95FF7" w:rsidRPr="00D95FF7">
            <w:rPr>
              <w:noProof/>
              <w:lang w:val="tr-TR"/>
            </w:rPr>
            <w:t>(ACER, 2021)</w:t>
          </w:r>
          <w:r w:rsidR="00AD1A94" w:rsidRPr="00CF336B">
            <w:rPr>
              <w:lang w:val="tr-TR"/>
            </w:rPr>
            <w:fldChar w:fldCharType="end"/>
          </w:r>
        </w:sdtContent>
      </w:sdt>
      <w:r w:rsidR="0058248B" w:rsidRPr="00CF336B">
        <w:rPr>
          <w:lang w:val="tr-TR"/>
        </w:rPr>
        <w:t xml:space="preserve">. </w:t>
      </w:r>
    </w:p>
    <w:p w14:paraId="0F3F0B93" w14:textId="00804E92" w:rsidR="002A3D1F" w:rsidRPr="00CF336B" w:rsidRDefault="002A3D1F" w:rsidP="004D4361">
      <w:pPr>
        <w:spacing w:line="360" w:lineRule="auto"/>
        <w:jc w:val="both"/>
        <w:rPr>
          <w:lang w:val="tr-TR"/>
        </w:rPr>
      </w:pPr>
      <w:r w:rsidRPr="00CF336B">
        <w:rPr>
          <w:lang w:val="tr-TR"/>
        </w:rPr>
        <w:t xml:space="preserve">2015 yılında, İspanya’nın elektrik üretiminden kaynaklı emisyonu toplam emisyonunun </w:t>
      </w:r>
      <w:proofErr w:type="gramStart"/>
      <w:r w:rsidRPr="00CF336B">
        <w:rPr>
          <w:lang w:val="tr-TR"/>
        </w:rPr>
        <w:t>%31</w:t>
      </w:r>
      <w:proofErr w:type="gramEnd"/>
      <w:r w:rsidRPr="00CF336B">
        <w:rPr>
          <w:lang w:val="tr-TR"/>
        </w:rPr>
        <w:t xml:space="preserve">’ini oluştururken bu oran 2021 yılında %22’ye kadar gerilemiştir. </w:t>
      </w:r>
      <w:r w:rsidR="00401CFC" w:rsidRPr="00CF336B">
        <w:rPr>
          <w:lang w:val="tr-TR"/>
        </w:rPr>
        <w:fldChar w:fldCharType="begin"/>
      </w:r>
      <w:r w:rsidR="00401CFC" w:rsidRPr="00CF336B">
        <w:rPr>
          <w:lang w:val="tr-TR"/>
        </w:rPr>
        <w:instrText xml:space="preserve"> REF _Ref148974890 \h </w:instrText>
      </w:r>
      <w:r w:rsidR="00413DBB" w:rsidRPr="00CF336B">
        <w:rPr>
          <w:lang w:val="tr-TR"/>
        </w:rPr>
        <w:instrText xml:space="preserve"> \* MERGEFORMAT </w:instrText>
      </w:r>
      <w:r w:rsidR="00401CFC" w:rsidRPr="00CF336B">
        <w:rPr>
          <w:lang w:val="tr-TR"/>
        </w:rPr>
      </w:r>
      <w:r w:rsidR="00401CFC" w:rsidRPr="00CF336B">
        <w:rPr>
          <w:lang w:val="tr-TR"/>
        </w:rPr>
        <w:fldChar w:fldCharType="separate"/>
      </w:r>
      <w:r w:rsidR="001D6180" w:rsidRPr="00CF336B">
        <w:rPr>
          <w:lang w:val="tr-TR"/>
        </w:rPr>
        <w:t xml:space="preserve">Şekil </w:t>
      </w:r>
      <w:r w:rsidR="001D6180">
        <w:rPr>
          <w:noProof/>
          <w:lang w:val="tr-TR"/>
        </w:rPr>
        <w:t>26</w:t>
      </w:r>
      <w:r w:rsidR="00401CFC" w:rsidRPr="00CF336B">
        <w:rPr>
          <w:lang w:val="tr-TR"/>
        </w:rPr>
        <w:fldChar w:fldCharType="end"/>
      </w:r>
      <w:r w:rsidR="00401CFC" w:rsidRPr="00CF336B">
        <w:rPr>
          <w:lang w:val="tr-TR"/>
        </w:rPr>
        <w:t>’</w:t>
      </w:r>
      <w:r w:rsidR="001D6180">
        <w:rPr>
          <w:lang w:val="tr-TR"/>
        </w:rPr>
        <w:t>da</w:t>
      </w:r>
      <w:r w:rsidR="00401CFC" w:rsidRPr="00CF336B">
        <w:rPr>
          <w:lang w:val="tr-TR"/>
        </w:rPr>
        <w:t xml:space="preserve"> ü</w:t>
      </w:r>
      <w:r w:rsidRPr="00CF336B">
        <w:rPr>
          <w:lang w:val="tr-TR"/>
        </w:rPr>
        <w:t>lkenin kömür kaynaklı elektrik üretim</w:t>
      </w:r>
      <w:r w:rsidR="005462B7" w:rsidRPr="00CF336B">
        <w:rPr>
          <w:lang w:val="tr-TR"/>
        </w:rPr>
        <w:t>den kaynaklanan</w:t>
      </w:r>
      <w:r w:rsidRPr="00CF336B">
        <w:rPr>
          <w:lang w:val="tr-TR"/>
        </w:rPr>
        <w:t xml:space="preserve"> CO</w:t>
      </w:r>
      <w:r w:rsidRPr="00CF336B">
        <w:rPr>
          <w:vertAlign w:val="subscript"/>
          <w:lang w:val="tr-TR"/>
        </w:rPr>
        <w:t>2</w:t>
      </w:r>
      <w:r w:rsidRPr="00CF336B">
        <w:rPr>
          <w:lang w:val="tr-TR"/>
        </w:rPr>
        <w:t xml:space="preserve"> emisyonunun aynı dönemde benzer oranlar da düştüğü gözlemlenmektedir. Özellikle 2020 ve 2021 yıllarında kömür kaynaklı elektrik üretiminin sebep olduğu emisyon 4 mtCO</w:t>
      </w:r>
      <w:r w:rsidRPr="00CF336B">
        <w:rPr>
          <w:vertAlign w:val="subscript"/>
          <w:lang w:val="tr-TR"/>
        </w:rPr>
        <w:t>2</w:t>
      </w:r>
      <w:r w:rsidRPr="00CF336B">
        <w:rPr>
          <w:lang w:val="tr-TR"/>
        </w:rPr>
        <w:t xml:space="preserve"> ile ülkenin toplam emisyonunun yalnızca </w:t>
      </w:r>
      <w:proofErr w:type="gramStart"/>
      <w:r w:rsidRPr="00CF336B">
        <w:rPr>
          <w:lang w:val="tr-TR"/>
        </w:rPr>
        <w:t>%2</w:t>
      </w:r>
      <w:proofErr w:type="gramEnd"/>
      <w:r w:rsidRPr="00CF336B">
        <w:rPr>
          <w:lang w:val="tr-TR"/>
        </w:rPr>
        <w:t>’sini oluşturmaktadır</w:t>
      </w:r>
      <w:r w:rsidR="004541CF" w:rsidRPr="00CF336B">
        <w:rPr>
          <w:lang w:val="tr-TR"/>
        </w:rPr>
        <w:t xml:space="preserve"> </w:t>
      </w:r>
      <w:sdt>
        <w:sdtPr>
          <w:rPr>
            <w:lang w:val="tr-TR"/>
          </w:rPr>
          <w:id w:val="-828982672"/>
          <w:citation/>
        </w:sdtPr>
        <w:sdtEndPr/>
        <w:sdtContent>
          <w:r w:rsidR="00930725" w:rsidRPr="00CF336B">
            <w:rPr>
              <w:lang w:val="tr-TR"/>
            </w:rPr>
            <w:fldChar w:fldCharType="begin"/>
          </w:r>
          <w:r w:rsidR="00930725" w:rsidRPr="00CF336B">
            <w:rPr>
              <w:lang w:val="tr-TR"/>
            </w:rPr>
            <w:instrText xml:space="preserve"> CITATION EMB23 \l 1055 </w:instrText>
          </w:r>
          <w:r w:rsidR="00930725" w:rsidRPr="00CF336B">
            <w:rPr>
              <w:lang w:val="tr-TR"/>
            </w:rPr>
            <w:fldChar w:fldCharType="separate"/>
          </w:r>
          <w:r w:rsidR="00D95FF7">
            <w:rPr>
              <w:noProof/>
              <w:lang w:val="tr-TR"/>
            </w:rPr>
            <w:t>(EMBER, 2023)</w:t>
          </w:r>
          <w:r w:rsidR="00930725" w:rsidRPr="00CF336B">
            <w:rPr>
              <w:lang w:val="tr-TR"/>
            </w:rPr>
            <w:fldChar w:fldCharType="end"/>
          </w:r>
        </w:sdtContent>
      </w:sdt>
      <w:r w:rsidR="00930725" w:rsidRPr="00CF336B">
        <w:rPr>
          <w:lang w:val="tr-TR"/>
        </w:rPr>
        <w:t>.</w:t>
      </w:r>
    </w:p>
    <w:p w14:paraId="43E6FF5C" w14:textId="77777777" w:rsidR="002A3D1F" w:rsidRPr="00CF336B" w:rsidRDefault="002A3D1F" w:rsidP="004D4361">
      <w:pPr>
        <w:spacing w:line="360" w:lineRule="auto"/>
        <w:jc w:val="both"/>
        <w:rPr>
          <w:lang w:val="tr-TR"/>
        </w:rPr>
      </w:pPr>
    </w:p>
    <w:p w14:paraId="03C58706" w14:textId="77777777" w:rsidR="00401CFC" w:rsidRPr="00CF336B" w:rsidRDefault="00EB0B74" w:rsidP="004D4361">
      <w:pPr>
        <w:keepNext/>
        <w:spacing w:line="360" w:lineRule="auto"/>
        <w:jc w:val="both"/>
        <w:rPr>
          <w:lang w:val="tr-TR"/>
        </w:rPr>
      </w:pPr>
      <w:r w:rsidRPr="00CF336B">
        <w:rPr>
          <w:noProof/>
          <w:lang w:val="tr-TR"/>
        </w:rPr>
        <w:drawing>
          <wp:inline distT="0" distB="0" distL="0" distR="0" wp14:anchorId="704FC49B" wp14:editId="06948CEB">
            <wp:extent cx="5777534" cy="2714211"/>
            <wp:effectExtent l="0" t="0" r="0" b="0"/>
            <wp:docPr id="1998425882" name="Chart 1">
              <a:extLst xmlns:a="http://schemas.openxmlformats.org/drawingml/2006/main">
                <a:ext uri="{FF2B5EF4-FFF2-40B4-BE49-F238E27FC236}">
                  <a16:creationId xmlns:a16="http://schemas.microsoft.com/office/drawing/2014/main" id="{F25D2E46-4433-8658-B5FF-4097D3F7A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384AB55" w14:textId="752ACD82" w:rsidR="00D3540C" w:rsidRPr="00CF336B" w:rsidRDefault="00401CFC" w:rsidP="004D4361">
      <w:pPr>
        <w:pStyle w:val="Caption"/>
        <w:spacing w:line="360" w:lineRule="auto"/>
        <w:jc w:val="center"/>
        <w:rPr>
          <w:color w:val="auto"/>
          <w:sz w:val="22"/>
          <w:szCs w:val="22"/>
          <w:lang w:val="tr-TR"/>
        </w:rPr>
      </w:pPr>
      <w:bookmarkStart w:id="124" w:name="_Ref148974890"/>
      <w:bookmarkStart w:id="125" w:name="_Toc156210480"/>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26</w:t>
      </w:r>
      <w:r w:rsidRPr="00CF336B">
        <w:rPr>
          <w:color w:val="auto"/>
          <w:sz w:val="22"/>
          <w:szCs w:val="22"/>
          <w:lang w:val="tr-TR"/>
        </w:rPr>
        <w:fldChar w:fldCharType="end"/>
      </w:r>
      <w:bookmarkEnd w:id="124"/>
      <w:r w:rsidRPr="00CF336B">
        <w:rPr>
          <w:color w:val="auto"/>
          <w:sz w:val="22"/>
          <w:szCs w:val="22"/>
          <w:lang w:val="tr-TR"/>
        </w:rPr>
        <w:t>. İspanya Kömür Kaynaklı Elektrik Üretimi, Elektrik Sektörü ve Toplam Karbon Emisyonu</w:t>
      </w:r>
      <w:bookmarkEnd w:id="125"/>
    </w:p>
    <w:p w14:paraId="2FA2E658" w14:textId="17A3B901" w:rsidR="004E0A07" w:rsidRPr="00CF336B" w:rsidRDefault="006C3914" w:rsidP="004D4361">
      <w:pPr>
        <w:pStyle w:val="Heading2"/>
        <w:numPr>
          <w:ilvl w:val="1"/>
          <w:numId w:val="12"/>
        </w:numPr>
        <w:spacing w:line="360" w:lineRule="auto"/>
        <w:rPr>
          <w:lang w:val="tr-TR"/>
        </w:rPr>
      </w:pPr>
      <w:bookmarkStart w:id="126" w:name="_Toc156210446"/>
      <w:r w:rsidRPr="00CF336B">
        <w:rPr>
          <w:lang w:val="tr-TR"/>
        </w:rPr>
        <w:t>Polonya</w:t>
      </w:r>
      <w:bookmarkEnd w:id="126"/>
    </w:p>
    <w:p w14:paraId="0BA877F4" w14:textId="706E7124" w:rsidR="002D6827" w:rsidRPr="00CF336B" w:rsidRDefault="002D6827" w:rsidP="004D4361">
      <w:pPr>
        <w:spacing w:line="360" w:lineRule="auto"/>
        <w:jc w:val="both"/>
        <w:rPr>
          <w:lang w:val="tr-TR"/>
        </w:rPr>
      </w:pPr>
      <w:r w:rsidRPr="00CF336B">
        <w:rPr>
          <w:lang w:val="tr-TR"/>
        </w:rPr>
        <w:t xml:space="preserve">Polonya elektrik üretiminin </w:t>
      </w:r>
      <w:r w:rsidR="00762FE6" w:rsidRPr="00CF336B">
        <w:rPr>
          <w:lang w:val="tr-TR"/>
        </w:rPr>
        <w:t>yaklaşık</w:t>
      </w:r>
      <w:r w:rsidRPr="00CF336B">
        <w:rPr>
          <w:lang w:val="tr-TR"/>
        </w:rPr>
        <w:t xml:space="preserve"> </w:t>
      </w:r>
      <w:proofErr w:type="gramStart"/>
      <w:r w:rsidRPr="00CF336B">
        <w:rPr>
          <w:lang w:val="tr-TR"/>
        </w:rPr>
        <w:t>%72</w:t>
      </w:r>
      <w:proofErr w:type="gramEnd"/>
      <w:r w:rsidR="00762FE6" w:rsidRPr="00CF336B">
        <w:rPr>
          <w:lang w:val="tr-TR"/>
        </w:rPr>
        <w:t>’lik kısmını</w:t>
      </w:r>
      <w:r w:rsidRPr="00CF336B">
        <w:rPr>
          <w:lang w:val="tr-TR"/>
        </w:rPr>
        <w:t xml:space="preserve"> taşkömürü ve linyit </w:t>
      </w:r>
      <w:r w:rsidR="00762FE6" w:rsidRPr="00CF336B">
        <w:rPr>
          <w:lang w:val="tr-TR"/>
        </w:rPr>
        <w:t>santrallerinden karşılamaktadır</w:t>
      </w:r>
      <w:r w:rsidR="00C645CB" w:rsidRPr="00CF336B">
        <w:rPr>
          <w:lang w:val="tr-TR"/>
        </w:rPr>
        <w:t xml:space="preserve"> </w:t>
      </w:r>
      <w:sdt>
        <w:sdtPr>
          <w:rPr>
            <w:lang w:val="tr-TR"/>
          </w:rPr>
          <w:id w:val="310607731"/>
          <w:citation/>
        </w:sdtPr>
        <w:sdtEndPr/>
        <w:sdtContent>
          <w:r w:rsidR="00B06D0D" w:rsidRPr="00CF336B">
            <w:rPr>
              <w:lang w:val="tr-TR"/>
            </w:rPr>
            <w:fldChar w:fldCharType="begin"/>
          </w:r>
          <w:r w:rsidR="00B06D0D" w:rsidRPr="00CF336B">
            <w:rPr>
              <w:lang w:val="tr-TR"/>
            </w:rPr>
            <w:instrText xml:space="preserve"> CITATION IEA221 \l 1055 </w:instrText>
          </w:r>
          <w:r w:rsidR="00B06D0D" w:rsidRPr="00CF336B">
            <w:rPr>
              <w:lang w:val="tr-TR"/>
            </w:rPr>
            <w:fldChar w:fldCharType="separate"/>
          </w:r>
          <w:r w:rsidR="00D95FF7">
            <w:rPr>
              <w:noProof/>
              <w:lang w:val="tr-TR"/>
            </w:rPr>
            <w:t>(IEA, 2022)</w:t>
          </w:r>
          <w:r w:rsidR="00B06D0D" w:rsidRPr="00CF336B">
            <w:rPr>
              <w:lang w:val="tr-TR"/>
            </w:rPr>
            <w:fldChar w:fldCharType="end"/>
          </w:r>
        </w:sdtContent>
      </w:sdt>
      <w:r w:rsidRPr="00CF336B">
        <w:rPr>
          <w:lang w:val="tr-TR"/>
        </w:rPr>
        <w:t>. Ancak kömür kaynaklı bu santrallerin 4</w:t>
      </w:r>
      <w:r w:rsidR="000B7513" w:rsidRPr="00CF336B">
        <w:rPr>
          <w:lang w:val="tr-TR"/>
        </w:rPr>
        <w:t>,</w:t>
      </w:r>
      <w:r w:rsidRPr="00CF336B">
        <w:rPr>
          <w:lang w:val="tr-TR"/>
        </w:rPr>
        <w:t>4 GW kapasiteli bir kısmını</w:t>
      </w:r>
      <w:r w:rsidR="00111D6D" w:rsidRPr="00CF336B">
        <w:rPr>
          <w:lang w:val="tr-TR"/>
        </w:rPr>
        <w:t>n</w:t>
      </w:r>
      <w:r w:rsidRPr="00CF336B">
        <w:rPr>
          <w:lang w:val="tr-TR"/>
        </w:rPr>
        <w:t xml:space="preserve"> 2025 yılına kadar kapat</w:t>
      </w:r>
      <w:r w:rsidR="00111D6D" w:rsidRPr="00CF336B">
        <w:rPr>
          <w:lang w:val="tr-TR"/>
        </w:rPr>
        <w:t>ılması</w:t>
      </w:r>
      <w:r w:rsidRPr="00CF336B">
        <w:rPr>
          <w:lang w:val="tr-TR"/>
        </w:rPr>
        <w:t xml:space="preserve"> hedefle</w:t>
      </w:r>
      <w:r w:rsidR="00111D6D" w:rsidRPr="00CF336B">
        <w:rPr>
          <w:lang w:val="tr-TR"/>
        </w:rPr>
        <w:t>n</w:t>
      </w:r>
      <w:r w:rsidRPr="00CF336B">
        <w:rPr>
          <w:lang w:val="tr-TR"/>
        </w:rPr>
        <w:t>mektedir</w:t>
      </w:r>
      <w:sdt>
        <w:sdtPr>
          <w:rPr>
            <w:lang w:val="tr-TR"/>
          </w:rPr>
          <w:id w:val="-1512830988"/>
          <w:citation/>
        </w:sdtPr>
        <w:sdtEndPr/>
        <w:sdtContent>
          <w:r w:rsidR="00BB3460" w:rsidRPr="00CF336B">
            <w:rPr>
              <w:lang w:val="tr-TR"/>
            </w:rPr>
            <w:fldChar w:fldCharType="begin"/>
          </w:r>
          <w:r w:rsidR="00111D6D" w:rsidRPr="00CF336B">
            <w:rPr>
              <w:lang w:val="tr-TR"/>
            </w:rPr>
            <w:instrText xml:space="preserve">CITATION Glo \l 1055 </w:instrText>
          </w:r>
          <w:r w:rsidR="00BB3460" w:rsidRPr="00CF336B">
            <w:rPr>
              <w:lang w:val="tr-TR"/>
            </w:rPr>
            <w:fldChar w:fldCharType="separate"/>
          </w:r>
          <w:r w:rsidR="00D95FF7">
            <w:rPr>
              <w:noProof/>
              <w:lang w:val="tr-TR"/>
            </w:rPr>
            <w:t xml:space="preserve"> (Global Energy Monitor, 2023)</w:t>
          </w:r>
          <w:r w:rsidR="00BB3460" w:rsidRPr="00CF336B">
            <w:rPr>
              <w:lang w:val="tr-TR"/>
            </w:rPr>
            <w:fldChar w:fldCharType="end"/>
          </w:r>
        </w:sdtContent>
      </w:sdt>
      <w:r w:rsidRPr="00CF336B">
        <w:rPr>
          <w:lang w:val="tr-TR"/>
        </w:rPr>
        <w:t xml:space="preserve">. Hükümet tarafından 2021’in </w:t>
      </w:r>
      <w:proofErr w:type="gramStart"/>
      <w:r w:rsidRPr="00CF336B">
        <w:rPr>
          <w:lang w:val="tr-TR"/>
        </w:rPr>
        <w:t>Şubat</w:t>
      </w:r>
      <w:proofErr w:type="gramEnd"/>
      <w:r w:rsidRPr="00CF336B">
        <w:rPr>
          <w:lang w:val="tr-TR"/>
        </w:rPr>
        <w:t xml:space="preserve"> ayında kabul edilen Polonya enerji politikalarına (PEP 2040) göre, 2040 yılında elektrik üretiminin yarısından fazlası sıfır karbon emisyonlu kaynaklardan sağlan</w:t>
      </w:r>
      <w:r w:rsidR="002E305A" w:rsidRPr="00CF336B">
        <w:rPr>
          <w:lang w:val="tr-TR"/>
        </w:rPr>
        <w:t>ması hedeflenmektedir. Bu durum</w:t>
      </w:r>
      <w:r w:rsidRPr="00CF336B">
        <w:rPr>
          <w:lang w:val="tr-TR"/>
        </w:rPr>
        <w:t xml:space="preserve"> kömür kullanımında önemli azalma olacağı beklentisini doğurmaktadır </w:t>
      </w:r>
      <w:sdt>
        <w:sdtPr>
          <w:rPr>
            <w:lang w:val="tr-TR"/>
          </w:rPr>
          <w:id w:val="-1721352381"/>
          <w:citation/>
        </w:sdtPr>
        <w:sdtEndPr/>
        <w:sdtContent>
          <w:r w:rsidR="00AC4E21" w:rsidRPr="00CF336B">
            <w:rPr>
              <w:lang w:val="tr-TR"/>
            </w:rPr>
            <w:fldChar w:fldCharType="begin"/>
          </w:r>
          <w:r w:rsidR="00AC4E21" w:rsidRPr="00CF336B">
            <w:rPr>
              <w:lang w:val="tr-TR"/>
            </w:rPr>
            <w:instrText xml:space="preserve"> CITATION Han22 \l 1055 </w:instrText>
          </w:r>
          <w:r w:rsidR="00AC4E21" w:rsidRPr="00CF336B">
            <w:rPr>
              <w:lang w:val="tr-TR"/>
            </w:rPr>
            <w:fldChar w:fldCharType="separate"/>
          </w:r>
          <w:r w:rsidR="00D95FF7">
            <w:rPr>
              <w:noProof/>
              <w:lang w:val="tr-TR"/>
            </w:rPr>
            <w:t>(Hancher, 2022)</w:t>
          </w:r>
          <w:r w:rsidR="00AC4E21" w:rsidRPr="00CF336B">
            <w:rPr>
              <w:lang w:val="tr-TR"/>
            </w:rPr>
            <w:fldChar w:fldCharType="end"/>
          </w:r>
        </w:sdtContent>
      </w:sdt>
      <w:r w:rsidR="00AC4E21" w:rsidRPr="00CF336B">
        <w:rPr>
          <w:lang w:val="tr-TR"/>
        </w:rPr>
        <w:t>.</w:t>
      </w:r>
    </w:p>
    <w:p w14:paraId="1C495269" w14:textId="77777777" w:rsidR="002D6827" w:rsidRPr="00CF336B" w:rsidRDefault="002D6827" w:rsidP="004D4361">
      <w:pPr>
        <w:spacing w:line="360" w:lineRule="auto"/>
        <w:jc w:val="both"/>
        <w:rPr>
          <w:color w:val="000000" w:themeColor="text1"/>
          <w:lang w:val="tr-TR"/>
        </w:rPr>
      </w:pPr>
      <w:r w:rsidRPr="00CF336B">
        <w:rPr>
          <w:color w:val="000000" w:themeColor="text1"/>
          <w:lang w:val="tr-TR"/>
        </w:rPr>
        <w:t xml:space="preserve">Polonya’daki ulusal iletim ağı dağıtım şebekelerinden ayrılmıştır ve iletim faaliyetleri bir kamu kuruluşu olan </w:t>
      </w:r>
      <w:proofErr w:type="spellStart"/>
      <w:r w:rsidRPr="00CF336B">
        <w:rPr>
          <w:color w:val="000000" w:themeColor="text1"/>
          <w:lang w:val="tr-TR"/>
        </w:rPr>
        <w:t>Polskie</w:t>
      </w:r>
      <w:proofErr w:type="spellEnd"/>
      <w:r w:rsidRPr="00CF336B">
        <w:rPr>
          <w:color w:val="000000" w:themeColor="text1"/>
          <w:lang w:val="tr-TR"/>
        </w:rPr>
        <w:t xml:space="preserve"> </w:t>
      </w:r>
      <w:proofErr w:type="spellStart"/>
      <w:r w:rsidRPr="00CF336B">
        <w:rPr>
          <w:color w:val="000000" w:themeColor="text1"/>
          <w:lang w:val="tr-TR"/>
        </w:rPr>
        <w:t>Sieci</w:t>
      </w:r>
      <w:proofErr w:type="spellEnd"/>
      <w:r w:rsidRPr="00CF336B">
        <w:rPr>
          <w:color w:val="000000" w:themeColor="text1"/>
          <w:lang w:val="tr-TR"/>
        </w:rPr>
        <w:t xml:space="preserve"> </w:t>
      </w:r>
      <w:proofErr w:type="spellStart"/>
      <w:r w:rsidRPr="00CF336B">
        <w:rPr>
          <w:color w:val="000000" w:themeColor="text1"/>
          <w:lang w:val="tr-TR"/>
        </w:rPr>
        <w:t>Elektroenergetyczne</w:t>
      </w:r>
      <w:proofErr w:type="spellEnd"/>
      <w:r w:rsidRPr="00CF336B">
        <w:rPr>
          <w:color w:val="000000" w:themeColor="text1"/>
          <w:lang w:val="tr-TR"/>
        </w:rPr>
        <w:t xml:space="preserve"> (PSE) tarafından gerçekleştirilmektedir. </w:t>
      </w:r>
    </w:p>
    <w:p w14:paraId="43EB3A72" w14:textId="77777777" w:rsidR="002D6827" w:rsidRPr="00CF336B" w:rsidRDefault="002D6827" w:rsidP="004D4361">
      <w:pPr>
        <w:spacing w:line="360" w:lineRule="auto"/>
        <w:jc w:val="both"/>
        <w:rPr>
          <w:lang w:val="tr-TR"/>
        </w:rPr>
      </w:pPr>
      <w:r w:rsidRPr="00CF336B">
        <w:rPr>
          <w:lang w:val="tr-TR"/>
        </w:rPr>
        <w:t>Polonya’nın uzun vadeli arz güvenliği olumsuz sinyaller vermektedir. Bunun için üç temel sebep gösterilebilir:</w:t>
      </w:r>
    </w:p>
    <w:p w14:paraId="322DF903" w14:textId="77777777" w:rsidR="002D6827" w:rsidRPr="00CF336B" w:rsidRDefault="002D6827" w:rsidP="004D4361">
      <w:pPr>
        <w:pStyle w:val="ListParagraph"/>
        <w:numPr>
          <w:ilvl w:val="0"/>
          <w:numId w:val="26"/>
        </w:numPr>
        <w:spacing w:line="360" w:lineRule="auto"/>
        <w:jc w:val="both"/>
        <w:rPr>
          <w:lang w:val="tr-TR"/>
        </w:rPr>
      </w:pPr>
      <w:r w:rsidRPr="00CF336B">
        <w:rPr>
          <w:lang w:val="tr-TR"/>
        </w:rPr>
        <w:t>Ülkenin elektrik üretimi büyük ölçüde fosil yakıt kaynaklıdır ve bu durum AB’nin iklim politikaları ile ters düşmektedir.</w:t>
      </w:r>
    </w:p>
    <w:p w14:paraId="28B6BA83" w14:textId="7B1546F8" w:rsidR="002D6827" w:rsidRPr="00CF336B" w:rsidRDefault="002D6827" w:rsidP="004D4361">
      <w:pPr>
        <w:pStyle w:val="ListParagraph"/>
        <w:numPr>
          <w:ilvl w:val="0"/>
          <w:numId w:val="26"/>
        </w:numPr>
        <w:spacing w:line="360" w:lineRule="auto"/>
        <w:jc w:val="both"/>
        <w:rPr>
          <w:lang w:val="tr-TR"/>
        </w:rPr>
      </w:pPr>
      <w:r w:rsidRPr="00CF336B">
        <w:rPr>
          <w:lang w:val="tr-TR"/>
        </w:rPr>
        <w:t>Üretimin büyük bir kısmından sorumlu santrallerin çoğunun ömrünü tamamlamak üzere</w:t>
      </w:r>
      <w:r w:rsidR="002D47D5" w:rsidRPr="00CF336B">
        <w:rPr>
          <w:lang w:val="tr-TR"/>
        </w:rPr>
        <w:t xml:space="preserve">dir ve birçok ünite </w:t>
      </w:r>
      <w:r w:rsidRPr="00CF336B">
        <w:rPr>
          <w:lang w:val="tr-TR"/>
        </w:rPr>
        <w:t xml:space="preserve">30 yaş ve üzerindedir. </w:t>
      </w:r>
      <w:proofErr w:type="gramStart"/>
      <w:r w:rsidRPr="00CF336B">
        <w:rPr>
          <w:lang w:val="tr-TR"/>
        </w:rPr>
        <w:t>2023</w:t>
      </w:r>
      <w:r w:rsidR="009734EF">
        <w:rPr>
          <w:lang w:val="tr-TR"/>
        </w:rPr>
        <w:t xml:space="preserve"> </w:t>
      </w:r>
      <w:r w:rsidRPr="00CF336B">
        <w:rPr>
          <w:lang w:val="tr-TR"/>
        </w:rPr>
        <w:t>-</w:t>
      </w:r>
      <w:proofErr w:type="gramEnd"/>
      <w:r w:rsidR="009734EF">
        <w:rPr>
          <w:lang w:val="tr-TR"/>
        </w:rPr>
        <w:t xml:space="preserve"> </w:t>
      </w:r>
      <w:r w:rsidRPr="00CF336B">
        <w:rPr>
          <w:lang w:val="tr-TR"/>
        </w:rPr>
        <w:t xml:space="preserve">2038 yılları arasında 15,7 </w:t>
      </w:r>
      <w:proofErr w:type="spellStart"/>
      <w:r w:rsidRPr="00CF336B">
        <w:rPr>
          <w:lang w:val="tr-TR"/>
        </w:rPr>
        <w:t>GW’lık</w:t>
      </w:r>
      <w:proofErr w:type="spellEnd"/>
      <w:r w:rsidRPr="00CF336B">
        <w:rPr>
          <w:lang w:val="tr-TR"/>
        </w:rPr>
        <w:t xml:space="preserve"> kömür santrali kapasitesinin sistemden çıkarılması planlanmakta</w:t>
      </w:r>
      <w:r w:rsidR="00B47CD8" w:rsidRPr="00CF336B">
        <w:rPr>
          <w:lang w:val="tr-TR"/>
        </w:rPr>
        <w:t>dır.</w:t>
      </w:r>
    </w:p>
    <w:p w14:paraId="051E05F1" w14:textId="37E8A921" w:rsidR="002D6827" w:rsidRPr="00CF336B" w:rsidRDefault="002D6827" w:rsidP="004D4361">
      <w:pPr>
        <w:pStyle w:val="ListParagraph"/>
        <w:numPr>
          <w:ilvl w:val="0"/>
          <w:numId w:val="26"/>
        </w:numPr>
        <w:spacing w:line="360" w:lineRule="auto"/>
        <w:jc w:val="both"/>
        <w:rPr>
          <w:lang w:val="tr-TR"/>
        </w:rPr>
      </w:pPr>
      <w:r w:rsidRPr="00CF336B">
        <w:rPr>
          <w:lang w:val="tr-TR"/>
        </w:rPr>
        <w:t xml:space="preserve">Polonya enerji piyasasında </w:t>
      </w:r>
      <w:r w:rsidR="00D81912" w:rsidRPr="00CF336B">
        <w:rPr>
          <w:lang w:val="tr-TR"/>
        </w:rPr>
        <w:t>üretim</w:t>
      </w:r>
      <w:r w:rsidRPr="00CF336B">
        <w:rPr>
          <w:lang w:val="tr-TR"/>
        </w:rPr>
        <w:t xml:space="preserve"> maliyetleri yüksek üreticilere sistemde kalmaları için yeterli destek sağlanmama</w:t>
      </w:r>
      <w:r w:rsidR="00B47CD8" w:rsidRPr="00CF336B">
        <w:rPr>
          <w:lang w:val="tr-TR"/>
        </w:rPr>
        <w:t>ktadır.</w:t>
      </w:r>
    </w:p>
    <w:p w14:paraId="6BD69390" w14:textId="7828C4BD" w:rsidR="002D6827" w:rsidRPr="00CF336B" w:rsidRDefault="00D81912" w:rsidP="004D4361">
      <w:pPr>
        <w:spacing w:line="360" w:lineRule="auto"/>
        <w:jc w:val="both"/>
        <w:rPr>
          <w:lang w:val="tr-TR"/>
        </w:rPr>
      </w:pPr>
      <w:r w:rsidRPr="00CF336B">
        <w:rPr>
          <w:lang w:val="tr-TR"/>
        </w:rPr>
        <w:t>Ülkede k</w:t>
      </w:r>
      <w:r w:rsidR="002D6827" w:rsidRPr="00CF336B">
        <w:rPr>
          <w:lang w:val="tr-TR"/>
        </w:rPr>
        <w:t xml:space="preserve">apasite mekanizması 18 Ocak 2018’de Polonya Kapasite Mekanizması Kanunu ile yürürlüğe girmiştir ancak uygulamaya dair ilk görüşler 2009 yılındaki ekonomik yavaşlama döneminde ortaya atılmıştır. Konuyla ilgili müzakereler diğer ülkelerin kapasite mekanizmalarını yürürlüğe koymalarıyla, özellikle </w:t>
      </w:r>
      <w:r w:rsidR="00B72F1B" w:rsidRPr="00CF336B">
        <w:rPr>
          <w:lang w:val="tr-TR"/>
        </w:rPr>
        <w:t xml:space="preserve">de </w:t>
      </w:r>
      <w:r w:rsidR="002D6827" w:rsidRPr="00CF336B">
        <w:rPr>
          <w:lang w:val="tr-TR"/>
        </w:rPr>
        <w:t>İngiltere’nin 2014 yılında uygulamaya başlaması ile yoğunlaşmıştır.</w:t>
      </w:r>
    </w:p>
    <w:p w14:paraId="21E7F12D" w14:textId="1A76C7BB" w:rsidR="002D6827" w:rsidRPr="00CF336B" w:rsidRDefault="002D6827" w:rsidP="004D4361">
      <w:pPr>
        <w:spacing w:line="360" w:lineRule="auto"/>
        <w:jc w:val="both"/>
        <w:rPr>
          <w:lang w:val="tr-TR"/>
        </w:rPr>
      </w:pPr>
      <w:r w:rsidRPr="00CF336B">
        <w:rPr>
          <w:lang w:val="tr-TR"/>
        </w:rPr>
        <w:t xml:space="preserve">Polonya devleti, kapasite mekanizması yürürlüğe girmeden önce </w:t>
      </w:r>
      <w:r w:rsidR="00B72F1B" w:rsidRPr="00CF336B">
        <w:rPr>
          <w:lang w:val="tr-TR"/>
        </w:rPr>
        <w:t xml:space="preserve">bu mekanizmanın </w:t>
      </w:r>
      <w:r w:rsidRPr="00CF336B">
        <w:rPr>
          <w:lang w:val="tr-TR"/>
        </w:rPr>
        <w:t>gerekliliğini göstermek için arz-talep karşılaştırması ve olasılıksal değerlendirme ile arz güvenliğini incelemiştir. Bu incelemelerde, sistemde ‘öngörülen eksik kapasite’ standar</w:t>
      </w:r>
      <w:r w:rsidR="00401CFC" w:rsidRPr="00CF336B">
        <w:rPr>
          <w:lang w:val="tr-TR"/>
        </w:rPr>
        <w:t>dı</w:t>
      </w:r>
      <w:r w:rsidRPr="00CF336B">
        <w:rPr>
          <w:lang w:val="tr-TR"/>
        </w:rPr>
        <w:t xml:space="preserve"> (LOLE) İngiltere ve Fransa gibi senelik üç saat olarak alınmıştır. Bu da eksik kapasiteden kaynaklı kesintinin senelik 3 saate kadar tolere edilebilir olması ve böylelikle </w:t>
      </w:r>
      <w:proofErr w:type="gramStart"/>
      <w:r w:rsidRPr="00CF336B">
        <w:rPr>
          <w:lang w:val="tr-TR"/>
        </w:rPr>
        <w:t>%99</w:t>
      </w:r>
      <w:r w:rsidR="00A8573F" w:rsidRPr="00CF336B">
        <w:rPr>
          <w:lang w:val="tr-TR"/>
        </w:rPr>
        <w:t>,</w:t>
      </w:r>
      <w:r w:rsidRPr="00CF336B">
        <w:rPr>
          <w:lang w:val="tr-TR"/>
        </w:rPr>
        <w:t>97</w:t>
      </w:r>
      <w:proofErr w:type="gramEnd"/>
      <w:r w:rsidRPr="00CF336B">
        <w:rPr>
          <w:lang w:val="tr-TR"/>
        </w:rPr>
        <w:t xml:space="preserve"> sistem güvenliğinin sağlanması demektir. Ancak yapılan simülasyonlarda 2020 için 176 saat, 2025 içinse 102 saat kapasite yetersizliği sonuçları çıkmıştır. Bu analizlerin yanında düşük maliyetli yenilenebilir enerji kaynaklarının </w:t>
      </w:r>
      <w:proofErr w:type="spellStart"/>
      <w:r w:rsidRPr="00CF336B">
        <w:rPr>
          <w:lang w:val="tr-TR"/>
        </w:rPr>
        <w:t>merit</w:t>
      </w:r>
      <w:proofErr w:type="spellEnd"/>
      <w:r w:rsidRPr="00CF336B">
        <w:rPr>
          <w:lang w:val="tr-TR"/>
        </w:rPr>
        <w:t xml:space="preserve"> </w:t>
      </w:r>
      <w:proofErr w:type="spellStart"/>
      <w:r w:rsidRPr="00CF336B">
        <w:rPr>
          <w:lang w:val="tr-TR"/>
        </w:rPr>
        <w:t>order’da</w:t>
      </w:r>
      <w:proofErr w:type="spellEnd"/>
      <w:r w:rsidRPr="00CF336B">
        <w:rPr>
          <w:lang w:val="tr-TR"/>
        </w:rPr>
        <w:t xml:space="preserve"> yerini almasıyla karlılığı azalacak olan fosil yakıt santrallerinin kapasitelerini sistemde tutmalarını sağlama argümanı ile Avrupa Komisyonu Polonya’nın kapasite mekanizması uygulamasına geçmesini haklı bulmuş ve onaylamıştır. Teoride 10 senelik planlanan uygulama kapsamında, pratikte 2043’e kadar devam edecek kontratlar yapılmıştır </w:t>
      </w:r>
      <w:sdt>
        <w:sdtPr>
          <w:rPr>
            <w:lang w:val="tr-TR"/>
          </w:rPr>
          <w:id w:val="1894227591"/>
          <w:citation/>
        </w:sdtPr>
        <w:sdtEndPr/>
        <w:sdtContent>
          <w:r w:rsidR="00AC4E21" w:rsidRPr="00CF336B">
            <w:rPr>
              <w:lang w:val="tr-TR"/>
            </w:rPr>
            <w:fldChar w:fldCharType="begin"/>
          </w:r>
          <w:r w:rsidR="00AC4E21" w:rsidRPr="00CF336B">
            <w:rPr>
              <w:lang w:val="tr-TR"/>
            </w:rPr>
            <w:instrText xml:space="preserve"> CITATION Han22 \l 1055 </w:instrText>
          </w:r>
          <w:r w:rsidR="00AC4E21" w:rsidRPr="00CF336B">
            <w:rPr>
              <w:lang w:val="tr-TR"/>
            </w:rPr>
            <w:fldChar w:fldCharType="separate"/>
          </w:r>
          <w:r w:rsidR="00D95FF7">
            <w:rPr>
              <w:noProof/>
              <w:lang w:val="tr-TR"/>
            </w:rPr>
            <w:t>(Hancher, 2022)</w:t>
          </w:r>
          <w:r w:rsidR="00AC4E21" w:rsidRPr="00CF336B">
            <w:rPr>
              <w:lang w:val="tr-TR"/>
            </w:rPr>
            <w:fldChar w:fldCharType="end"/>
          </w:r>
        </w:sdtContent>
      </w:sdt>
      <w:r w:rsidR="00AC4E21" w:rsidRPr="00CF336B">
        <w:rPr>
          <w:lang w:val="tr-TR"/>
        </w:rPr>
        <w:t>.</w:t>
      </w:r>
    </w:p>
    <w:p w14:paraId="5A1C1A8C" w14:textId="61364AEF" w:rsidR="002D6827" w:rsidRPr="00CF336B" w:rsidRDefault="002D6827" w:rsidP="004D4361">
      <w:pPr>
        <w:spacing w:line="360" w:lineRule="auto"/>
        <w:jc w:val="both"/>
        <w:rPr>
          <w:lang w:val="tr-TR"/>
        </w:rPr>
      </w:pPr>
      <w:r w:rsidRPr="00CF336B">
        <w:rPr>
          <w:lang w:val="tr-TR"/>
        </w:rPr>
        <w:t xml:space="preserve">Kapasite Piyasası Kanunu’nda kapasite mekanizmasının amacı </w:t>
      </w:r>
      <w:r w:rsidR="003B576E" w:rsidRPr="00CF336B">
        <w:rPr>
          <w:lang w:val="tr-TR"/>
        </w:rPr>
        <w:t>“</w:t>
      </w:r>
      <w:r w:rsidRPr="00CF336B">
        <w:rPr>
          <w:lang w:val="tr-TR"/>
        </w:rPr>
        <w:t>Maliyet etkin, ayrımcı olmayan ve sürdürülebilir bir şekilde tüketicilere orta ve uzun vadeli arz güvenliği sağlamak</w:t>
      </w:r>
      <w:r w:rsidR="003B576E" w:rsidRPr="00CF336B">
        <w:rPr>
          <w:lang w:val="tr-TR"/>
        </w:rPr>
        <w:t>”</w:t>
      </w:r>
      <w:r w:rsidRPr="00CF336B">
        <w:rPr>
          <w:lang w:val="tr-TR"/>
        </w:rPr>
        <w:t xml:space="preserve"> olarak belirtilmiştir. Bu amaca yönelik olarak mekanizma, ücret karşılığında sözleşmeye dayalı kapasite yükümlülükleri yaratmaktadır ve kapasite mekanizması kapsamında anlaşma imzalayan </w:t>
      </w:r>
      <w:r w:rsidR="00A92D9F" w:rsidRPr="00CF336B">
        <w:rPr>
          <w:lang w:val="tr-TR"/>
        </w:rPr>
        <w:t>piyasa</w:t>
      </w:r>
      <w:r w:rsidRPr="00CF336B">
        <w:rPr>
          <w:lang w:val="tr-TR"/>
        </w:rPr>
        <w:t xml:space="preserve"> katılımcıları, kontratlarında belirtilen teslim süresi ​​boyunca kapasitenin sağlanmasıyla yükümlü tutulmuşlardır. Kapasiteler,</w:t>
      </w:r>
      <w:r w:rsidR="00A92D9F" w:rsidRPr="00CF336B">
        <w:rPr>
          <w:lang w:val="tr-TR"/>
        </w:rPr>
        <w:t xml:space="preserve"> </w:t>
      </w:r>
      <w:r w:rsidRPr="00CF336B">
        <w:rPr>
          <w:lang w:val="tr-TR"/>
        </w:rPr>
        <w:t xml:space="preserve">iletim sistem operatörü PSE tarafından düzenlenen ihaleler yoluyla verilmektedir. </w:t>
      </w:r>
    </w:p>
    <w:p w14:paraId="0333467A" w14:textId="2671E9FE" w:rsidR="002D6827" w:rsidRPr="00CF336B" w:rsidRDefault="002D6827" w:rsidP="004D4361">
      <w:pPr>
        <w:spacing w:line="360" w:lineRule="auto"/>
        <w:jc w:val="both"/>
        <w:rPr>
          <w:lang w:val="tr-TR"/>
        </w:rPr>
      </w:pPr>
      <w:r w:rsidRPr="00CF336B">
        <w:rPr>
          <w:lang w:val="tr-TR"/>
        </w:rPr>
        <w:t xml:space="preserve">Düzenlenen ihalelere üreticilerin ve enerji depolama tesislerinin katılabildiği gibi talep tarafı katılımcıları da gerekli olduğunda taleplerini düşürme </w:t>
      </w:r>
      <w:proofErr w:type="spellStart"/>
      <w:r w:rsidRPr="00CF336B">
        <w:rPr>
          <w:lang w:val="tr-TR"/>
        </w:rPr>
        <w:t>taahhütüyle</w:t>
      </w:r>
      <w:proofErr w:type="spellEnd"/>
      <w:r w:rsidRPr="00CF336B">
        <w:rPr>
          <w:lang w:val="tr-TR"/>
        </w:rPr>
        <w:t xml:space="preserve"> katılabilmektedirler. Polonya ile iletim hattı bulunan yabancı ülkeler de AB üyesi olmaları koşuluyla</w:t>
      </w:r>
      <w:r w:rsidR="008B295F" w:rsidRPr="00CF336B">
        <w:rPr>
          <w:lang w:val="tr-TR"/>
        </w:rPr>
        <w:t xml:space="preserve"> bu</w:t>
      </w:r>
      <w:r w:rsidRPr="00CF336B">
        <w:rPr>
          <w:lang w:val="tr-TR"/>
        </w:rPr>
        <w:t xml:space="preserve"> ihalelere katılabilmektedirler. İhale kazananlarına belirlenmiş kapasite ödemeleri Polonya </w:t>
      </w:r>
      <w:proofErr w:type="gramStart"/>
      <w:r w:rsidRPr="00CF336B">
        <w:rPr>
          <w:lang w:val="tr-TR"/>
        </w:rPr>
        <w:t>Zlotisi</w:t>
      </w:r>
      <w:proofErr w:type="gramEnd"/>
      <w:r w:rsidRPr="00CF336B">
        <w:rPr>
          <w:lang w:val="tr-TR"/>
        </w:rPr>
        <w:t xml:space="preserve"> (PLN)/kW cinsinden ve yıllık olarak yapılmaktadır.</w:t>
      </w:r>
    </w:p>
    <w:p w14:paraId="1849101E" w14:textId="6F03F1B8" w:rsidR="00BF70D2" w:rsidRPr="00CF336B" w:rsidRDefault="002D6827" w:rsidP="004D4361">
      <w:pPr>
        <w:spacing w:line="360" w:lineRule="auto"/>
        <w:jc w:val="both"/>
        <w:rPr>
          <w:lang w:val="tr-TR"/>
        </w:rPr>
      </w:pPr>
      <w:r w:rsidRPr="00CF336B">
        <w:rPr>
          <w:lang w:val="tr-TR"/>
        </w:rPr>
        <w:t>Her sene yapılan ihalelere mevcut santraller bir senelik, yenilenmiş santraller beş senelik teklif verebilirken yeni kurulan santraller 15 senelik kontrat tekliflerinde bulunabilmektedirler. Beş yıllık kontrat teklifinde bulunabilmek için yatırım maliyetinin 0,5 milyon PLN/</w:t>
      </w:r>
      <w:proofErr w:type="spellStart"/>
      <w:r w:rsidRPr="00CF336B">
        <w:rPr>
          <w:lang w:val="tr-TR"/>
        </w:rPr>
        <w:t>MW’ın</w:t>
      </w:r>
      <w:proofErr w:type="spellEnd"/>
      <w:r w:rsidRPr="00CF336B">
        <w:rPr>
          <w:lang w:val="tr-TR"/>
        </w:rPr>
        <w:t xml:space="preserve"> üzerinde olması gerekirken, on beş senelik kontrat teklifinde bulunabilmek için yatırım maliyetinin 3 milyon PLN/</w:t>
      </w:r>
      <w:proofErr w:type="spellStart"/>
      <w:r w:rsidRPr="00CF336B">
        <w:rPr>
          <w:lang w:val="tr-TR"/>
        </w:rPr>
        <w:t>MW’nin</w:t>
      </w:r>
      <w:proofErr w:type="spellEnd"/>
      <w:r w:rsidRPr="00CF336B">
        <w:rPr>
          <w:lang w:val="tr-TR"/>
        </w:rPr>
        <w:t xml:space="preserve"> üzerinde olması gerekmektedir.</w:t>
      </w:r>
      <w:r w:rsidR="004D5285" w:rsidRPr="004D5285">
        <w:rPr>
          <w:lang w:val="tr-TR"/>
        </w:rPr>
        <w:t xml:space="preserve"> Buna ek olarak, 550 g CO</w:t>
      </w:r>
      <w:r w:rsidR="004D5285" w:rsidRPr="004D5285">
        <w:rPr>
          <w:vertAlign w:val="subscript"/>
          <w:lang w:val="tr-TR"/>
        </w:rPr>
        <w:t>2</w:t>
      </w:r>
      <w:r w:rsidR="004D5285" w:rsidRPr="004D5285">
        <w:rPr>
          <w:lang w:val="tr-TR"/>
        </w:rPr>
        <w:t>/kWh altında salım yapan santraller kontratlarına iki senelik uzatma bonusu alabilmekte</w:t>
      </w:r>
      <w:r w:rsidR="004D5285">
        <w:rPr>
          <w:lang w:val="tr-TR"/>
        </w:rPr>
        <w:t>lerdi.</w:t>
      </w:r>
      <w:r w:rsidR="004D5285" w:rsidRPr="004D5285">
        <w:rPr>
          <w:lang w:val="tr-TR"/>
        </w:rPr>
        <w:t xml:space="preserve"> 2020 yılı itibariyle limite uymayan santrallerin kapasite mekanizmasından yararlanamayacağı belirtildi. Bu, mevcut kömür santrallerinin mekanizmadan yararlanamayacakları anlamına gelmekte</w:t>
      </w:r>
      <w:r w:rsidR="004D5285">
        <w:rPr>
          <w:lang w:val="tr-TR"/>
        </w:rPr>
        <w:t>dir</w:t>
      </w:r>
      <w:r w:rsidR="004D5285" w:rsidRPr="004D5285">
        <w:rPr>
          <w:lang w:val="tr-TR"/>
        </w:rPr>
        <w:t xml:space="preserve">.  </w:t>
      </w:r>
      <w:r w:rsidRPr="00CF336B">
        <w:rPr>
          <w:lang w:val="tr-TR"/>
        </w:rPr>
        <w:t>Talep tarafı üniteleri ise senelik kontratlar yapabilmektedirler. Uzun süreli yapılan kontratların bir sonucu olarak, belirli bir yıl için yapılan ihaleler, takip eden yıllara da kapasite oluşturulmaktadır.</w:t>
      </w:r>
      <w:r w:rsidR="005E594D" w:rsidRPr="00CF336B">
        <w:rPr>
          <w:lang w:val="tr-TR"/>
        </w:rPr>
        <w:t xml:space="preserve"> Santrallere göre taahhüt edilen kapasiteler </w:t>
      </w:r>
      <w:r w:rsidR="005E594D" w:rsidRPr="00CF336B">
        <w:rPr>
          <w:lang w:val="tr-TR"/>
        </w:rPr>
        <w:fldChar w:fldCharType="begin"/>
      </w:r>
      <w:r w:rsidR="005E594D" w:rsidRPr="00CF336B">
        <w:rPr>
          <w:lang w:val="tr-TR"/>
        </w:rPr>
        <w:instrText xml:space="preserve"> REF _Ref148966174 \h </w:instrText>
      </w:r>
      <w:r w:rsidR="00413DBB" w:rsidRPr="00CF336B">
        <w:rPr>
          <w:lang w:val="tr-TR"/>
        </w:rPr>
        <w:instrText xml:space="preserve"> \* MERGEFORMAT </w:instrText>
      </w:r>
      <w:r w:rsidR="005E594D" w:rsidRPr="00CF336B">
        <w:rPr>
          <w:lang w:val="tr-TR"/>
        </w:rPr>
      </w:r>
      <w:r w:rsidR="005E594D" w:rsidRPr="00CF336B">
        <w:rPr>
          <w:lang w:val="tr-TR"/>
        </w:rPr>
        <w:fldChar w:fldCharType="separate"/>
      </w:r>
      <w:r w:rsidR="001D6180" w:rsidRPr="00CF336B">
        <w:rPr>
          <w:lang w:val="tr-TR"/>
        </w:rPr>
        <w:t xml:space="preserve">Şekil </w:t>
      </w:r>
      <w:r w:rsidR="001D6180">
        <w:rPr>
          <w:noProof/>
          <w:lang w:val="tr-TR"/>
        </w:rPr>
        <w:t>27</w:t>
      </w:r>
      <w:r w:rsidR="005E594D" w:rsidRPr="00CF336B">
        <w:rPr>
          <w:lang w:val="tr-TR"/>
        </w:rPr>
        <w:fldChar w:fldCharType="end"/>
      </w:r>
      <w:r w:rsidR="005E594D" w:rsidRPr="00CF336B">
        <w:rPr>
          <w:lang w:val="tr-TR"/>
        </w:rPr>
        <w:t>’</w:t>
      </w:r>
      <w:r w:rsidR="001D6180">
        <w:rPr>
          <w:lang w:val="tr-TR"/>
        </w:rPr>
        <w:t>d</w:t>
      </w:r>
      <w:r w:rsidR="005E594D" w:rsidRPr="00CF336B">
        <w:rPr>
          <w:lang w:val="tr-TR"/>
        </w:rPr>
        <w:t>e gösterilmektedir</w:t>
      </w:r>
      <w:r w:rsidR="006446D2" w:rsidRPr="00CF336B">
        <w:rPr>
          <w:lang w:val="tr-TR"/>
        </w:rPr>
        <w:t xml:space="preserve"> </w:t>
      </w:r>
      <w:sdt>
        <w:sdtPr>
          <w:rPr>
            <w:lang w:val="tr-TR"/>
          </w:rPr>
          <w:id w:val="1152724688"/>
          <w:citation/>
        </w:sdtPr>
        <w:sdtEndPr/>
        <w:sdtContent>
          <w:r w:rsidR="006446D2" w:rsidRPr="00CF336B">
            <w:rPr>
              <w:lang w:val="tr-TR"/>
            </w:rPr>
            <w:fldChar w:fldCharType="begin"/>
          </w:r>
          <w:r w:rsidR="006446D2" w:rsidRPr="00CF336B">
            <w:rPr>
              <w:lang w:val="tr-TR"/>
            </w:rPr>
            <w:instrText xml:space="preserve"> CITATION Ene231 \l 1055 </w:instrText>
          </w:r>
          <w:r w:rsidR="006446D2" w:rsidRPr="00CF336B">
            <w:rPr>
              <w:lang w:val="tr-TR"/>
            </w:rPr>
            <w:fldChar w:fldCharType="separate"/>
          </w:r>
          <w:r w:rsidR="00D95FF7">
            <w:rPr>
              <w:noProof/>
              <w:lang w:val="tr-TR"/>
            </w:rPr>
            <w:t>(Energy Regulatory Office, 2023)</w:t>
          </w:r>
          <w:r w:rsidR="006446D2" w:rsidRPr="00CF336B">
            <w:rPr>
              <w:lang w:val="tr-TR"/>
            </w:rPr>
            <w:fldChar w:fldCharType="end"/>
          </w:r>
        </w:sdtContent>
      </w:sdt>
      <w:r w:rsidR="006446D2" w:rsidRPr="00CF336B">
        <w:rPr>
          <w:lang w:val="tr-TR"/>
        </w:rPr>
        <w:t>.</w:t>
      </w:r>
      <w:r w:rsidR="00BF70D2" w:rsidRPr="00CF336B">
        <w:rPr>
          <w:lang w:val="tr-TR"/>
        </w:rPr>
        <w:t xml:space="preserve"> Kapasite sağlayıcıları tarafından ihalelerle netleşen kapasite miktarlarında 2021 teslim yıllı ana ihalede en fazla kapasite alan santraller mevcut santraller iken, 2024 teslim yıllı ihalede yenilenmiş santraller ve yeni santrallerin daha yüksek miktarda kapasite aldığı görülmektedir.</w:t>
      </w:r>
    </w:p>
    <w:p w14:paraId="61237316" w14:textId="45FC16D4" w:rsidR="002D6827" w:rsidRPr="00CF336B" w:rsidRDefault="002D6827" w:rsidP="004D4361">
      <w:pPr>
        <w:spacing w:line="360" w:lineRule="auto"/>
        <w:jc w:val="both"/>
        <w:rPr>
          <w:lang w:val="tr-TR"/>
        </w:rPr>
      </w:pPr>
    </w:p>
    <w:p w14:paraId="6D59A2CB" w14:textId="77777777" w:rsidR="008B295F" w:rsidRPr="00CF336B" w:rsidRDefault="002D6827" w:rsidP="004D4361">
      <w:pPr>
        <w:keepNext/>
        <w:spacing w:line="360" w:lineRule="auto"/>
        <w:jc w:val="both"/>
        <w:rPr>
          <w:lang w:val="tr-TR"/>
        </w:rPr>
      </w:pPr>
      <w:r w:rsidRPr="00CF336B">
        <w:rPr>
          <w:noProof/>
          <w:lang w:val="tr-TR"/>
        </w:rPr>
        <w:drawing>
          <wp:inline distT="0" distB="0" distL="0" distR="0" wp14:anchorId="0A39D794" wp14:editId="0BEEC880">
            <wp:extent cx="5365750" cy="2781300"/>
            <wp:effectExtent l="0" t="0" r="6350" b="0"/>
            <wp:docPr id="648807129" name="Chart 1">
              <a:extLst xmlns:a="http://schemas.openxmlformats.org/drawingml/2006/main">
                <a:ext uri="{FF2B5EF4-FFF2-40B4-BE49-F238E27FC236}">
                  <a16:creationId xmlns:a16="http://schemas.microsoft.com/office/drawing/2014/main" id="{6EA5D916-BE74-21A2-4617-B269F080D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02F8C0" w14:textId="0ED6C085" w:rsidR="002D6827" w:rsidRPr="00CF336B" w:rsidRDefault="008B295F" w:rsidP="004D4361">
      <w:pPr>
        <w:pStyle w:val="Caption"/>
        <w:spacing w:line="360" w:lineRule="auto"/>
        <w:jc w:val="center"/>
        <w:rPr>
          <w:color w:val="auto"/>
          <w:sz w:val="22"/>
          <w:szCs w:val="22"/>
          <w:lang w:val="tr-TR"/>
        </w:rPr>
      </w:pPr>
      <w:bookmarkStart w:id="127" w:name="_Ref148966174"/>
      <w:bookmarkStart w:id="128" w:name="_Toc156210481"/>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27</w:t>
      </w:r>
      <w:r w:rsidRPr="00CF336B">
        <w:rPr>
          <w:color w:val="auto"/>
          <w:sz w:val="22"/>
          <w:szCs w:val="22"/>
          <w:lang w:val="tr-TR"/>
        </w:rPr>
        <w:fldChar w:fldCharType="end"/>
      </w:r>
      <w:bookmarkEnd w:id="127"/>
      <w:r w:rsidRPr="00CF336B">
        <w:rPr>
          <w:color w:val="auto"/>
          <w:sz w:val="22"/>
          <w:szCs w:val="22"/>
          <w:lang w:val="tr-TR"/>
        </w:rPr>
        <w:t xml:space="preserve">. </w:t>
      </w:r>
      <w:r w:rsidR="00401CFC" w:rsidRPr="00CF336B">
        <w:rPr>
          <w:color w:val="auto"/>
          <w:sz w:val="22"/>
          <w:szCs w:val="22"/>
          <w:lang w:val="tr-TR"/>
        </w:rPr>
        <w:t xml:space="preserve">Polonya </w:t>
      </w:r>
      <w:r w:rsidRPr="00CF336B">
        <w:rPr>
          <w:color w:val="auto"/>
          <w:sz w:val="22"/>
          <w:szCs w:val="22"/>
          <w:lang w:val="tr-TR"/>
        </w:rPr>
        <w:t>Santrallere Göre Tahsis Edilen Kapasite</w:t>
      </w:r>
      <w:bookmarkEnd w:id="128"/>
    </w:p>
    <w:p w14:paraId="61A8106F" w14:textId="476FCD9D" w:rsidR="002D6827" w:rsidRPr="00CF336B" w:rsidRDefault="002D6827" w:rsidP="004D4361">
      <w:pPr>
        <w:spacing w:line="360" w:lineRule="auto"/>
        <w:jc w:val="both"/>
        <w:rPr>
          <w:lang w:val="tr-TR"/>
        </w:rPr>
      </w:pPr>
      <w:r w:rsidRPr="00CF336B">
        <w:rPr>
          <w:lang w:val="tr-TR"/>
        </w:rPr>
        <w:t>Hükümet</w:t>
      </w:r>
      <w:r w:rsidR="00BF70D2" w:rsidRPr="00CF336B">
        <w:rPr>
          <w:lang w:val="tr-TR"/>
        </w:rPr>
        <w:t>,</w:t>
      </w:r>
      <w:r w:rsidRPr="00CF336B">
        <w:rPr>
          <w:lang w:val="tr-TR"/>
        </w:rPr>
        <w:t xml:space="preserve"> mekanizmanın senelik 1 milyar </w:t>
      </w:r>
      <w:proofErr w:type="gramStart"/>
      <w:r w:rsidRPr="00CF336B">
        <w:rPr>
          <w:lang w:val="tr-TR"/>
        </w:rPr>
        <w:t>avro,</w:t>
      </w:r>
      <w:proofErr w:type="gramEnd"/>
      <w:r w:rsidRPr="00CF336B">
        <w:rPr>
          <w:lang w:val="tr-TR"/>
        </w:rPr>
        <w:t xml:space="preserve"> ve 10 senede 10 milyar avro maliyet çıkarmasını öngörmüştür ancak yürürlüğe girdiğinden beri mekanizma senelik ortalama 1,2 milyar avro maliyete sebep olmuştur. Mekanizmaya sağlanan ödenekler ‘kapasite ücretlendirmesi’ adı altında son kullanıcıya yansıtılarak finanse edilmektedir</w:t>
      </w:r>
      <w:r w:rsidR="00BF70D2" w:rsidRPr="00CF336B">
        <w:rPr>
          <w:lang w:val="tr-TR"/>
        </w:rPr>
        <w:t xml:space="preserve"> </w:t>
      </w:r>
      <w:sdt>
        <w:sdtPr>
          <w:rPr>
            <w:lang w:val="tr-TR"/>
          </w:rPr>
          <w:id w:val="1633671756"/>
          <w:citation/>
        </w:sdtPr>
        <w:sdtEndPr/>
        <w:sdtContent>
          <w:r w:rsidR="00BF70D2" w:rsidRPr="00CF336B">
            <w:rPr>
              <w:lang w:val="tr-TR"/>
            </w:rPr>
            <w:fldChar w:fldCharType="begin"/>
          </w:r>
          <w:r w:rsidR="00BF70D2" w:rsidRPr="00CF336B">
            <w:rPr>
              <w:lang w:val="tr-TR"/>
            </w:rPr>
            <w:instrText xml:space="preserve"> CITATION Ene231 \l 1055 </w:instrText>
          </w:r>
          <w:r w:rsidR="00BF70D2" w:rsidRPr="00CF336B">
            <w:rPr>
              <w:lang w:val="tr-TR"/>
            </w:rPr>
            <w:fldChar w:fldCharType="separate"/>
          </w:r>
          <w:r w:rsidR="00D95FF7">
            <w:rPr>
              <w:noProof/>
              <w:lang w:val="tr-TR"/>
            </w:rPr>
            <w:t>(Energy Regulatory Office, 2023)</w:t>
          </w:r>
          <w:r w:rsidR="00BF70D2" w:rsidRPr="00CF336B">
            <w:rPr>
              <w:lang w:val="tr-TR"/>
            </w:rPr>
            <w:fldChar w:fldCharType="end"/>
          </w:r>
        </w:sdtContent>
      </w:sdt>
      <w:r w:rsidR="00BF70D2" w:rsidRPr="00CF336B">
        <w:rPr>
          <w:lang w:val="tr-TR"/>
        </w:rPr>
        <w:t xml:space="preserve">. 2021 yılından itibaren yıllık </w:t>
      </w:r>
      <w:r w:rsidR="00A7427A" w:rsidRPr="00CF336B">
        <w:rPr>
          <w:lang w:val="tr-TR"/>
        </w:rPr>
        <w:t xml:space="preserve">maliyet </w:t>
      </w:r>
      <w:r w:rsidR="00A7427A" w:rsidRPr="00CF336B">
        <w:rPr>
          <w:lang w:val="tr-TR"/>
        </w:rPr>
        <w:fldChar w:fldCharType="begin"/>
      </w:r>
      <w:r w:rsidR="00A7427A" w:rsidRPr="00CF336B">
        <w:rPr>
          <w:lang w:val="tr-TR"/>
        </w:rPr>
        <w:instrText xml:space="preserve"> REF _Ref148966442 \h </w:instrText>
      </w:r>
      <w:r w:rsidR="00413DBB" w:rsidRPr="00CF336B">
        <w:rPr>
          <w:lang w:val="tr-TR"/>
        </w:rPr>
        <w:instrText xml:space="preserve"> \* MERGEFORMAT </w:instrText>
      </w:r>
      <w:r w:rsidR="00A7427A" w:rsidRPr="00CF336B">
        <w:rPr>
          <w:lang w:val="tr-TR"/>
        </w:rPr>
      </w:r>
      <w:r w:rsidR="00A7427A" w:rsidRPr="00CF336B">
        <w:rPr>
          <w:lang w:val="tr-TR"/>
        </w:rPr>
        <w:fldChar w:fldCharType="separate"/>
      </w:r>
      <w:r w:rsidR="001D6180" w:rsidRPr="00CF336B">
        <w:rPr>
          <w:lang w:val="tr-TR"/>
        </w:rPr>
        <w:t xml:space="preserve">Şekil </w:t>
      </w:r>
      <w:r w:rsidR="001D6180">
        <w:rPr>
          <w:noProof/>
          <w:lang w:val="tr-TR"/>
        </w:rPr>
        <w:t>28</w:t>
      </w:r>
      <w:r w:rsidR="00A7427A" w:rsidRPr="00CF336B">
        <w:rPr>
          <w:lang w:val="tr-TR"/>
        </w:rPr>
        <w:fldChar w:fldCharType="end"/>
      </w:r>
      <w:r w:rsidR="00A7427A" w:rsidRPr="00CF336B">
        <w:rPr>
          <w:lang w:val="tr-TR"/>
        </w:rPr>
        <w:t xml:space="preserve"> altında gösterilmektedir.</w:t>
      </w:r>
    </w:p>
    <w:p w14:paraId="6EA8679C" w14:textId="77777777" w:rsidR="00BF70D2" w:rsidRPr="00CF336B" w:rsidRDefault="002D6827" w:rsidP="004D4361">
      <w:pPr>
        <w:keepNext/>
        <w:spacing w:line="360" w:lineRule="auto"/>
        <w:jc w:val="both"/>
        <w:rPr>
          <w:lang w:val="tr-TR"/>
        </w:rPr>
      </w:pPr>
      <w:r w:rsidRPr="00CF336B">
        <w:rPr>
          <w:noProof/>
          <w:lang w:val="tr-TR"/>
        </w:rPr>
        <w:drawing>
          <wp:inline distT="0" distB="0" distL="0" distR="0" wp14:anchorId="48FEE02D" wp14:editId="628E81A8">
            <wp:extent cx="5797550" cy="2387600"/>
            <wp:effectExtent l="0" t="0" r="0" b="0"/>
            <wp:docPr id="859790398" name="Chart 1">
              <a:extLst xmlns:a="http://schemas.openxmlformats.org/drawingml/2006/main">
                <a:ext uri="{FF2B5EF4-FFF2-40B4-BE49-F238E27FC236}">
                  <a16:creationId xmlns:a16="http://schemas.microsoft.com/office/drawing/2014/main" id="{93C3A117-19A8-15FB-FE78-DE8433655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78B4D84" w14:textId="272FDA07" w:rsidR="002D6827" w:rsidRPr="00CF336B" w:rsidRDefault="00BF70D2" w:rsidP="004D4361">
      <w:pPr>
        <w:pStyle w:val="Caption"/>
        <w:spacing w:line="360" w:lineRule="auto"/>
        <w:jc w:val="center"/>
        <w:rPr>
          <w:color w:val="auto"/>
          <w:sz w:val="22"/>
          <w:szCs w:val="22"/>
          <w:lang w:val="tr-TR"/>
        </w:rPr>
      </w:pPr>
      <w:bookmarkStart w:id="129" w:name="_Ref148966442"/>
      <w:bookmarkStart w:id="130" w:name="_Toc156210482"/>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28</w:t>
      </w:r>
      <w:r w:rsidRPr="00CF336B">
        <w:rPr>
          <w:color w:val="auto"/>
          <w:sz w:val="22"/>
          <w:szCs w:val="22"/>
          <w:lang w:val="tr-TR"/>
        </w:rPr>
        <w:fldChar w:fldCharType="end"/>
      </w:r>
      <w:bookmarkEnd w:id="129"/>
      <w:r w:rsidRPr="00CF336B">
        <w:rPr>
          <w:color w:val="auto"/>
          <w:sz w:val="22"/>
          <w:szCs w:val="22"/>
          <w:lang w:val="tr-TR"/>
        </w:rPr>
        <w:t xml:space="preserve">. </w:t>
      </w:r>
      <w:r w:rsidR="00401CFC" w:rsidRPr="00CF336B">
        <w:rPr>
          <w:color w:val="auto"/>
          <w:sz w:val="22"/>
          <w:szCs w:val="22"/>
          <w:lang w:val="tr-TR"/>
        </w:rPr>
        <w:t xml:space="preserve">Polonya </w:t>
      </w:r>
      <w:r w:rsidRPr="00CF336B">
        <w:rPr>
          <w:color w:val="auto"/>
          <w:sz w:val="22"/>
          <w:szCs w:val="22"/>
          <w:lang w:val="tr-TR"/>
        </w:rPr>
        <w:t>Kapasite Mekanizmasının Yıllık Maliyeti</w:t>
      </w:r>
      <w:bookmarkEnd w:id="130"/>
    </w:p>
    <w:p w14:paraId="7FB7CDE1" w14:textId="35A96D5A" w:rsidR="002D6827" w:rsidRPr="00CF336B" w:rsidRDefault="002F0E9C" w:rsidP="004D4361">
      <w:pPr>
        <w:spacing w:line="360" w:lineRule="auto"/>
        <w:jc w:val="both"/>
        <w:rPr>
          <w:lang w:val="tr-TR"/>
        </w:rPr>
      </w:pPr>
      <w:r w:rsidRPr="00CF336B">
        <w:rPr>
          <w:lang w:val="tr-TR"/>
        </w:rPr>
        <w:t>Mekanizmanın uygulanması şeklinde b</w:t>
      </w:r>
      <w:r w:rsidR="002D6827" w:rsidRPr="00CF336B">
        <w:rPr>
          <w:lang w:val="tr-TR"/>
        </w:rPr>
        <w:t>ir arz eksiği veya talep fazlası sebebiyle şebekede yaşanacak olumsuzluklar PSE tarafından sekiz saat öncesinden tespit edilip kapasite sağlayıcılarına bildirilme</w:t>
      </w:r>
      <w:r w:rsidRPr="00CF336B">
        <w:rPr>
          <w:lang w:val="tr-TR"/>
        </w:rPr>
        <w:t>ktedir</w:t>
      </w:r>
      <w:r w:rsidR="002D6827" w:rsidRPr="00CF336B">
        <w:rPr>
          <w:lang w:val="tr-TR"/>
        </w:rPr>
        <w:t>. Kapasite ihalesinden hak kazanan katılımcılarından beklenen, kapasitenin gerekli durumlarda mekanizma kapsamında belirlenen toplam kapasitenin gerekli olan kapasite miktarına olan oranı kadar taahhüt ettikleri miktardan kapasite sağlamalarıdır</w:t>
      </w:r>
      <w:r w:rsidR="004642C4" w:rsidRPr="00CF336B">
        <w:rPr>
          <w:lang w:val="tr-TR"/>
        </w:rPr>
        <w:t>. Bu doğrultuda s</w:t>
      </w:r>
      <w:r w:rsidR="002D6827" w:rsidRPr="00CF336B">
        <w:rPr>
          <w:lang w:val="tr-TR"/>
        </w:rPr>
        <w:t xml:space="preserve">istemde mekanizma kapsamında belirlenen toplam miktarın </w:t>
      </w:r>
      <w:proofErr w:type="gramStart"/>
      <w:r w:rsidR="002D6827" w:rsidRPr="00CF336B">
        <w:rPr>
          <w:lang w:val="tr-TR"/>
        </w:rPr>
        <w:t>%70</w:t>
      </w:r>
      <w:proofErr w:type="gramEnd"/>
      <w:r w:rsidR="002D6827" w:rsidRPr="00CF336B">
        <w:rPr>
          <w:lang w:val="tr-TR"/>
        </w:rPr>
        <w:t>’i kadar bir kapasite ihtiyacı oluştuğunda her sağlayıcı taahhüt ettiği miktarın %70’i kadar kapasite sağlama</w:t>
      </w:r>
      <w:r w:rsidR="004642C4" w:rsidRPr="00CF336B">
        <w:rPr>
          <w:lang w:val="tr-TR"/>
        </w:rPr>
        <w:t>kla yükümlü olmaktadır</w:t>
      </w:r>
      <w:r w:rsidR="002D6827" w:rsidRPr="00CF336B">
        <w:rPr>
          <w:lang w:val="tr-TR"/>
        </w:rPr>
        <w:t>. Kontratlarındaki kapasiteyi sağlayamayan kapasite piyasası katılımcıları kapasite ödemeleri teslim edilmeyerek cezalandırılmaktadırlar.</w:t>
      </w:r>
    </w:p>
    <w:p w14:paraId="564187C7" w14:textId="1901DA0F" w:rsidR="002D6827" w:rsidRPr="00CF336B" w:rsidRDefault="0022583B" w:rsidP="004D4361">
      <w:pPr>
        <w:spacing w:line="360" w:lineRule="auto"/>
        <w:jc w:val="both"/>
        <w:rPr>
          <w:lang w:val="tr-TR"/>
        </w:rPr>
      </w:pPr>
      <w:r w:rsidRPr="00CF336B">
        <w:rPr>
          <w:lang w:val="tr-TR"/>
        </w:rPr>
        <w:t>Polonya’da kapasite i</w:t>
      </w:r>
      <w:r w:rsidR="002D6827" w:rsidRPr="00CF336B">
        <w:rPr>
          <w:lang w:val="tr-TR"/>
        </w:rPr>
        <w:t>haleler her sene yapılmaktadır. Plana göre, ana ihaleler teslim yılından beş sene önce yapılmaktadırlar (T-5), ek ihaleler ise teslim yıllarından bir önceki yıl (T-1) yapılmaktadırlar. Planlama yılı olan 2023 öncesi olan yılların ihaleleri mekanizmanın 2018’de yürürlüğe girmesi sebebiyle beş sene öncesinden yapıl</w:t>
      </w:r>
      <w:r w:rsidRPr="00CF336B">
        <w:rPr>
          <w:lang w:val="tr-TR"/>
        </w:rPr>
        <w:t>a</w:t>
      </w:r>
      <w:r w:rsidR="002D6827" w:rsidRPr="00CF336B">
        <w:rPr>
          <w:lang w:val="tr-TR"/>
        </w:rPr>
        <w:t>mamıştır.</w:t>
      </w:r>
    </w:p>
    <w:p w14:paraId="2B02C3F2" w14:textId="50845F7D" w:rsidR="002D6827" w:rsidRPr="00CF336B" w:rsidRDefault="002D6827" w:rsidP="004D4361">
      <w:pPr>
        <w:spacing w:line="360" w:lineRule="auto"/>
        <w:jc w:val="both"/>
        <w:rPr>
          <w:lang w:val="tr-TR"/>
        </w:rPr>
      </w:pPr>
      <w:r w:rsidRPr="00CF336B">
        <w:rPr>
          <w:lang w:val="tr-TR"/>
        </w:rPr>
        <w:t xml:space="preserve">İhaleler sonucunda yapılan kontratlara göre sağlanacak kapasiteler </w:t>
      </w:r>
      <w:r w:rsidR="00326ECD" w:rsidRPr="00CF336B">
        <w:rPr>
          <w:lang w:val="tr-TR"/>
        </w:rPr>
        <w:fldChar w:fldCharType="begin"/>
      </w:r>
      <w:r w:rsidR="00326ECD" w:rsidRPr="00CF336B">
        <w:rPr>
          <w:lang w:val="tr-TR"/>
        </w:rPr>
        <w:instrText xml:space="preserve"> REF _Ref148966741 \h </w:instrText>
      </w:r>
      <w:r w:rsidR="00413DBB" w:rsidRPr="00CF336B">
        <w:rPr>
          <w:lang w:val="tr-TR"/>
        </w:rPr>
        <w:instrText xml:space="preserve"> \* MERGEFORMAT </w:instrText>
      </w:r>
      <w:r w:rsidR="00326ECD" w:rsidRPr="00CF336B">
        <w:rPr>
          <w:lang w:val="tr-TR"/>
        </w:rPr>
      </w:r>
      <w:r w:rsidR="00326ECD" w:rsidRPr="00CF336B">
        <w:rPr>
          <w:lang w:val="tr-TR"/>
        </w:rPr>
        <w:fldChar w:fldCharType="separate"/>
      </w:r>
      <w:r w:rsidR="001D6180" w:rsidRPr="00CF336B">
        <w:rPr>
          <w:lang w:val="tr-TR"/>
        </w:rPr>
        <w:t xml:space="preserve">Şekil </w:t>
      </w:r>
      <w:r w:rsidR="001D6180">
        <w:rPr>
          <w:noProof/>
          <w:lang w:val="tr-TR"/>
        </w:rPr>
        <w:t>29</w:t>
      </w:r>
      <w:r w:rsidR="00326ECD" w:rsidRPr="00CF336B">
        <w:rPr>
          <w:lang w:val="tr-TR"/>
        </w:rPr>
        <w:fldChar w:fldCharType="end"/>
      </w:r>
      <w:r w:rsidR="00326ECD" w:rsidRPr="00CF336B">
        <w:rPr>
          <w:lang w:val="tr-TR"/>
        </w:rPr>
        <w:t>’</w:t>
      </w:r>
      <w:r w:rsidR="000C7A7B" w:rsidRPr="00CF336B">
        <w:rPr>
          <w:lang w:val="tr-TR"/>
        </w:rPr>
        <w:t>d</w:t>
      </w:r>
      <w:r w:rsidR="000408C7" w:rsidRPr="00CF336B">
        <w:rPr>
          <w:lang w:val="tr-TR"/>
        </w:rPr>
        <w:t>a</w:t>
      </w:r>
      <w:r w:rsidR="00326ECD" w:rsidRPr="00CF336B">
        <w:rPr>
          <w:lang w:val="tr-TR"/>
        </w:rPr>
        <w:t xml:space="preserve"> </w:t>
      </w:r>
      <w:r w:rsidRPr="00CF336B">
        <w:rPr>
          <w:lang w:val="tr-TR"/>
        </w:rPr>
        <w:t xml:space="preserve">verilmiştir. Grafikte yalnızca ana ihalelerin sonuçları gösterilmektedir. </w:t>
      </w:r>
      <w:proofErr w:type="gramStart"/>
      <w:r w:rsidRPr="00CF336B">
        <w:rPr>
          <w:lang w:val="tr-TR"/>
        </w:rPr>
        <w:t>2021</w:t>
      </w:r>
      <w:r w:rsidR="009734EF">
        <w:rPr>
          <w:lang w:val="tr-TR"/>
        </w:rPr>
        <w:t xml:space="preserve"> </w:t>
      </w:r>
      <w:r w:rsidRPr="00CF336B">
        <w:rPr>
          <w:lang w:val="tr-TR"/>
        </w:rPr>
        <w:t>-</w:t>
      </w:r>
      <w:proofErr w:type="gramEnd"/>
      <w:r w:rsidR="009734EF">
        <w:rPr>
          <w:lang w:val="tr-TR"/>
        </w:rPr>
        <w:t xml:space="preserve"> </w:t>
      </w:r>
      <w:r w:rsidRPr="00CF336B">
        <w:rPr>
          <w:lang w:val="tr-TR"/>
        </w:rPr>
        <w:t>2023 arası yapılan ek ihalelerle birlikte ihaleye konu olan senelerde kapasite artışları olmuştur ancak bu artışlarla ilgili sene için ana ihalelerce belirlenen kapasitede %10’dan fazla bir artışa sebep olmamıştır.</w:t>
      </w:r>
    </w:p>
    <w:p w14:paraId="3BD171ED" w14:textId="77777777" w:rsidR="00356D70" w:rsidRPr="00CF336B" w:rsidRDefault="002D6827" w:rsidP="004D4361">
      <w:pPr>
        <w:keepNext/>
        <w:spacing w:line="360" w:lineRule="auto"/>
        <w:jc w:val="both"/>
        <w:rPr>
          <w:lang w:val="tr-TR"/>
        </w:rPr>
      </w:pPr>
      <w:r w:rsidRPr="00CF336B">
        <w:rPr>
          <w:noProof/>
          <w:lang w:val="tr-TR"/>
        </w:rPr>
        <w:drawing>
          <wp:inline distT="0" distB="0" distL="0" distR="0" wp14:anchorId="77230561" wp14:editId="1010FBDA">
            <wp:extent cx="5943600" cy="3714292"/>
            <wp:effectExtent l="0" t="0" r="0" b="635"/>
            <wp:docPr id="1479113348" name="Chart 1">
              <a:extLst xmlns:a="http://schemas.openxmlformats.org/drawingml/2006/main">
                <a:ext uri="{FF2B5EF4-FFF2-40B4-BE49-F238E27FC236}">
                  <a16:creationId xmlns:a16="http://schemas.microsoft.com/office/drawing/2014/main" id="{4E786841-9547-8B34-C707-AEF0F3085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423EEE9" w14:textId="015025F7" w:rsidR="002D6827" w:rsidRPr="00CF336B" w:rsidRDefault="00356D70" w:rsidP="004D4361">
      <w:pPr>
        <w:pStyle w:val="Caption"/>
        <w:spacing w:line="360" w:lineRule="auto"/>
        <w:jc w:val="center"/>
        <w:rPr>
          <w:color w:val="auto"/>
          <w:sz w:val="22"/>
          <w:szCs w:val="22"/>
          <w:lang w:val="tr-TR"/>
        </w:rPr>
      </w:pPr>
      <w:bookmarkStart w:id="131" w:name="_Ref148966741"/>
      <w:bookmarkStart w:id="132" w:name="_Toc156210483"/>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29</w:t>
      </w:r>
      <w:r w:rsidRPr="00CF336B">
        <w:rPr>
          <w:color w:val="auto"/>
          <w:sz w:val="22"/>
          <w:szCs w:val="22"/>
          <w:lang w:val="tr-TR"/>
        </w:rPr>
        <w:fldChar w:fldCharType="end"/>
      </w:r>
      <w:bookmarkEnd w:id="131"/>
      <w:r w:rsidRPr="00CF336B">
        <w:rPr>
          <w:color w:val="auto"/>
          <w:sz w:val="22"/>
          <w:szCs w:val="22"/>
          <w:lang w:val="tr-TR"/>
        </w:rPr>
        <w:t xml:space="preserve">. </w:t>
      </w:r>
      <w:r w:rsidR="00401CFC" w:rsidRPr="00CF336B">
        <w:rPr>
          <w:color w:val="auto"/>
          <w:sz w:val="22"/>
          <w:szCs w:val="22"/>
          <w:lang w:val="tr-TR"/>
        </w:rPr>
        <w:t xml:space="preserve">Polonya </w:t>
      </w:r>
      <w:r w:rsidRPr="00CF336B">
        <w:rPr>
          <w:color w:val="auto"/>
          <w:sz w:val="22"/>
          <w:szCs w:val="22"/>
          <w:lang w:val="tr-TR"/>
        </w:rPr>
        <w:t>Teslimat Yıllarına Göre Ana İhaleler ve İhale Edilen Toplam Kapasite</w:t>
      </w:r>
      <w:bookmarkEnd w:id="132"/>
    </w:p>
    <w:p w14:paraId="11912BE0" w14:textId="2D933CD7" w:rsidR="002D6827" w:rsidRPr="00CF336B" w:rsidRDefault="002D6827" w:rsidP="004D4361">
      <w:pPr>
        <w:spacing w:line="360" w:lineRule="auto"/>
        <w:jc w:val="both"/>
        <w:rPr>
          <w:i/>
          <w:iCs/>
          <w:lang w:val="tr-TR"/>
        </w:rPr>
      </w:pPr>
    </w:p>
    <w:p w14:paraId="1CFFF730" w14:textId="250ABE68" w:rsidR="0001227D" w:rsidRPr="00CF336B" w:rsidRDefault="0001227D" w:rsidP="004D4361">
      <w:pPr>
        <w:spacing w:line="360" w:lineRule="auto"/>
        <w:jc w:val="both"/>
        <w:rPr>
          <w:lang w:val="tr-TR"/>
        </w:rPr>
      </w:pPr>
      <w:r w:rsidRPr="00CF336B">
        <w:rPr>
          <w:lang w:val="tr-TR"/>
        </w:rPr>
        <w:t xml:space="preserve">İhale teslim yılı ve birim kapasite için belirlenen tutar </w:t>
      </w:r>
      <w:r w:rsidRPr="00CF336B">
        <w:rPr>
          <w:lang w:val="tr-TR"/>
        </w:rPr>
        <w:fldChar w:fldCharType="begin"/>
      </w:r>
      <w:r w:rsidRPr="00CF336B">
        <w:rPr>
          <w:lang w:val="tr-TR"/>
        </w:rPr>
        <w:instrText xml:space="preserve"> REF _Ref148966916 \h </w:instrText>
      </w:r>
      <w:r w:rsidR="00413DBB" w:rsidRPr="00CF336B">
        <w:rPr>
          <w:lang w:val="tr-TR"/>
        </w:rPr>
        <w:instrText xml:space="preserve"> \* MERGEFORMAT </w:instrText>
      </w:r>
      <w:r w:rsidRPr="00CF336B">
        <w:rPr>
          <w:lang w:val="tr-TR"/>
        </w:rPr>
      </w:r>
      <w:r w:rsidRPr="00CF336B">
        <w:rPr>
          <w:lang w:val="tr-TR"/>
        </w:rPr>
        <w:fldChar w:fldCharType="separate"/>
      </w:r>
      <w:r w:rsidRPr="00CF336B">
        <w:rPr>
          <w:lang w:val="tr-TR"/>
        </w:rPr>
        <w:t xml:space="preserve">Tablo </w:t>
      </w:r>
      <w:r w:rsidRPr="00CF336B">
        <w:rPr>
          <w:noProof/>
          <w:lang w:val="tr-TR"/>
        </w:rPr>
        <w:t>6</w:t>
      </w:r>
      <w:r w:rsidRPr="00CF336B">
        <w:rPr>
          <w:lang w:val="tr-TR"/>
        </w:rPr>
        <w:fldChar w:fldCharType="end"/>
      </w:r>
      <w:r w:rsidRPr="00CF336B">
        <w:rPr>
          <w:lang w:val="tr-TR"/>
        </w:rPr>
        <w:t>’da gösterilmektedir.</w:t>
      </w:r>
    </w:p>
    <w:p w14:paraId="15F7723E" w14:textId="6739DF30" w:rsidR="0001227D" w:rsidRPr="00CF336B" w:rsidRDefault="0001227D" w:rsidP="004D4361">
      <w:pPr>
        <w:pStyle w:val="Caption"/>
        <w:keepNext/>
        <w:spacing w:line="360" w:lineRule="auto"/>
        <w:rPr>
          <w:color w:val="auto"/>
          <w:sz w:val="22"/>
          <w:szCs w:val="22"/>
          <w:lang w:val="tr-TR"/>
        </w:rPr>
      </w:pPr>
      <w:bookmarkStart w:id="133" w:name="_Ref148966916"/>
      <w:bookmarkStart w:id="134" w:name="_Toc156210501"/>
      <w:r w:rsidRPr="00CF336B">
        <w:rPr>
          <w:color w:val="auto"/>
          <w:sz w:val="22"/>
          <w:szCs w:val="22"/>
          <w:lang w:val="tr-TR"/>
        </w:rPr>
        <w:t xml:space="preserve">Tablo </w:t>
      </w:r>
      <w:r w:rsidRPr="00CF336B">
        <w:rPr>
          <w:color w:val="auto"/>
          <w:sz w:val="22"/>
          <w:szCs w:val="22"/>
          <w:lang w:val="tr-TR"/>
        </w:rPr>
        <w:fldChar w:fldCharType="begin"/>
      </w:r>
      <w:r w:rsidRPr="00CF336B">
        <w:rPr>
          <w:color w:val="auto"/>
          <w:sz w:val="22"/>
          <w:szCs w:val="22"/>
          <w:lang w:val="tr-TR"/>
        </w:rPr>
        <w:instrText xml:space="preserve"> SEQ Tablo \* ARABIC </w:instrText>
      </w:r>
      <w:r w:rsidRPr="00CF336B">
        <w:rPr>
          <w:color w:val="auto"/>
          <w:sz w:val="22"/>
          <w:szCs w:val="22"/>
          <w:lang w:val="tr-TR"/>
        </w:rPr>
        <w:fldChar w:fldCharType="separate"/>
      </w:r>
      <w:r w:rsidR="00A22AF1" w:rsidRPr="00CF336B">
        <w:rPr>
          <w:noProof/>
          <w:color w:val="auto"/>
          <w:sz w:val="22"/>
          <w:szCs w:val="22"/>
          <w:lang w:val="tr-TR"/>
        </w:rPr>
        <w:t>6</w:t>
      </w:r>
      <w:r w:rsidRPr="00CF336B">
        <w:rPr>
          <w:color w:val="auto"/>
          <w:sz w:val="22"/>
          <w:szCs w:val="22"/>
          <w:lang w:val="tr-TR"/>
        </w:rPr>
        <w:fldChar w:fldCharType="end"/>
      </w:r>
      <w:bookmarkEnd w:id="133"/>
      <w:r w:rsidRPr="00CF336B">
        <w:rPr>
          <w:color w:val="auto"/>
          <w:sz w:val="22"/>
          <w:szCs w:val="22"/>
          <w:lang w:val="tr-TR"/>
        </w:rPr>
        <w:t>. Birim Kapasite Başına Verilen Destek Tutarı</w:t>
      </w:r>
      <w:bookmarkEnd w:id="134"/>
    </w:p>
    <w:tbl>
      <w:tblPr>
        <w:tblStyle w:val="TableGrid"/>
        <w:tblW w:w="9586" w:type="dxa"/>
        <w:tblLook w:val="04A0" w:firstRow="1" w:lastRow="0" w:firstColumn="1" w:lastColumn="0" w:noHBand="0" w:noVBand="1"/>
      </w:tblPr>
      <w:tblGrid>
        <w:gridCol w:w="1404"/>
        <w:gridCol w:w="1168"/>
        <w:gridCol w:w="1169"/>
        <w:gridCol w:w="1169"/>
        <w:gridCol w:w="1169"/>
        <w:gridCol w:w="1169"/>
        <w:gridCol w:w="1169"/>
        <w:gridCol w:w="1169"/>
      </w:tblGrid>
      <w:tr w:rsidR="004D5285" w:rsidRPr="00CF336B" w14:paraId="7D5793F8" w14:textId="77777777" w:rsidTr="003841CB">
        <w:tc>
          <w:tcPr>
            <w:tcW w:w="1404" w:type="dxa"/>
            <w:shd w:val="clear" w:color="auto" w:fill="2F5496" w:themeFill="accent1" w:themeFillShade="BF"/>
          </w:tcPr>
          <w:p w14:paraId="509EBEA7" w14:textId="217BDA83"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İhalenin Yapıldığı Yıl</w:t>
            </w:r>
          </w:p>
        </w:tc>
        <w:tc>
          <w:tcPr>
            <w:tcW w:w="1168" w:type="dxa"/>
            <w:shd w:val="clear" w:color="auto" w:fill="1F4E79" w:themeFill="accent5" w:themeFillShade="80"/>
            <w:vAlign w:val="center"/>
          </w:tcPr>
          <w:p w14:paraId="7504E4A2" w14:textId="235BC0ED"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2018</w:t>
            </w:r>
          </w:p>
        </w:tc>
        <w:tc>
          <w:tcPr>
            <w:tcW w:w="1169" w:type="dxa"/>
            <w:shd w:val="clear" w:color="auto" w:fill="1F4E79" w:themeFill="accent5" w:themeFillShade="80"/>
            <w:vAlign w:val="center"/>
          </w:tcPr>
          <w:p w14:paraId="57C3FE21" w14:textId="03AEB0D0"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2018</w:t>
            </w:r>
          </w:p>
        </w:tc>
        <w:tc>
          <w:tcPr>
            <w:tcW w:w="1169" w:type="dxa"/>
            <w:shd w:val="clear" w:color="auto" w:fill="1F4E79" w:themeFill="accent5" w:themeFillShade="80"/>
            <w:vAlign w:val="center"/>
          </w:tcPr>
          <w:p w14:paraId="14F92BC1" w14:textId="131FE48D"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2018</w:t>
            </w:r>
          </w:p>
        </w:tc>
        <w:tc>
          <w:tcPr>
            <w:tcW w:w="1169" w:type="dxa"/>
            <w:shd w:val="clear" w:color="auto" w:fill="1F4E79" w:themeFill="accent5" w:themeFillShade="80"/>
            <w:vAlign w:val="center"/>
          </w:tcPr>
          <w:p w14:paraId="361056F1" w14:textId="5E6E826D"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2019</w:t>
            </w:r>
          </w:p>
        </w:tc>
        <w:tc>
          <w:tcPr>
            <w:tcW w:w="1169" w:type="dxa"/>
            <w:shd w:val="clear" w:color="auto" w:fill="1F4E79" w:themeFill="accent5" w:themeFillShade="80"/>
            <w:vAlign w:val="center"/>
          </w:tcPr>
          <w:p w14:paraId="2BE42E7F" w14:textId="0FB7DD80"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2020</w:t>
            </w:r>
          </w:p>
        </w:tc>
        <w:tc>
          <w:tcPr>
            <w:tcW w:w="1169" w:type="dxa"/>
            <w:shd w:val="clear" w:color="auto" w:fill="1F4E79" w:themeFill="accent5" w:themeFillShade="80"/>
            <w:vAlign w:val="center"/>
          </w:tcPr>
          <w:p w14:paraId="6BD89AE5" w14:textId="074D9F4C"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2021</w:t>
            </w:r>
          </w:p>
        </w:tc>
        <w:tc>
          <w:tcPr>
            <w:tcW w:w="1169" w:type="dxa"/>
            <w:shd w:val="clear" w:color="auto" w:fill="1F4E79" w:themeFill="accent5" w:themeFillShade="80"/>
            <w:vAlign w:val="center"/>
          </w:tcPr>
          <w:p w14:paraId="6FBB3E72" w14:textId="247088B8" w:rsidR="004D5285" w:rsidRPr="00CF336B" w:rsidRDefault="004D5285" w:rsidP="004D4361">
            <w:pPr>
              <w:spacing w:line="360" w:lineRule="auto"/>
              <w:jc w:val="center"/>
              <w:rPr>
                <w:b/>
                <w:bCs/>
                <w:color w:val="FFFFFF" w:themeColor="background1"/>
                <w:lang w:val="tr-TR"/>
              </w:rPr>
            </w:pPr>
            <w:r>
              <w:rPr>
                <w:b/>
                <w:bCs/>
                <w:color w:val="FFFFFF" w:themeColor="background1"/>
                <w:lang w:val="tr-TR"/>
              </w:rPr>
              <w:t>2022</w:t>
            </w:r>
          </w:p>
        </w:tc>
      </w:tr>
      <w:tr w:rsidR="002D6827" w:rsidRPr="00CF336B" w14:paraId="28A8C285" w14:textId="77777777" w:rsidTr="003841CB">
        <w:tc>
          <w:tcPr>
            <w:tcW w:w="1404" w:type="dxa"/>
            <w:shd w:val="clear" w:color="auto" w:fill="2F5496" w:themeFill="accent1" w:themeFillShade="BF"/>
          </w:tcPr>
          <w:p w14:paraId="094CF1F1"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İhale Teslim Yılı</w:t>
            </w:r>
          </w:p>
        </w:tc>
        <w:tc>
          <w:tcPr>
            <w:tcW w:w="1168" w:type="dxa"/>
            <w:shd w:val="clear" w:color="auto" w:fill="1F4E79" w:themeFill="accent5" w:themeFillShade="80"/>
            <w:vAlign w:val="center"/>
          </w:tcPr>
          <w:p w14:paraId="67EA5B8D"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2021</w:t>
            </w:r>
          </w:p>
        </w:tc>
        <w:tc>
          <w:tcPr>
            <w:tcW w:w="1169" w:type="dxa"/>
            <w:shd w:val="clear" w:color="auto" w:fill="1F4E79" w:themeFill="accent5" w:themeFillShade="80"/>
            <w:vAlign w:val="center"/>
          </w:tcPr>
          <w:p w14:paraId="24C7287C"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2022</w:t>
            </w:r>
          </w:p>
        </w:tc>
        <w:tc>
          <w:tcPr>
            <w:tcW w:w="1169" w:type="dxa"/>
            <w:shd w:val="clear" w:color="auto" w:fill="1F4E79" w:themeFill="accent5" w:themeFillShade="80"/>
            <w:vAlign w:val="center"/>
          </w:tcPr>
          <w:p w14:paraId="0768E4FB"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2023</w:t>
            </w:r>
          </w:p>
        </w:tc>
        <w:tc>
          <w:tcPr>
            <w:tcW w:w="1169" w:type="dxa"/>
            <w:shd w:val="clear" w:color="auto" w:fill="1F4E79" w:themeFill="accent5" w:themeFillShade="80"/>
            <w:vAlign w:val="center"/>
          </w:tcPr>
          <w:p w14:paraId="5E25330B"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2024</w:t>
            </w:r>
          </w:p>
        </w:tc>
        <w:tc>
          <w:tcPr>
            <w:tcW w:w="1169" w:type="dxa"/>
            <w:shd w:val="clear" w:color="auto" w:fill="1F4E79" w:themeFill="accent5" w:themeFillShade="80"/>
            <w:vAlign w:val="center"/>
          </w:tcPr>
          <w:p w14:paraId="5424203C"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2025</w:t>
            </w:r>
          </w:p>
        </w:tc>
        <w:tc>
          <w:tcPr>
            <w:tcW w:w="1169" w:type="dxa"/>
            <w:shd w:val="clear" w:color="auto" w:fill="1F4E79" w:themeFill="accent5" w:themeFillShade="80"/>
            <w:vAlign w:val="center"/>
          </w:tcPr>
          <w:p w14:paraId="08F58594"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2026</w:t>
            </w:r>
          </w:p>
        </w:tc>
        <w:tc>
          <w:tcPr>
            <w:tcW w:w="1169" w:type="dxa"/>
            <w:shd w:val="clear" w:color="auto" w:fill="1F4E79" w:themeFill="accent5" w:themeFillShade="80"/>
            <w:vAlign w:val="center"/>
          </w:tcPr>
          <w:p w14:paraId="4E1221D5" w14:textId="77777777" w:rsidR="002D6827" w:rsidRPr="00CF336B" w:rsidRDefault="002D6827" w:rsidP="004D4361">
            <w:pPr>
              <w:spacing w:line="360" w:lineRule="auto"/>
              <w:jc w:val="center"/>
              <w:rPr>
                <w:b/>
                <w:bCs/>
                <w:color w:val="FFFFFF" w:themeColor="background1"/>
                <w:lang w:val="tr-TR"/>
              </w:rPr>
            </w:pPr>
            <w:r w:rsidRPr="00CF336B">
              <w:rPr>
                <w:b/>
                <w:bCs/>
                <w:color w:val="FFFFFF" w:themeColor="background1"/>
                <w:lang w:val="tr-TR"/>
              </w:rPr>
              <w:t>2027</w:t>
            </w:r>
          </w:p>
        </w:tc>
      </w:tr>
      <w:tr w:rsidR="002D6827" w:rsidRPr="00CF336B" w14:paraId="440EAC47" w14:textId="77777777">
        <w:tc>
          <w:tcPr>
            <w:tcW w:w="1404" w:type="dxa"/>
            <w:shd w:val="clear" w:color="auto" w:fill="2F5496" w:themeFill="accent1" w:themeFillShade="BF"/>
          </w:tcPr>
          <w:p w14:paraId="6D3B2F7F" w14:textId="4BC779A2" w:rsidR="002D6827" w:rsidRPr="00CF336B" w:rsidRDefault="001149C5" w:rsidP="004D4361">
            <w:pPr>
              <w:spacing w:line="360" w:lineRule="auto"/>
              <w:jc w:val="center"/>
              <w:rPr>
                <w:b/>
                <w:bCs/>
                <w:color w:val="FFFFFF" w:themeColor="background1"/>
                <w:lang w:val="tr-TR"/>
              </w:rPr>
            </w:pPr>
            <w:r w:rsidRPr="00CF336B">
              <w:rPr>
                <w:b/>
                <w:bCs/>
                <w:color w:val="FFFFFF" w:themeColor="background1"/>
                <w:lang w:val="tr-TR"/>
              </w:rPr>
              <w:t>Tutar</w:t>
            </w:r>
            <w:r w:rsidR="002D6827" w:rsidRPr="00CF336B">
              <w:rPr>
                <w:b/>
                <w:bCs/>
                <w:color w:val="FFFFFF" w:themeColor="background1"/>
                <w:lang w:val="tr-TR"/>
              </w:rPr>
              <w:t xml:space="preserve"> (€/kW)</w:t>
            </w:r>
          </w:p>
        </w:tc>
        <w:tc>
          <w:tcPr>
            <w:tcW w:w="1168" w:type="dxa"/>
            <w:vAlign w:val="center"/>
          </w:tcPr>
          <w:p w14:paraId="129A0A69" w14:textId="77777777" w:rsidR="002D6827" w:rsidRPr="00CF336B" w:rsidRDefault="002D6827" w:rsidP="004D4361">
            <w:pPr>
              <w:spacing w:line="360" w:lineRule="auto"/>
              <w:jc w:val="center"/>
              <w:rPr>
                <w:lang w:val="tr-TR"/>
              </w:rPr>
            </w:pPr>
            <w:r w:rsidRPr="00CF336B">
              <w:rPr>
                <w:lang w:val="tr-TR"/>
              </w:rPr>
              <w:t>54,5</w:t>
            </w:r>
          </w:p>
        </w:tc>
        <w:tc>
          <w:tcPr>
            <w:tcW w:w="1169" w:type="dxa"/>
            <w:vAlign w:val="center"/>
          </w:tcPr>
          <w:p w14:paraId="3A8E0795" w14:textId="77777777" w:rsidR="002D6827" w:rsidRPr="00CF336B" w:rsidRDefault="002D6827" w:rsidP="004D4361">
            <w:pPr>
              <w:spacing w:line="360" w:lineRule="auto"/>
              <w:jc w:val="center"/>
              <w:rPr>
                <w:lang w:val="tr-TR"/>
              </w:rPr>
            </w:pPr>
            <w:r w:rsidRPr="00CF336B">
              <w:rPr>
                <w:lang w:val="tr-TR"/>
              </w:rPr>
              <w:t>45</w:t>
            </w:r>
          </w:p>
        </w:tc>
        <w:tc>
          <w:tcPr>
            <w:tcW w:w="1169" w:type="dxa"/>
            <w:vAlign w:val="center"/>
          </w:tcPr>
          <w:p w14:paraId="75C5A3C3" w14:textId="77777777" w:rsidR="002D6827" w:rsidRPr="00CF336B" w:rsidRDefault="002D6827" w:rsidP="004D4361">
            <w:pPr>
              <w:spacing w:line="360" w:lineRule="auto"/>
              <w:jc w:val="center"/>
              <w:rPr>
                <w:lang w:val="tr-TR"/>
              </w:rPr>
            </w:pPr>
            <w:r w:rsidRPr="00CF336B">
              <w:rPr>
                <w:lang w:val="tr-TR"/>
              </w:rPr>
              <w:t>45,9</w:t>
            </w:r>
          </w:p>
        </w:tc>
        <w:tc>
          <w:tcPr>
            <w:tcW w:w="1169" w:type="dxa"/>
            <w:vAlign w:val="center"/>
          </w:tcPr>
          <w:p w14:paraId="3A28585E" w14:textId="77777777" w:rsidR="002D6827" w:rsidRPr="00CF336B" w:rsidRDefault="002D6827" w:rsidP="004D4361">
            <w:pPr>
              <w:spacing w:line="360" w:lineRule="auto"/>
              <w:jc w:val="center"/>
              <w:rPr>
                <w:lang w:val="tr-TR"/>
              </w:rPr>
            </w:pPr>
            <w:r w:rsidRPr="00CF336B">
              <w:rPr>
                <w:lang w:val="tr-TR"/>
              </w:rPr>
              <w:t>59</w:t>
            </w:r>
          </w:p>
        </w:tc>
        <w:tc>
          <w:tcPr>
            <w:tcW w:w="1169" w:type="dxa"/>
            <w:vAlign w:val="center"/>
          </w:tcPr>
          <w:p w14:paraId="38D2D09C" w14:textId="77777777" w:rsidR="002D6827" w:rsidRPr="00CF336B" w:rsidRDefault="002D6827" w:rsidP="004D4361">
            <w:pPr>
              <w:spacing w:line="360" w:lineRule="auto"/>
              <w:jc w:val="center"/>
              <w:rPr>
                <w:lang w:val="tr-TR"/>
              </w:rPr>
            </w:pPr>
            <w:r w:rsidRPr="00CF336B">
              <w:rPr>
                <w:lang w:val="tr-TR"/>
              </w:rPr>
              <w:t>39,3</w:t>
            </w:r>
          </w:p>
        </w:tc>
        <w:tc>
          <w:tcPr>
            <w:tcW w:w="1169" w:type="dxa"/>
            <w:vAlign w:val="center"/>
          </w:tcPr>
          <w:p w14:paraId="0A99CEEF" w14:textId="77777777" w:rsidR="002D6827" w:rsidRPr="00CF336B" w:rsidRDefault="002D6827" w:rsidP="004D4361">
            <w:pPr>
              <w:spacing w:line="360" w:lineRule="auto"/>
              <w:jc w:val="center"/>
              <w:rPr>
                <w:lang w:val="tr-TR"/>
              </w:rPr>
            </w:pPr>
            <w:r w:rsidRPr="00CF336B">
              <w:rPr>
                <w:lang w:val="tr-TR"/>
              </w:rPr>
              <w:t>90,7</w:t>
            </w:r>
          </w:p>
        </w:tc>
        <w:tc>
          <w:tcPr>
            <w:tcW w:w="1169" w:type="dxa"/>
            <w:vAlign w:val="center"/>
          </w:tcPr>
          <w:p w14:paraId="49A46DA2" w14:textId="77777777" w:rsidR="002D6827" w:rsidRPr="00CF336B" w:rsidRDefault="002D6827" w:rsidP="004D4361">
            <w:pPr>
              <w:spacing w:line="360" w:lineRule="auto"/>
              <w:jc w:val="center"/>
              <w:rPr>
                <w:lang w:val="tr-TR"/>
              </w:rPr>
            </w:pPr>
            <w:r w:rsidRPr="00CF336B">
              <w:rPr>
                <w:lang w:val="tr-TR"/>
              </w:rPr>
              <w:t>92,3</w:t>
            </w:r>
          </w:p>
        </w:tc>
      </w:tr>
    </w:tbl>
    <w:p w14:paraId="01F40420" w14:textId="385201BF" w:rsidR="002D6827" w:rsidRPr="00CF336B" w:rsidRDefault="002D6827" w:rsidP="004D4361">
      <w:pPr>
        <w:spacing w:line="360" w:lineRule="auto"/>
        <w:jc w:val="both"/>
        <w:rPr>
          <w:lang w:val="tr-TR"/>
        </w:rPr>
      </w:pPr>
      <w:r w:rsidRPr="00CF336B">
        <w:rPr>
          <w:lang w:val="tr-TR"/>
        </w:rPr>
        <w:t>*(1€ = 4</w:t>
      </w:r>
      <w:r w:rsidR="009734EF">
        <w:rPr>
          <w:lang w:val="tr-TR"/>
        </w:rPr>
        <w:t>,</w:t>
      </w:r>
      <w:r w:rsidRPr="00CF336B">
        <w:rPr>
          <w:lang w:val="tr-TR"/>
        </w:rPr>
        <w:t>4 PLN)</w:t>
      </w:r>
    </w:p>
    <w:p w14:paraId="094EFB6C" w14:textId="77777777" w:rsidR="002D6827" w:rsidRPr="00CF336B" w:rsidRDefault="002D6827" w:rsidP="004D4361">
      <w:pPr>
        <w:spacing w:line="360" w:lineRule="auto"/>
        <w:jc w:val="both"/>
        <w:rPr>
          <w:lang w:val="tr-TR"/>
        </w:rPr>
      </w:pPr>
      <w:r w:rsidRPr="00181C98">
        <w:rPr>
          <w:lang w:val="tr-TR"/>
        </w:rPr>
        <w:t>İlk ana ihale 2021 yılı için yapılmıştır, yapılan ana ihalede 160 kontrat yapılmıştır ve 54,5€/kW fiyat belirlenmiştir.  2025 yılı için yapılan ana ihalede</w:t>
      </w:r>
      <w:r w:rsidRPr="00CF336B">
        <w:rPr>
          <w:lang w:val="tr-TR"/>
        </w:rPr>
        <w:t xml:space="preserve"> ilk kez bir yabancı katılımcı yer almıştır ancak yalnızca 2025 yılı için 80 </w:t>
      </w:r>
      <w:proofErr w:type="spellStart"/>
      <w:r w:rsidRPr="00CF336B">
        <w:rPr>
          <w:lang w:val="tr-TR"/>
        </w:rPr>
        <w:t>MW’lık</w:t>
      </w:r>
      <w:proofErr w:type="spellEnd"/>
      <w:r w:rsidRPr="00CF336B">
        <w:rPr>
          <w:lang w:val="tr-TR"/>
        </w:rPr>
        <w:t xml:space="preserve"> bir taahhütte bulunmuştur. Sonraki senelerde Litvanya ve Slovakya’dan katılımcılar olmuştur ancak kW başına yapılacak ödeme yabancı katılımcılar için farklılık göstermektedir ve belirlenen fiyattan daha düşüktür.</w:t>
      </w:r>
    </w:p>
    <w:p w14:paraId="36100FC4" w14:textId="56C21B9D" w:rsidR="002D6827" w:rsidRPr="00181C98" w:rsidRDefault="002D6827" w:rsidP="004D4361">
      <w:pPr>
        <w:spacing w:line="360" w:lineRule="auto"/>
        <w:jc w:val="both"/>
        <w:rPr>
          <w:lang w:val="tr-TR"/>
        </w:rPr>
      </w:pPr>
      <w:r w:rsidRPr="00CF336B">
        <w:rPr>
          <w:lang w:val="tr-TR"/>
        </w:rPr>
        <w:t>550 g/kWh CO</w:t>
      </w:r>
      <w:r w:rsidRPr="00CF336B">
        <w:rPr>
          <w:vertAlign w:val="subscript"/>
          <w:lang w:val="tr-TR"/>
        </w:rPr>
        <w:t>2</w:t>
      </w:r>
      <w:r w:rsidRPr="00CF336B">
        <w:rPr>
          <w:lang w:val="tr-TR"/>
        </w:rPr>
        <w:t xml:space="preserve"> limit kuralına uymayan katılımcıların kapasite piyasasından gelir elde edemeyeceklerinin </w:t>
      </w:r>
      <w:r w:rsidRPr="00181C98">
        <w:rPr>
          <w:lang w:val="tr-TR"/>
        </w:rPr>
        <w:t>açıklanmasının ardından, 2026 yılı için yapılan ihalede katılımcı yapısı önemli şekilde değişmiştir. 2021</w:t>
      </w:r>
      <w:r w:rsidR="009734EF" w:rsidRPr="00181C98">
        <w:rPr>
          <w:lang w:val="tr-TR"/>
        </w:rPr>
        <w:t>-</w:t>
      </w:r>
      <w:r w:rsidRPr="00181C98">
        <w:rPr>
          <w:lang w:val="tr-TR"/>
        </w:rPr>
        <w:t xml:space="preserve">2025 arası için yapılan ihalelerde talep tarafı üniteleri kapasitenin yaklaşık </w:t>
      </w:r>
      <w:proofErr w:type="gramStart"/>
      <w:r w:rsidRPr="00181C98">
        <w:rPr>
          <w:lang w:val="tr-TR"/>
        </w:rPr>
        <w:t>%8</w:t>
      </w:r>
      <w:proofErr w:type="gramEnd"/>
      <w:r w:rsidRPr="00181C98">
        <w:rPr>
          <w:lang w:val="tr-TR"/>
        </w:rPr>
        <w:t xml:space="preserve"> iken 2026 için yapılan ihalede bu rakam %20’ye çı</w:t>
      </w:r>
      <w:r w:rsidR="00B241F7" w:rsidRPr="00181C98">
        <w:rPr>
          <w:lang w:val="tr-TR"/>
        </w:rPr>
        <w:t>k</w:t>
      </w:r>
      <w:r w:rsidRPr="00181C98">
        <w:rPr>
          <w:lang w:val="tr-TR"/>
        </w:rPr>
        <w:t>mıştır</w:t>
      </w:r>
      <w:r w:rsidR="00B241F7" w:rsidRPr="00181C98">
        <w:rPr>
          <w:lang w:val="tr-TR"/>
        </w:rPr>
        <w:t>. Yine bu ihalelerde</w:t>
      </w:r>
      <w:r w:rsidRPr="00181C98">
        <w:rPr>
          <w:lang w:val="tr-TR"/>
        </w:rPr>
        <w:t xml:space="preserve">, yeni santrallerin payı ise </w:t>
      </w:r>
      <w:proofErr w:type="gramStart"/>
      <w:r w:rsidRPr="00181C98">
        <w:rPr>
          <w:lang w:val="tr-TR"/>
        </w:rPr>
        <w:t>%12</w:t>
      </w:r>
      <w:proofErr w:type="gramEnd"/>
      <w:r w:rsidRPr="00181C98">
        <w:rPr>
          <w:lang w:val="tr-TR"/>
        </w:rPr>
        <w:t xml:space="preserve">’den %30’a </w:t>
      </w:r>
      <w:r w:rsidR="00B241F7" w:rsidRPr="00181C98">
        <w:rPr>
          <w:lang w:val="tr-TR"/>
        </w:rPr>
        <w:t>artış göstermiştir</w:t>
      </w:r>
      <w:r w:rsidRPr="00181C98">
        <w:rPr>
          <w:lang w:val="tr-TR"/>
        </w:rPr>
        <w:t xml:space="preserve">. Bu durum aynı dönemlerde mevcut santrallerin mekanizma altında dağıtılan kapasitedeki paylarının </w:t>
      </w:r>
      <w:proofErr w:type="gramStart"/>
      <w:r w:rsidRPr="00181C98">
        <w:rPr>
          <w:lang w:val="tr-TR"/>
        </w:rPr>
        <w:t>%59</w:t>
      </w:r>
      <w:proofErr w:type="gramEnd"/>
      <w:r w:rsidRPr="00181C98">
        <w:rPr>
          <w:lang w:val="tr-TR"/>
        </w:rPr>
        <w:t>’dan %37’ye düşmesine sebep olmuştur.</w:t>
      </w:r>
      <w:sdt>
        <w:sdtPr>
          <w:rPr>
            <w:lang w:val="tr-TR"/>
          </w:rPr>
          <w:id w:val="1204443846"/>
          <w:citation/>
        </w:sdtPr>
        <w:sdtEndPr/>
        <w:sdtContent>
          <w:r w:rsidR="0011240D" w:rsidRPr="00181C98">
            <w:rPr>
              <w:lang w:val="tr-TR"/>
            </w:rPr>
            <w:fldChar w:fldCharType="begin"/>
          </w:r>
          <w:r w:rsidR="0011240D" w:rsidRPr="00181C98">
            <w:rPr>
              <w:lang w:val="tr-TR"/>
            </w:rPr>
            <w:instrText xml:space="preserve"> CITATION Ene231 \l 1055 </w:instrText>
          </w:r>
          <w:r w:rsidR="0011240D" w:rsidRPr="00181C98">
            <w:rPr>
              <w:lang w:val="tr-TR"/>
            </w:rPr>
            <w:fldChar w:fldCharType="separate"/>
          </w:r>
          <w:r w:rsidR="00D95FF7" w:rsidRPr="00181C98">
            <w:rPr>
              <w:noProof/>
              <w:lang w:val="tr-TR"/>
            </w:rPr>
            <w:t xml:space="preserve"> (Energy Regulatory Office, 2023)</w:t>
          </w:r>
          <w:r w:rsidR="0011240D" w:rsidRPr="00181C98">
            <w:rPr>
              <w:lang w:val="tr-TR"/>
            </w:rPr>
            <w:fldChar w:fldCharType="end"/>
          </w:r>
        </w:sdtContent>
      </w:sdt>
      <w:r w:rsidR="0011240D" w:rsidRPr="00181C98">
        <w:rPr>
          <w:lang w:val="tr-TR"/>
        </w:rPr>
        <w:t>.</w:t>
      </w:r>
    </w:p>
    <w:p w14:paraId="21399F26" w14:textId="437D2184" w:rsidR="002D6827" w:rsidRPr="00CF336B" w:rsidRDefault="002D6827" w:rsidP="004D4361">
      <w:pPr>
        <w:spacing w:line="360" w:lineRule="auto"/>
        <w:jc w:val="both"/>
        <w:rPr>
          <w:lang w:val="tr-TR"/>
        </w:rPr>
      </w:pPr>
      <w:r w:rsidRPr="00181C98">
        <w:rPr>
          <w:lang w:val="tr-TR"/>
        </w:rPr>
        <w:t xml:space="preserve">2022 yılında yapılan 2027 teslim </w:t>
      </w:r>
      <w:proofErr w:type="spellStart"/>
      <w:r w:rsidRPr="00181C98">
        <w:rPr>
          <w:lang w:val="tr-TR"/>
        </w:rPr>
        <w:t>seneli</w:t>
      </w:r>
      <w:proofErr w:type="spellEnd"/>
      <w:r w:rsidRPr="00181C98">
        <w:rPr>
          <w:lang w:val="tr-TR"/>
        </w:rPr>
        <w:t xml:space="preserve"> ana ihalede belirlenen fiyat bir önceki sene kırılan rekorun üstüne yeni bir rekor kırmıştır. Bu durumun temel nedeni</w:t>
      </w:r>
      <w:r w:rsidRPr="00CF336B">
        <w:rPr>
          <w:lang w:val="tr-TR"/>
        </w:rPr>
        <w:t xml:space="preserve"> olarak, Polonya'nın elektrik üretiminde emisyon limitini karşılamayan kaynakların </w:t>
      </w:r>
      <w:proofErr w:type="gramStart"/>
      <w:r w:rsidRPr="00CF336B">
        <w:rPr>
          <w:lang w:val="tr-TR"/>
        </w:rPr>
        <w:t>hakim</w:t>
      </w:r>
      <w:proofErr w:type="gramEnd"/>
      <w:r w:rsidRPr="00CF336B">
        <w:rPr>
          <w:lang w:val="tr-TR"/>
        </w:rPr>
        <w:t xml:space="preserve"> olması ve bu nedenle kapasite piyasasındaki desteklerden yararlanamamaları olarak gösterilebil</w:t>
      </w:r>
      <w:r w:rsidR="0011240D" w:rsidRPr="00CF336B">
        <w:rPr>
          <w:lang w:val="tr-TR"/>
        </w:rPr>
        <w:t>ir</w:t>
      </w:r>
      <w:r w:rsidRPr="00CF336B">
        <w:rPr>
          <w:lang w:val="tr-TR"/>
        </w:rPr>
        <w:t xml:space="preserve">. Başta </w:t>
      </w:r>
      <w:proofErr w:type="gramStart"/>
      <w:r w:rsidRPr="00CF336B">
        <w:rPr>
          <w:lang w:val="tr-TR"/>
        </w:rPr>
        <w:t>Rusya -</w:t>
      </w:r>
      <w:proofErr w:type="gramEnd"/>
      <w:r w:rsidRPr="00CF336B">
        <w:rPr>
          <w:lang w:val="tr-TR"/>
        </w:rPr>
        <w:t xml:space="preserve"> Ukrayna savaşı nedeniyle gaz fiyatlarında yaşanan büyük dalgalanmalar olmak üzere Avrupa'daki belirsiz ekonomik durum, 2027 ana ihalesinde kapasite arzını olumsuz etkileyen bir diğer faktör olmuştur. Yeni santral kurmayı planlayan katılımcıların teklif ettiği kapasite yükümlülükleri, 2026 ana ihalesine göre yaklaşık </w:t>
      </w:r>
      <w:proofErr w:type="gramStart"/>
      <w:r w:rsidRPr="00CF336B">
        <w:rPr>
          <w:lang w:val="tr-TR"/>
        </w:rPr>
        <w:t>%50</w:t>
      </w:r>
      <w:proofErr w:type="gramEnd"/>
      <w:r w:rsidRPr="00CF336B">
        <w:rPr>
          <w:lang w:val="tr-TR"/>
        </w:rPr>
        <w:t xml:space="preserve"> daha düşük seviyedeyken, yeni doğal gaz yakıtlı ünitelerde %55'lik bir düşüş yaşan</w:t>
      </w:r>
      <w:r w:rsidR="00AE4699" w:rsidRPr="00CF336B">
        <w:rPr>
          <w:lang w:val="tr-TR"/>
        </w:rPr>
        <w:t>mıştır</w:t>
      </w:r>
      <w:r w:rsidRPr="00CF336B">
        <w:rPr>
          <w:lang w:val="tr-TR"/>
        </w:rPr>
        <w:t xml:space="preserve">. </w:t>
      </w:r>
    </w:p>
    <w:p w14:paraId="1A35C0E7" w14:textId="1B028005" w:rsidR="00C67880" w:rsidRPr="00CF336B" w:rsidRDefault="00645F90" w:rsidP="004D4361">
      <w:pPr>
        <w:spacing w:line="360" w:lineRule="auto"/>
        <w:jc w:val="both"/>
        <w:rPr>
          <w:lang w:val="tr-TR"/>
        </w:rPr>
      </w:pPr>
      <w:r w:rsidRPr="00CF336B">
        <w:rPr>
          <w:lang w:val="tr-TR"/>
        </w:rPr>
        <w:fldChar w:fldCharType="begin"/>
      </w:r>
      <w:r w:rsidRPr="00CF336B">
        <w:rPr>
          <w:lang w:val="tr-TR"/>
        </w:rPr>
        <w:instrText xml:space="preserve"> REF _Ref148967216 \h </w:instrText>
      </w:r>
      <w:r w:rsidR="00413DBB" w:rsidRPr="00CF336B">
        <w:rPr>
          <w:lang w:val="tr-TR"/>
        </w:rPr>
        <w:instrText xml:space="preserve"> \* MERGEFORMAT </w:instrText>
      </w:r>
      <w:r w:rsidRPr="00CF336B">
        <w:rPr>
          <w:lang w:val="tr-TR"/>
        </w:rPr>
      </w:r>
      <w:r w:rsidRPr="00CF336B">
        <w:rPr>
          <w:lang w:val="tr-TR"/>
        </w:rPr>
        <w:fldChar w:fldCharType="separate"/>
      </w:r>
      <w:r w:rsidR="001D6180" w:rsidRPr="00CF336B">
        <w:rPr>
          <w:lang w:val="tr-TR"/>
        </w:rPr>
        <w:t xml:space="preserve">Şekil </w:t>
      </w:r>
      <w:r w:rsidR="001D6180">
        <w:rPr>
          <w:noProof/>
          <w:lang w:val="tr-TR"/>
        </w:rPr>
        <w:t>30</w:t>
      </w:r>
      <w:r w:rsidRPr="00CF336B">
        <w:rPr>
          <w:lang w:val="tr-TR"/>
        </w:rPr>
        <w:fldChar w:fldCharType="end"/>
      </w:r>
      <w:r w:rsidRPr="00CF336B">
        <w:rPr>
          <w:lang w:val="tr-TR"/>
        </w:rPr>
        <w:t>’</w:t>
      </w:r>
      <w:r w:rsidR="000C7A7B" w:rsidRPr="00CF336B">
        <w:rPr>
          <w:lang w:val="tr-TR"/>
        </w:rPr>
        <w:t>d</w:t>
      </w:r>
      <w:r w:rsidR="001D6180">
        <w:rPr>
          <w:lang w:val="tr-TR"/>
        </w:rPr>
        <w:t>a</w:t>
      </w:r>
      <w:r w:rsidRPr="00CF336B">
        <w:rPr>
          <w:lang w:val="tr-TR"/>
        </w:rPr>
        <w:t>n d</w:t>
      </w:r>
      <w:r w:rsidR="001D6180">
        <w:rPr>
          <w:lang w:val="tr-TR"/>
        </w:rPr>
        <w:t>a</w:t>
      </w:r>
      <w:r w:rsidRPr="00CF336B">
        <w:rPr>
          <w:lang w:val="tr-TR"/>
        </w:rPr>
        <w:t xml:space="preserve"> anlaşılacağı üzere </w:t>
      </w:r>
      <w:r w:rsidR="00C67880" w:rsidRPr="00CF336B">
        <w:rPr>
          <w:lang w:val="tr-TR"/>
        </w:rPr>
        <w:t>Polonya’nın kurulu gücüne bakıldığında, getirilen sürdürülebilirlik politikalarına rağmen kömür kapasitesinde yakın geçmişte kayda değer bir azalma olmadığı gör</w:t>
      </w:r>
      <w:r w:rsidRPr="00CF336B">
        <w:rPr>
          <w:lang w:val="tr-TR"/>
        </w:rPr>
        <w:t>ül</w:t>
      </w:r>
      <w:r w:rsidR="00C67880" w:rsidRPr="00CF336B">
        <w:rPr>
          <w:lang w:val="tr-TR"/>
        </w:rPr>
        <w:t>mektedir</w:t>
      </w:r>
      <w:sdt>
        <w:sdtPr>
          <w:rPr>
            <w:lang w:val="tr-TR"/>
          </w:rPr>
          <w:id w:val="-2098404623"/>
          <w:citation/>
        </w:sdtPr>
        <w:sdtEndPr/>
        <w:sdtContent>
          <w:r w:rsidRPr="00CF336B">
            <w:rPr>
              <w:lang w:val="tr-TR"/>
            </w:rPr>
            <w:fldChar w:fldCharType="begin"/>
          </w:r>
          <w:r w:rsidR="00B600B3" w:rsidRPr="00CF336B">
            <w:rPr>
              <w:lang w:val="tr-TR"/>
            </w:rPr>
            <w:instrText xml:space="preserve">CITATION ENT23 \l 1055 </w:instrText>
          </w:r>
          <w:r w:rsidRPr="00CF336B">
            <w:rPr>
              <w:lang w:val="tr-TR"/>
            </w:rPr>
            <w:fldChar w:fldCharType="separate"/>
          </w:r>
          <w:r w:rsidR="00D95FF7">
            <w:rPr>
              <w:noProof/>
              <w:lang w:val="tr-TR"/>
            </w:rPr>
            <w:t xml:space="preserve"> (ENTSO Transparency Platform, 2023)</w:t>
          </w:r>
          <w:r w:rsidRPr="00CF336B">
            <w:rPr>
              <w:lang w:val="tr-TR"/>
            </w:rPr>
            <w:fldChar w:fldCharType="end"/>
          </w:r>
        </w:sdtContent>
      </w:sdt>
      <w:r w:rsidR="00C67880" w:rsidRPr="00CF336B">
        <w:rPr>
          <w:lang w:val="tr-TR"/>
        </w:rPr>
        <w:t>. Bununla birlikte Polonya’da üretim yapan aktif bir nükleer santral bulunmamaktadır. Polonya enerji politikalarına göre 2040 yılına kadar 6 ila 9 GW arası bir nükleer santral kapasitesi kurulması hedeflenmektedir</w:t>
      </w:r>
      <w:sdt>
        <w:sdtPr>
          <w:rPr>
            <w:lang w:val="tr-TR"/>
          </w:rPr>
          <w:id w:val="2085942999"/>
          <w:citation/>
        </w:sdtPr>
        <w:sdtEndPr/>
        <w:sdtContent>
          <w:r w:rsidR="00EA52D4" w:rsidRPr="00CF336B">
            <w:rPr>
              <w:lang w:val="tr-TR"/>
            </w:rPr>
            <w:fldChar w:fldCharType="begin"/>
          </w:r>
          <w:r w:rsidR="00EA52D4" w:rsidRPr="00CF336B">
            <w:rPr>
              <w:lang w:val="tr-TR"/>
            </w:rPr>
            <w:instrText xml:space="preserve"> CITATION Min \l 1055 </w:instrText>
          </w:r>
          <w:r w:rsidR="00EA52D4" w:rsidRPr="00CF336B">
            <w:rPr>
              <w:lang w:val="tr-TR"/>
            </w:rPr>
            <w:fldChar w:fldCharType="separate"/>
          </w:r>
          <w:r w:rsidR="00D95FF7">
            <w:rPr>
              <w:noProof/>
              <w:lang w:val="tr-TR"/>
            </w:rPr>
            <w:t xml:space="preserve"> (Ministry of Climate and Environment.)</w:t>
          </w:r>
          <w:r w:rsidR="00EA52D4" w:rsidRPr="00CF336B">
            <w:rPr>
              <w:lang w:val="tr-TR"/>
            </w:rPr>
            <w:fldChar w:fldCharType="end"/>
          </w:r>
        </w:sdtContent>
      </w:sdt>
      <w:r w:rsidR="00C67880" w:rsidRPr="00CF336B">
        <w:rPr>
          <w:lang w:val="tr-TR"/>
        </w:rPr>
        <w:t>. Güneş kurulu gücü ise son yıllarda hızlı bir artış göstermiştir. Polonya’da 2020 yılında elektrik talebi yazın 26</w:t>
      </w:r>
      <w:r w:rsidR="009734EF">
        <w:rPr>
          <w:lang w:val="tr-TR"/>
        </w:rPr>
        <w:t>,</w:t>
      </w:r>
      <w:r w:rsidR="00C67880" w:rsidRPr="00CF336B">
        <w:rPr>
          <w:lang w:val="tr-TR"/>
        </w:rPr>
        <w:t xml:space="preserve">5 GW, kışın ise 23 GW ile </w:t>
      </w:r>
      <w:r w:rsidR="00B31031" w:rsidRPr="00CF336B">
        <w:rPr>
          <w:lang w:val="tr-TR"/>
        </w:rPr>
        <w:t>en yüksek seviyeye ulaşmıştır</w:t>
      </w:r>
      <w:r w:rsidR="00C67880" w:rsidRPr="00CF336B">
        <w:rPr>
          <w:lang w:val="tr-TR"/>
        </w:rPr>
        <w:t xml:space="preserve">. </w:t>
      </w:r>
      <w:r w:rsidR="00D52662" w:rsidRPr="00CF336B">
        <w:rPr>
          <w:lang w:val="tr-TR"/>
        </w:rPr>
        <w:t xml:space="preserve">Arz güvenliği açısından </w:t>
      </w:r>
      <w:proofErr w:type="gramStart"/>
      <w:r w:rsidR="00C67880" w:rsidRPr="00CF336B">
        <w:rPr>
          <w:lang w:val="tr-TR"/>
        </w:rPr>
        <w:t>2023</w:t>
      </w:r>
      <w:r w:rsidR="009734EF">
        <w:rPr>
          <w:lang w:val="tr-TR"/>
        </w:rPr>
        <w:t xml:space="preserve"> </w:t>
      </w:r>
      <w:r w:rsidR="00C67880" w:rsidRPr="00CF336B">
        <w:rPr>
          <w:lang w:val="tr-TR"/>
        </w:rPr>
        <w:t>-</w:t>
      </w:r>
      <w:proofErr w:type="gramEnd"/>
      <w:r w:rsidR="009734EF">
        <w:rPr>
          <w:lang w:val="tr-TR"/>
        </w:rPr>
        <w:t xml:space="preserve"> </w:t>
      </w:r>
      <w:r w:rsidR="00C67880" w:rsidRPr="00CF336B">
        <w:rPr>
          <w:lang w:val="tr-TR"/>
        </w:rPr>
        <w:t xml:space="preserve">2038 yılları arasında sistemden çıkarılması planlanan 15,7 </w:t>
      </w:r>
      <w:proofErr w:type="spellStart"/>
      <w:r w:rsidR="00C67880" w:rsidRPr="00CF336B">
        <w:rPr>
          <w:lang w:val="tr-TR"/>
        </w:rPr>
        <w:t>GW’lık</w:t>
      </w:r>
      <w:proofErr w:type="spellEnd"/>
      <w:r w:rsidR="00C67880" w:rsidRPr="00CF336B">
        <w:rPr>
          <w:lang w:val="tr-TR"/>
        </w:rPr>
        <w:t xml:space="preserve"> kömür kurulu gücün</w:t>
      </w:r>
      <w:r w:rsidR="00D52662" w:rsidRPr="00CF336B">
        <w:rPr>
          <w:lang w:val="tr-TR"/>
        </w:rPr>
        <w:t>ün</w:t>
      </w:r>
      <w:r w:rsidR="002B39FD" w:rsidRPr="00CF336B">
        <w:rPr>
          <w:lang w:val="tr-TR"/>
        </w:rPr>
        <w:t xml:space="preserve"> yerine yeni santralleri</w:t>
      </w:r>
      <w:r w:rsidR="00467C66">
        <w:rPr>
          <w:lang w:val="tr-TR"/>
        </w:rPr>
        <w:t>n</w:t>
      </w:r>
      <w:r w:rsidR="002B39FD" w:rsidRPr="00CF336B">
        <w:rPr>
          <w:lang w:val="tr-TR"/>
        </w:rPr>
        <w:t xml:space="preserve"> yapılması </w:t>
      </w:r>
      <w:r w:rsidR="00D52662" w:rsidRPr="00CF336B">
        <w:rPr>
          <w:lang w:val="tr-TR"/>
        </w:rPr>
        <w:t xml:space="preserve">gerekmektedir </w:t>
      </w:r>
      <w:sdt>
        <w:sdtPr>
          <w:rPr>
            <w:lang w:val="tr-TR"/>
          </w:rPr>
          <w:id w:val="-1845850911"/>
          <w:citation/>
        </w:sdtPr>
        <w:sdtEndPr/>
        <w:sdtContent>
          <w:r w:rsidR="00006AB9" w:rsidRPr="00CF336B">
            <w:rPr>
              <w:lang w:val="tr-TR"/>
            </w:rPr>
            <w:fldChar w:fldCharType="begin"/>
          </w:r>
          <w:r w:rsidR="00006AB9" w:rsidRPr="00CF336B">
            <w:rPr>
              <w:lang w:val="tr-TR"/>
            </w:rPr>
            <w:instrText xml:space="preserve">CITATION Iza21 \l 1055 </w:instrText>
          </w:r>
          <w:r w:rsidR="00006AB9" w:rsidRPr="00CF336B">
            <w:rPr>
              <w:lang w:val="tr-TR"/>
            </w:rPr>
            <w:fldChar w:fldCharType="separate"/>
          </w:r>
          <w:r w:rsidR="00D95FF7">
            <w:rPr>
              <w:noProof/>
              <w:lang w:val="tr-TR"/>
            </w:rPr>
            <w:t>(Filipiak &amp; Mielczarski, 2021)</w:t>
          </w:r>
          <w:r w:rsidR="00006AB9" w:rsidRPr="00CF336B">
            <w:rPr>
              <w:lang w:val="tr-TR"/>
            </w:rPr>
            <w:fldChar w:fldCharType="end"/>
          </w:r>
        </w:sdtContent>
      </w:sdt>
      <w:r w:rsidR="00006AB9" w:rsidRPr="00CF336B">
        <w:rPr>
          <w:lang w:val="tr-TR"/>
        </w:rPr>
        <w:t>.</w:t>
      </w:r>
    </w:p>
    <w:p w14:paraId="3E5D3E8F" w14:textId="77777777" w:rsidR="00C67880" w:rsidRPr="00CF336B" w:rsidRDefault="00C67880" w:rsidP="004D4361">
      <w:pPr>
        <w:spacing w:line="360" w:lineRule="auto"/>
        <w:jc w:val="both"/>
        <w:rPr>
          <w:b/>
          <w:bCs/>
          <w:lang w:val="tr-TR"/>
        </w:rPr>
      </w:pPr>
    </w:p>
    <w:p w14:paraId="49547E66" w14:textId="77777777" w:rsidR="00C67880" w:rsidRPr="00CF336B" w:rsidRDefault="002D6827" w:rsidP="004D4361">
      <w:pPr>
        <w:keepNext/>
        <w:spacing w:line="360" w:lineRule="auto"/>
        <w:jc w:val="center"/>
        <w:rPr>
          <w:lang w:val="tr-TR"/>
        </w:rPr>
      </w:pPr>
      <w:r w:rsidRPr="00CF336B">
        <w:rPr>
          <w:noProof/>
          <w:lang w:val="tr-TR"/>
        </w:rPr>
        <w:drawing>
          <wp:inline distT="0" distB="0" distL="0" distR="0" wp14:anchorId="2A53F66C" wp14:editId="769A8A4C">
            <wp:extent cx="5727700" cy="2743200"/>
            <wp:effectExtent l="0" t="0" r="6350" b="0"/>
            <wp:docPr id="1047789647" name="Chart 1">
              <a:extLst xmlns:a="http://schemas.openxmlformats.org/drawingml/2006/main">
                <a:ext uri="{FF2B5EF4-FFF2-40B4-BE49-F238E27FC236}">
                  <a16:creationId xmlns:a16="http://schemas.microsoft.com/office/drawing/2014/main" id="{B6F8BA91-C09B-536E-983F-8F9A8F1D6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3CBA20" w14:textId="048A3306" w:rsidR="002D6827" w:rsidRPr="00CF336B" w:rsidRDefault="00C67880" w:rsidP="004D4361">
      <w:pPr>
        <w:pStyle w:val="Caption"/>
        <w:spacing w:line="360" w:lineRule="auto"/>
        <w:jc w:val="center"/>
        <w:rPr>
          <w:color w:val="auto"/>
          <w:sz w:val="22"/>
          <w:szCs w:val="22"/>
          <w:lang w:val="tr-TR"/>
        </w:rPr>
      </w:pPr>
      <w:bookmarkStart w:id="135" w:name="_Ref148967216"/>
      <w:bookmarkStart w:id="136" w:name="_Toc156210484"/>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30</w:t>
      </w:r>
      <w:r w:rsidRPr="00CF336B">
        <w:rPr>
          <w:color w:val="auto"/>
          <w:sz w:val="22"/>
          <w:szCs w:val="22"/>
          <w:lang w:val="tr-TR"/>
        </w:rPr>
        <w:fldChar w:fldCharType="end"/>
      </w:r>
      <w:bookmarkEnd w:id="135"/>
      <w:r w:rsidRPr="00CF336B">
        <w:rPr>
          <w:color w:val="auto"/>
          <w:sz w:val="22"/>
          <w:szCs w:val="22"/>
          <w:lang w:val="tr-TR"/>
        </w:rPr>
        <w:t>. Polonya Kurulu Güç Dağılımı</w:t>
      </w:r>
      <w:bookmarkEnd w:id="136"/>
    </w:p>
    <w:p w14:paraId="449C1512" w14:textId="79D58C03" w:rsidR="00006AB9" w:rsidRPr="00CF336B" w:rsidRDefault="00006AB9" w:rsidP="004D4361">
      <w:pPr>
        <w:spacing w:line="360" w:lineRule="auto"/>
        <w:jc w:val="both"/>
        <w:rPr>
          <w:lang w:val="tr-TR"/>
        </w:rPr>
      </w:pPr>
      <w:r w:rsidRPr="00CF336B">
        <w:rPr>
          <w:lang w:val="tr-TR"/>
        </w:rPr>
        <w:t>Polonya’nın elektrik üretiminde kömür kaynaklı üretimin diğer kaynaklı üretimlerin önüne geçtiği görülmektedir. Ancak kömür kullanımının yıllar içinde az da olsa azalış trendinde olduğundan bahsetmek mümkündür</w:t>
      </w:r>
      <w:r w:rsidR="00FB5554" w:rsidRPr="00CF336B">
        <w:rPr>
          <w:lang w:val="tr-TR"/>
        </w:rPr>
        <w:t xml:space="preserve"> </w:t>
      </w:r>
      <w:sdt>
        <w:sdtPr>
          <w:rPr>
            <w:lang w:val="tr-TR"/>
          </w:rPr>
          <w:id w:val="-1939200467"/>
          <w:citation/>
        </w:sdtPr>
        <w:sdtEndPr/>
        <w:sdtContent>
          <w:r w:rsidR="00FB5554" w:rsidRPr="00CF336B">
            <w:rPr>
              <w:lang w:val="tr-TR"/>
            </w:rPr>
            <w:fldChar w:fldCharType="begin"/>
          </w:r>
          <w:r w:rsidR="00FB5554" w:rsidRPr="00CF336B">
            <w:rPr>
              <w:lang w:val="tr-TR"/>
            </w:rPr>
            <w:instrText xml:space="preserve"> CITATION IEA221 \l 1055 </w:instrText>
          </w:r>
          <w:r w:rsidR="00FB5554" w:rsidRPr="00CF336B">
            <w:rPr>
              <w:lang w:val="tr-TR"/>
            </w:rPr>
            <w:fldChar w:fldCharType="separate"/>
          </w:r>
          <w:r w:rsidR="00D95FF7">
            <w:rPr>
              <w:noProof/>
              <w:lang w:val="tr-TR"/>
            </w:rPr>
            <w:t>(IEA, 2022)</w:t>
          </w:r>
          <w:r w:rsidR="00FB5554" w:rsidRPr="00CF336B">
            <w:rPr>
              <w:lang w:val="tr-TR"/>
            </w:rPr>
            <w:fldChar w:fldCharType="end"/>
          </w:r>
        </w:sdtContent>
      </w:sdt>
      <w:r w:rsidRPr="00CF336B">
        <w:rPr>
          <w:lang w:val="tr-TR"/>
        </w:rPr>
        <w:t>.</w:t>
      </w:r>
      <w:r w:rsidR="00253B14" w:rsidRPr="00CF336B">
        <w:rPr>
          <w:lang w:val="tr-TR"/>
        </w:rPr>
        <w:t xml:space="preserve"> </w:t>
      </w:r>
      <w:r w:rsidRPr="00CF336B">
        <w:rPr>
          <w:lang w:val="tr-TR"/>
        </w:rPr>
        <w:t xml:space="preserve"> </w:t>
      </w:r>
      <w:r w:rsidR="006F307D" w:rsidRPr="00CF336B">
        <w:rPr>
          <w:lang w:val="tr-TR"/>
        </w:rPr>
        <w:fldChar w:fldCharType="begin"/>
      </w:r>
      <w:r w:rsidR="006F307D" w:rsidRPr="00CF336B">
        <w:rPr>
          <w:lang w:val="tr-TR"/>
        </w:rPr>
        <w:instrText xml:space="preserve"> REF _Ref148967827 \h </w:instrText>
      </w:r>
      <w:r w:rsidR="00413DBB" w:rsidRPr="00CF336B">
        <w:rPr>
          <w:lang w:val="tr-TR"/>
        </w:rPr>
        <w:instrText xml:space="preserve"> \* MERGEFORMAT </w:instrText>
      </w:r>
      <w:r w:rsidR="006F307D" w:rsidRPr="00CF336B">
        <w:rPr>
          <w:lang w:val="tr-TR"/>
        </w:rPr>
      </w:r>
      <w:r w:rsidR="006F307D" w:rsidRPr="00CF336B">
        <w:rPr>
          <w:lang w:val="tr-TR"/>
        </w:rPr>
        <w:fldChar w:fldCharType="separate"/>
      </w:r>
      <w:r w:rsidR="001D6180" w:rsidRPr="00CF336B">
        <w:rPr>
          <w:lang w:val="tr-TR"/>
        </w:rPr>
        <w:t xml:space="preserve">Şekil </w:t>
      </w:r>
      <w:r w:rsidR="001D6180">
        <w:rPr>
          <w:noProof/>
          <w:lang w:val="tr-TR"/>
        </w:rPr>
        <w:t>31</w:t>
      </w:r>
      <w:r w:rsidR="006F307D" w:rsidRPr="00CF336B">
        <w:rPr>
          <w:lang w:val="tr-TR"/>
        </w:rPr>
        <w:fldChar w:fldCharType="end"/>
      </w:r>
      <w:r w:rsidR="006F307D" w:rsidRPr="00CF336B">
        <w:rPr>
          <w:lang w:val="tr-TR"/>
        </w:rPr>
        <w:t>’d</w:t>
      </w:r>
      <w:r w:rsidR="000408C7" w:rsidRPr="00CF336B">
        <w:rPr>
          <w:lang w:val="tr-TR"/>
        </w:rPr>
        <w:t>e</w:t>
      </w:r>
      <w:r w:rsidR="006F307D" w:rsidRPr="00CF336B">
        <w:rPr>
          <w:lang w:val="tr-TR"/>
        </w:rPr>
        <w:t>n d</w:t>
      </w:r>
      <w:r w:rsidR="000408C7" w:rsidRPr="00CF336B">
        <w:rPr>
          <w:lang w:val="tr-TR"/>
        </w:rPr>
        <w:t>e</w:t>
      </w:r>
      <w:r w:rsidR="006F307D" w:rsidRPr="00CF336B">
        <w:rPr>
          <w:lang w:val="tr-TR"/>
        </w:rPr>
        <w:t xml:space="preserve"> görülebileceği üzere k</w:t>
      </w:r>
      <w:r w:rsidRPr="00CF336B">
        <w:rPr>
          <w:lang w:val="tr-TR"/>
        </w:rPr>
        <w:t>ömürün</w:t>
      </w:r>
      <w:r w:rsidR="006F307D" w:rsidRPr="00CF336B">
        <w:rPr>
          <w:lang w:val="tr-TR"/>
        </w:rPr>
        <w:t xml:space="preserve"> toplam elektrik</w:t>
      </w:r>
      <w:r w:rsidRPr="00CF336B">
        <w:rPr>
          <w:lang w:val="tr-TR"/>
        </w:rPr>
        <w:t xml:space="preserve"> üretim</w:t>
      </w:r>
      <w:r w:rsidR="006F307D" w:rsidRPr="00CF336B">
        <w:rPr>
          <w:lang w:val="tr-TR"/>
        </w:rPr>
        <w:t>in</w:t>
      </w:r>
      <w:r w:rsidRPr="00CF336B">
        <w:rPr>
          <w:lang w:val="tr-TR"/>
        </w:rPr>
        <w:t xml:space="preserve">deki payı 2010 yılında </w:t>
      </w:r>
      <w:proofErr w:type="gramStart"/>
      <w:r w:rsidRPr="00CF336B">
        <w:rPr>
          <w:lang w:val="tr-TR"/>
        </w:rPr>
        <w:t>%87</w:t>
      </w:r>
      <w:proofErr w:type="gramEnd"/>
      <w:r w:rsidRPr="00CF336B">
        <w:rPr>
          <w:lang w:val="tr-TR"/>
        </w:rPr>
        <w:t xml:space="preserve"> iken 2021’de bu değer %72’ye gerilemiştir.</w:t>
      </w:r>
    </w:p>
    <w:p w14:paraId="0DD03965" w14:textId="77777777" w:rsidR="00253B14" w:rsidRPr="00CF336B" w:rsidRDefault="002D6827" w:rsidP="004D4361">
      <w:pPr>
        <w:keepNext/>
        <w:spacing w:line="360" w:lineRule="auto"/>
        <w:jc w:val="center"/>
        <w:rPr>
          <w:lang w:val="tr-TR"/>
        </w:rPr>
      </w:pPr>
      <w:r w:rsidRPr="00CF336B">
        <w:rPr>
          <w:noProof/>
          <w:lang w:val="tr-TR"/>
        </w:rPr>
        <w:drawing>
          <wp:inline distT="0" distB="0" distL="0" distR="0" wp14:anchorId="1587117C" wp14:editId="21B876FA">
            <wp:extent cx="5397500" cy="2533650"/>
            <wp:effectExtent l="0" t="0" r="0" b="0"/>
            <wp:docPr id="2018415454" name="Chart 1">
              <a:extLst xmlns:a="http://schemas.openxmlformats.org/drawingml/2006/main">
                <a:ext uri="{FF2B5EF4-FFF2-40B4-BE49-F238E27FC236}">
                  <a16:creationId xmlns:a16="http://schemas.microsoft.com/office/drawing/2014/main" id="{356D97A4-E7E8-E3FB-B5DE-C7EB75642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D17A64" w14:textId="106947BA" w:rsidR="00253B14" w:rsidRPr="00CF336B" w:rsidRDefault="00253B14" w:rsidP="004D4361">
      <w:pPr>
        <w:pStyle w:val="Caption"/>
        <w:spacing w:line="360" w:lineRule="auto"/>
        <w:jc w:val="center"/>
        <w:rPr>
          <w:color w:val="auto"/>
          <w:sz w:val="22"/>
          <w:szCs w:val="22"/>
          <w:lang w:val="tr-TR"/>
        </w:rPr>
      </w:pPr>
      <w:bookmarkStart w:id="137" w:name="_Ref148967827"/>
      <w:bookmarkStart w:id="138" w:name="_Toc156210485"/>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31</w:t>
      </w:r>
      <w:r w:rsidRPr="00CF336B">
        <w:rPr>
          <w:color w:val="auto"/>
          <w:sz w:val="22"/>
          <w:szCs w:val="22"/>
          <w:lang w:val="tr-TR"/>
        </w:rPr>
        <w:fldChar w:fldCharType="end"/>
      </w:r>
      <w:bookmarkEnd w:id="137"/>
      <w:r w:rsidRPr="00CF336B">
        <w:rPr>
          <w:color w:val="auto"/>
          <w:sz w:val="22"/>
          <w:szCs w:val="22"/>
          <w:lang w:val="tr-TR"/>
        </w:rPr>
        <w:t xml:space="preserve">. </w:t>
      </w:r>
      <w:r w:rsidR="00401CFC" w:rsidRPr="00CF336B">
        <w:rPr>
          <w:color w:val="auto"/>
          <w:sz w:val="22"/>
          <w:szCs w:val="22"/>
          <w:lang w:val="tr-TR"/>
        </w:rPr>
        <w:t>Polonya</w:t>
      </w:r>
      <w:r w:rsidR="00401CFC" w:rsidRPr="00CF336B">
        <w:rPr>
          <w:lang w:val="tr-TR"/>
        </w:rPr>
        <w:t xml:space="preserve"> </w:t>
      </w:r>
      <w:r w:rsidR="00401CFC" w:rsidRPr="00CF336B">
        <w:rPr>
          <w:color w:val="auto"/>
          <w:sz w:val="22"/>
          <w:szCs w:val="22"/>
          <w:lang w:val="tr-TR"/>
        </w:rPr>
        <w:t>Kömür Kaynaklı Elektrik Üretimi ve Toplam Üretimdeki Payı</w:t>
      </w:r>
      <w:bookmarkEnd w:id="138"/>
    </w:p>
    <w:p w14:paraId="6135BE94" w14:textId="664F6D95" w:rsidR="00FB5554" w:rsidRPr="00CF336B" w:rsidRDefault="00FB5554" w:rsidP="004D4361">
      <w:pPr>
        <w:spacing w:line="360" w:lineRule="auto"/>
        <w:jc w:val="both"/>
        <w:rPr>
          <w:lang w:val="tr-TR"/>
        </w:rPr>
      </w:pPr>
      <w:r w:rsidRPr="00CF336B">
        <w:rPr>
          <w:lang w:val="tr-TR"/>
        </w:rPr>
        <w:t xml:space="preserve">Polonya’da toplam emisyonun yaklaşık 1/3’ünün elektrik üretiminden kaynaklandığı gözlemlenmektedir. Elektrik üretiminin sebep olduğu emisyonların ise </w:t>
      </w:r>
      <w:proofErr w:type="gramStart"/>
      <w:r w:rsidRPr="00CF336B">
        <w:rPr>
          <w:lang w:val="tr-TR"/>
        </w:rPr>
        <w:t>2015</w:t>
      </w:r>
      <w:r w:rsidR="00125C81">
        <w:rPr>
          <w:lang w:val="tr-TR"/>
        </w:rPr>
        <w:t xml:space="preserve"> </w:t>
      </w:r>
      <w:r w:rsidRPr="00CF336B">
        <w:rPr>
          <w:lang w:val="tr-TR"/>
        </w:rPr>
        <w:t>-</w:t>
      </w:r>
      <w:proofErr w:type="gramEnd"/>
      <w:r w:rsidR="00125C81">
        <w:rPr>
          <w:lang w:val="tr-TR"/>
        </w:rPr>
        <w:t xml:space="preserve"> </w:t>
      </w:r>
      <w:r w:rsidRPr="00CF336B">
        <w:rPr>
          <w:lang w:val="tr-TR"/>
        </w:rPr>
        <w:t xml:space="preserve">2018 yılları arasında %90’ından fazlası kömürden üretilen elektrik kaynaklı olmuştur. 2020 yılında COVID sebebiyle talebin ve akabinde üretimin azalmasıyla toplam emisyon 304 </w:t>
      </w:r>
      <w:proofErr w:type="spellStart"/>
      <w:r w:rsidRPr="00CF336B">
        <w:rPr>
          <w:lang w:val="tr-TR"/>
        </w:rPr>
        <w:t>mt</w:t>
      </w:r>
      <w:proofErr w:type="spellEnd"/>
      <w:r w:rsidRPr="00CF336B">
        <w:rPr>
          <w:lang w:val="tr-TR"/>
        </w:rPr>
        <w:t xml:space="preserve"> CO</w:t>
      </w:r>
      <w:r w:rsidRPr="00CF336B">
        <w:rPr>
          <w:vertAlign w:val="subscript"/>
          <w:lang w:val="tr-TR"/>
        </w:rPr>
        <w:t>2</w:t>
      </w:r>
      <w:r w:rsidRPr="00CF336B">
        <w:rPr>
          <w:lang w:val="tr-TR"/>
        </w:rPr>
        <w:t xml:space="preserve"> </w:t>
      </w:r>
      <w:proofErr w:type="gramStart"/>
      <w:r w:rsidRPr="00CF336B">
        <w:rPr>
          <w:lang w:val="tr-TR"/>
        </w:rPr>
        <w:t>ile  2015</w:t>
      </w:r>
      <w:proofErr w:type="gramEnd"/>
      <w:r w:rsidR="00125C81">
        <w:rPr>
          <w:lang w:val="tr-TR"/>
        </w:rPr>
        <w:t xml:space="preserve"> </w:t>
      </w:r>
      <w:r w:rsidRPr="00CF336B">
        <w:rPr>
          <w:lang w:val="tr-TR"/>
        </w:rPr>
        <w:t>-</w:t>
      </w:r>
      <w:r w:rsidR="00125C81">
        <w:rPr>
          <w:lang w:val="tr-TR"/>
        </w:rPr>
        <w:t xml:space="preserve"> </w:t>
      </w:r>
      <w:r w:rsidRPr="00CF336B">
        <w:rPr>
          <w:lang w:val="tr-TR"/>
        </w:rPr>
        <w:t>2021 yılları arasındaki en düşük seviyeyi görmüştür. 2021 yılın</w:t>
      </w:r>
      <w:r w:rsidR="00582A92" w:rsidRPr="00CF336B">
        <w:rPr>
          <w:lang w:val="tr-TR"/>
        </w:rPr>
        <w:t xml:space="preserve">da ise </w:t>
      </w:r>
      <w:r w:rsidRPr="00CF336B">
        <w:rPr>
          <w:lang w:val="tr-TR"/>
        </w:rPr>
        <w:t xml:space="preserve">ülkedeki emisyonun </w:t>
      </w:r>
      <w:proofErr w:type="gramStart"/>
      <w:r w:rsidRPr="00CF336B">
        <w:rPr>
          <w:lang w:val="tr-TR"/>
        </w:rPr>
        <w:t>%32</w:t>
      </w:r>
      <w:proofErr w:type="gramEnd"/>
      <w:r w:rsidRPr="00CF336B">
        <w:rPr>
          <w:lang w:val="tr-TR"/>
        </w:rPr>
        <w:t>’si, 104,6 mtCO</w:t>
      </w:r>
      <w:r w:rsidRPr="00CF336B">
        <w:rPr>
          <w:vertAlign w:val="subscript"/>
          <w:lang w:val="tr-TR"/>
        </w:rPr>
        <w:t>2</w:t>
      </w:r>
      <w:r w:rsidRPr="00CF336B">
        <w:rPr>
          <w:lang w:val="tr-TR"/>
        </w:rPr>
        <w:t xml:space="preserve"> ile kömür kaynaklı elektrik üretiminden dolayı gerçekleşmiştir.</w:t>
      </w:r>
      <w:r w:rsidR="00756FD0" w:rsidRPr="00CF336B">
        <w:rPr>
          <w:lang w:val="tr-TR"/>
        </w:rPr>
        <w:t xml:space="preserve"> </w:t>
      </w:r>
      <w:r w:rsidR="00756FD0" w:rsidRPr="00CF336B">
        <w:rPr>
          <w:lang w:val="tr-TR"/>
        </w:rPr>
        <w:fldChar w:fldCharType="begin"/>
      </w:r>
      <w:r w:rsidR="00756FD0" w:rsidRPr="00CF336B">
        <w:rPr>
          <w:lang w:val="tr-TR"/>
        </w:rPr>
        <w:instrText xml:space="preserve"> REF _Ref148967957 \h </w:instrText>
      </w:r>
      <w:r w:rsidR="00413DBB" w:rsidRPr="00CF336B">
        <w:rPr>
          <w:lang w:val="tr-TR"/>
        </w:rPr>
        <w:instrText xml:space="preserve"> \* MERGEFORMAT </w:instrText>
      </w:r>
      <w:r w:rsidR="00756FD0" w:rsidRPr="00CF336B">
        <w:rPr>
          <w:lang w:val="tr-TR"/>
        </w:rPr>
      </w:r>
      <w:r w:rsidR="00756FD0" w:rsidRPr="00CF336B">
        <w:rPr>
          <w:lang w:val="tr-TR"/>
        </w:rPr>
        <w:fldChar w:fldCharType="separate"/>
      </w:r>
      <w:r w:rsidR="001D6180" w:rsidRPr="00CF336B">
        <w:rPr>
          <w:lang w:val="tr-TR"/>
        </w:rPr>
        <w:t xml:space="preserve">Şekil </w:t>
      </w:r>
      <w:r w:rsidR="001D6180">
        <w:rPr>
          <w:noProof/>
          <w:lang w:val="tr-TR"/>
        </w:rPr>
        <w:t>32</w:t>
      </w:r>
      <w:r w:rsidR="00756FD0" w:rsidRPr="00CF336B">
        <w:rPr>
          <w:lang w:val="tr-TR"/>
        </w:rPr>
        <w:fldChar w:fldCharType="end"/>
      </w:r>
      <w:r w:rsidR="00756FD0" w:rsidRPr="00CF336B">
        <w:rPr>
          <w:lang w:val="tr-TR"/>
        </w:rPr>
        <w:t>, ülkedeki toplam emisyon ve kömürden elektrik üretiminin bu toplam içindeki payını göstermektedir.</w:t>
      </w:r>
    </w:p>
    <w:p w14:paraId="6F7AB9A4" w14:textId="458B5888" w:rsidR="002D6827" w:rsidRPr="00CF336B" w:rsidRDefault="002D6827" w:rsidP="004D4361">
      <w:pPr>
        <w:spacing w:line="360" w:lineRule="auto"/>
        <w:jc w:val="both"/>
        <w:rPr>
          <w:rFonts w:asciiTheme="majorHAnsi" w:eastAsiaTheme="majorEastAsia" w:hAnsiTheme="majorHAnsi" w:cstheme="majorBidi"/>
          <w:color w:val="2F5496" w:themeColor="accent1" w:themeShade="BF"/>
          <w:sz w:val="26"/>
          <w:szCs w:val="26"/>
          <w:lang w:val="tr-TR"/>
        </w:rPr>
      </w:pPr>
    </w:p>
    <w:p w14:paraId="3FEFC352" w14:textId="77777777" w:rsidR="00756FD0" w:rsidRPr="00CF336B" w:rsidRDefault="002D6827" w:rsidP="004D4361">
      <w:pPr>
        <w:keepNext/>
        <w:spacing w:line="360" w:lineRule="auto"/>
        <w:jc w:val="both"/>
        <w:rPr>
          <w:lang w:val="tr-TR"/>
        </w:rPr>
      </w:pPr>
      <w:r w:rsidRPr="00CF336B">
        <w:rPr>
          <w:noProof/>
          <w:lang w:val="tr-TR"/>
        </w:rPr>
        <w:drawing>
          <wp:inline distT="0" distB="0" distL="0" distR="0" wp14:anchorId="6676BA82" wp14:editId="625DAE76">
            <wp:extent cx="5943600" cy="2665095"/>
            <wp:effectExtent l="0" t="0" r="0" b="1905"/>
            <wp:docPr id="95916329" name="Chart 1">
              <a:extLst xmlns:a="http://schemas.openxmlformats.org/drawingml/2006/main">
                <a:ext uri="{FF2B5EF4-FFF2-40B4-BE49-F238E27FC236}">
                  <a16:creationId xmlns:a16="http://schemas.microsoft.com/office/drawing/2014/main" id="{A328AACA-2FEA-52A1-798D-CBA8B4810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48A77C" w14:textId="102BD67B" w:rsidR="002D6827" w:rsidRPr="00CF336B" w:rsidRDefault="00756FD0" w:rsidP="004D4361">
      <w:pPr>
        <w:pStyle w:val="Caption"/>
        <w:spacing w:line="360" w:lineRule="auto"/>
        <w:jc w:val="center"/>
        <w:rPr>
          <w:rFonts w:asciiTheme="majorHAnsi" w:eastAsiaTheme="majorEastAsia" w:hAnsiTheme="majorHAnsi" w:cstheme="majorBidi"/>
          <w:color w:val="auto"/>
          <w:sz w:val="32"/>
          <w:szCs w:val="32"/>
          <w:lang w:val="tr-TR"/>
        </w:rPr>
      </w:pPr>
      <w:bookmarkStart w:id="139" w:name="_Ref148967957"/>
      <w:bookmarkStart w:id="140" w:name="_Toc156210486"/>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32</w:t>
      </w:r>
      <w:r w:rsidRPr="00CF336B">
        <w:rPr>
          <w:color w:val="auto"/>
          <w:sz w:val="22"/>
          <w:szCs w:val="22"/>
          <w:lang w:val="tr-TR"/>
        </w:rPr>
        <w:fldChar w:fldCharType="end"/>
      </w:r>
      <w:bookmarkEnd w:id="139"/>
      <w:r w:rsidRPr="00CF336B">
        <w:rPr>
          <w:color w:val="auto"/>
          <w:sz w:val="22"/>
          <w:szCs w:val="22"/>
          <w:lang w:val="tr-TR"/>
        </w:rPr>
        <w:t xml:space="preserve">. </w:t>
      </w:r>
      <w:r w:rsidR="00401CFC" w:rsidRPr="00CF336B">
        <w:rPr>
          <w:color w:val="auto"/>
          <w:sz w:val="22"/>
          <w:szCs w:val="22"/>
          <w:lang w:val="tr-TR"/>
        </w:rPr>
        <w:t>Polonya Kömür Kaynaklı Elektrik Üretimi, Elektrik Sektörü ve Toplam Karbon Emisyonu</w:t>
      </w:r>
      <w:bookmarkEnd w:id="140"/>
    </w:p>
    <w:p w14:paraId="359A19A0" w14:textId="5C9AFF1B" w:rsidR="008C6F50" w:rsidRPr="00CF336B" w:rsidRDefault="008C6F50" w:rsidP="004D4361">
      <w:pPr>
        <w:pStyle w:val="Heading2"/>
        <w:numPr>
          <w:ilvl w:val="1"/>
          <w:numId w:val="12"/>
        </w:numPr>
        <w:spacing w:line="360" w:lineRule="auto"/>
        <w:rPr>
          <w:lang w:val="tr-TR"/>
        </w:rPr>
      </w:pPr>
      <w:bookmarkStart w:id="141" w:name="_Toc156210447"/>
      <w:r w:rsidRPr="00CF336B">
        <w:rPr>
          <w:lang w:val="tr-TR"/>
        </w:rPr>
        <w:t>Kapasite Mekanizması Kapsamındaki Yaptırımlar</w:t>
      </w:r>
      <w:bookmarkEnd w:id="141"/>
    </w:p>
    <w:p w14:paraId="2BB60C7F" w14:textId="3DD1443D" w:rsidR="003D2F37" w:rsidRPr="00CF336B" w:rsidRDefault="00B4120F" w:rsidP="004D4361">
      <w:pPr>
        <w:spacing w:line="360" w:lineRule="auto"/>
        <w:jc w:val="both"/>
        <w:rPr>
          <w:lang w:val="tr-TR"/>
        </w:rPr>
      </w:pPr>
      <w:r w:rsidRPr="00CF336B">
        <w:rPr>
          <w:lang w:val="tr-TR"/>
        </w:rPr>
        <w:t xml:space="preserve">Kapasite mekanizması kapsamındaki kaynaklara ihtiyaç anında elektrik üretimine uygun bulunması karşılığında arz güvenliğini sağlanması için ödeme yapılmaktadır. Kapasite mekanizmasından bu konsept içerisinde yararlanan kapasite sağlayıcıları, gereklilik anında elektrik arzını sağlayamadıkları takdirde bazı mali yaptırımlara tabii olmaktadır. </w:t>
      </w:r>
      <w:r w:rsidR="009F3677" w:rsidRPr="00CF336B">
        <w:rPr>
          <w:lang w:val="tr-TR"/>
        </w:rPr>
        <w:t>C</w:t>
      </w:r>
      <w:r w:rsidRPr="00CF336B">
        <w:rPr>
          <w:lang w:val="tr-TR"/>
        </w:rPr>
        <w:t xml:space="preserve">ezalandırma sistemi, bulunduğu </w:t>
      </w:r>
      <w:r w:rsidR="009F3677" w:rsidRPr="00CF336B">
        <w:rPr>
          <w:lang w:val="tr-TR"/>
        </w:rPr>
        <w:t>taahhütleri</w:t>
      </w:r>
      <w:r w:rsidRPr="00CF336B">
        <w:rPr>
          <w:lang w:val="tr-TR"/>
        </w:rPr>
        <w:t xml:space="preserve"> yerine getirmeyen kapasite sağlayıcılarının, arz güvenliğinin sağlanmasın katkıda bulunmamaları sebebiyle uygun cezalar ile karşı karşıya kalmalarını sağlamaktadır. Elektrik yasası, bu cezaların sistemde sıkışıklık olduğu anlarda uygun olmayan kapasite sağlayıcılarına uygulanması gerektiğini belirtmektedir. Devlet Desteği Rehberi’nde de belirtildiği üzere, kapasite sağlayıcılarının elektrik arzına katılarak elde ettikleri teşvikler/ödemeler VOLL (Value of </w:t>
      </w:r>
      <w:proofErr w:type="spellStart"/>
      <w:r w:rsidRPr="00CF336B">
        <w:rPr>
          <w:lang w:val="tr-TR"/>
        </w:rPr>
        <w:t>Lost</w:t>
      </w:r>
      <w:proofErr w:type="spellEnd"/>
      <w:r w:rsidRPr="00CF336B">
        <w:rPr>
          <w:lang w:val="tr-TR"/>
        </w:rPr>
        <w:t xml:space="preserve"> </w:t>
      </w:r>
      <w:proofErr w:type="spellStart"/>
      <w:r w:rsidRPr="00CF336B">
        <w:rPr>
          <w:lang w:val="tr-TR"/>
        </w:rPr>
        <w:t>Load</w:t>
      </w:r>
      <w:proofErr w:type="spellEnd"/>
      <w:r w:rsidRPr="00CF336B">
        <w:rPr>
          <w:lang w:val="tr-TR"/>
        </w:rPr>
        <w:t xml:space="preserve">) ile ilişkilendirilerek tasarlanmıştır. Enerji arzında desteğe ihtiyaç olunan anlarda, kapasite </w:t>
      </w:r>
      <w:r w:rsidR="00DC2670" w:rsidRPr="00CF336B">
        <w:rPr>
          <w:lang w:val="tr-TR"/>
        </w:rPr>
        <w:t>taahhüttü</w:t>
      </w:r>
      <w:r w:rsidRPr="00CF336B">
        <w:rPr>
          <w:lang w:val="tr-TR"/>
        </w:rPr>
        <w:t xml:space="preserve"> veren ancak bu kapasiteyi sağlayamayan santraller yine VOLL değeri ile ilişkilendirilerek yaptırıma uğramaktadır. Kapasite mekanizması kapsamında uygulanan yaptırımlar incelendiğinde, bu yaptırımlar Teslimat Eksikliği Yaptırımı </w:t>
      </w:r>
      <w:r w:rsidR="00DC2670" w:rsidRPr="00CF336B">
        <w:rPr>
          <w:lang w:val="tr-TR"/>
        </w:rPr>
        <w:t xml:space="preserve">ve </w:t>
      </w:r>
      <w:r w:rsidRPr="00CF336B">
        <w:rPr>
          <w:lang w:val="tr-TR"/>
        </w:rPr>
        <w:t>Performans Eksikliği Yaptırımı olmak üzere iki temel başlık altında değerlendirilmektedir</w:t>
      </w:r>
      <w:r w:rsidR="00EB483C" w:rsidRPr="00CF336B">
        <w:rPr>
          <w:lang w:val="tr-TR"/>
        </w:rPr>
        <w:t xml:space="preserve"> </w:t>
      </w:r>
      <w:sdt>
        <w:sdtPr>
          <w:rPr>
            <w:lang w:val="tr-TR"/>
          </w:rPr>
          <w:id w:val="-809632316"/>
          <w:citation/>
        </w:sdtPr>
        <w:sdtEndPr/>
        <w:sdtContent>
          <w:r w:rsidR="00EB483C" w:rsidRPr="00CF336B">
            <w:rPr>
              <w:lang w:val="tr-TR"/>
            </w:rPr>
            <w:fldChar w:fldCharType="begin"/>
          </w:r>
          <w:r w:rsidR="00EB483C" w:rsidRPr="00CF336B">
            <w:rPr>
              <w:lang w:val="tr-TR"/>
            </w:rPr>
            <w:instrText xml:space="preserve"> CITATION ACE23 \l 1055 </w:instrText>
          </w:r>
          <w:r w:rsidR="00EB483C" w:rsidRPr="00CF336B">
            <w:rPr>
              <w:lang w:val="tr-TR"/>
            </w:rPr>
            <w:fldChar w:fldCharType="separate"/>
          </w:r>
          <w:r w:rsidR="00D95FF7">
            <w:rPr>
              <w:noProof/>
              <w:lang w:val="tr-TR"/>
            </w:rPr>
            <w:t>(ACER, 2023)</w:t>
          </w:r>
          <w:r w:rsidR="00EB483C" w:rsidRPr="00CF336B">
            <w:rPr>
              <w:lang w:val="tr-TR"/>
            </w:rPr>
            <w:fldChar w:fldCharType="end"/>
          </w:r>
        </w:sdtContent>
      </w:sdt>
      <w:r w:rsidR="00EB483C" w:rsidRPr="00CF336B">
        <w:rPr>
          <w:lang w:val="tr-TR"/>
        </w:rPr>
        <w:t>.</w:t>
      </w:r>
      <w:r w:rsidR="003D2F37" w:rsidRPr="00CF336B">
        <w:rPr>
          <w:lang w:val="tr-TR"/>
        </w:rPr>
        <w:t xml:space="preserve"> </w:t>
      </w:r>
      <w:r w:rsidRPr="00CF336B">
        <w:rPr>
          <w:lang w:val="tr-TR"/>
        </w:rPr>
        <w:t xml:space="preserve">Teslimat eksikliği yaptırımı genellikle, kapasite sağlanması gereken teslimat dönemlerinde henüz devreye alınmamış santrallere uygulanan yaptırımları kapsamaktadır. </w:t>
      </w:r>
    </w:p>
    <w:p w14:paraId="5714D3EB" w14:textId="77777777" w:rsidR="006B2435" w:rsidRPr="00CF336B" w:rsidRDefault="00B4120F" w:rsidP="004D4361">
      <w:pPr>
        <w:spacing w:line="360" w:lineRule="auto"/>
        <w:jc w:val="both"/>
        <w:rPr>
          <w:lang w:val="tr-TR"/>
        </w:rPr>
      </w:pPr>
      <w:r w:rsidRPr="00CF336B">
        <w:rPr>
          <w:lang w:val="tr-TR"/>
        </w:rPr>
        <w:t xml:space="preserve">Yaptırım bedelinin belirlenmesinde ise iki temel yaklaşım bulunmaktadır. Yaptırım sabit bir bedele veya bir referans fiyata sahip olabilir. Örnek olarak Belçika ve İrlanda’da uygulanan kapasite mekanizmasındaki yaptırım bedeli sabit bir fiyata sahipken Fransa ve Polonya’daki yaptırım bedeli bir referans fiyat ile </w:t>
      </w:r>
      <w:r w:rsidR="003D2F37" w:rsidRPr="00CF336B">
        <w:rPr>
          <w:lang w:val="tr-TR"/>
        </w:rPr>
        <w:t>belirlenmektedir</w:t>
      </w:r>
      <w:r w:rsidRPr="00CF336B">
        <w:rPr>
          <w:lang w:val="tr-TR"/>
        </w:rPr>
        <w:t>. Polonya’da</w:t>
      </w:r>
      <w:r w:rsidR="00687234" w:rsidRPr="00CF336B">
        <w:rPr>
          <w:lang w:val="tr-TR"/>
        </w:rPr>
        <w:t xml:space="preserve"> </w:t>
      </w:r>
      <w:r w:rsidRPr="00CF336B">
        <w:rPr>
          <w:lang w:val="tr-TR"/>
        </w:rPr>
        <w:t xml:space="preserve">her teslimat dönemi için bir yaptırım bedeli </w:t>
      </w:r>
      <w:r w:rsidR="003D2F37" w:rsidRPr="00CF336B">
        <w:rPr>
          <w:lang w:val="tr-TR"/>
        </w:rPr>
        <w:t>belirlenmekte</w:t>
      </w:r>
      <w:r w:rsidRPr="00CF336B">
        <w:rPr>
          <w:lang w:val="tr-TR"/>
        </w:rPr>
        <w:t xml:space="preserve"> ve bu bedel teslimat yılına ait olan ihalede gerçekleşen en yüksek fiyatı referans almaktadır. Benzer şekilde Fransa’daki yaptırım bedeli teslimat yılından bir yıl önceki yıl gerçekleşen T-1 ihalesinde oluşan ihale fiyatını referans almaktadır. Referans bazlı yaklaşımı sabit fiyatlı yaklaşımdan ayıran özellik ise, yaptırım miktarlarının referans fiyat ile ihalede kazanan fiyatın farkları ile belirlenebilir olmasıdır. Fransa ve İtalya’da uygulanan bu yaklaşımda yaptırım bedeli taban fiyattan tavan fiyata kadar uzanan geniş bir ölçeğe sahip olabilmektedir. Yaptırımlar genellikle, kapasite tahsisi kapsamında yapılan kontratın başlangıç tarihinde başlamakta ve yıl içerisinde </w:t>
      </w:r>
      <w:r w:rsidR="00031A37" w:rsidRPr="00CF336B">
        <w:rPr>
          <w:lang w:val="tr-TR"/>
        </w:rPr>
        <w:t>taahhüt</w:t>
      </w:r>
      <w:r w:rsidRPr="00CF336B">
        <w:rPr>
          <w:lang w:val="tr-TR"/>
        </w:rPr>
        <w:t xml:space="preserve"> edilen kapasitenin emre amade olmadığı süre ile doğru orantılı bir şekilde uygulanmaktadır. </w:t>
      </w:r>
    </w:p>
    <w:p w14:paraId="4987805B" w14:textId="7BF0FB9C" w:rsidR="00B4120F" w:rsidRPr="00CF336B" w:rsidRDefault="00B4120F" w:rsidP="004D4361">
      <w:pPr>
        <w:spacing w:line="360" w:lineRule="auto"/>
        <w:jc w:val="both"/>
        <w:rPr>
          <w:lang w:val="tr-TR"/>
        </w:rPr>
      </w:pPr>
      <w:r w:rsidRPr="00CF336B">
        <w:rPr>
          <w:lang w:val="tr-TR"/>
        </w:rPr>
        <w:t xml:space="preserve">Teslimat eksikliği riskinin değerlendirilebilmesi ve öngörülebilmesi için ülkelerdeki yetkili otoriteler piyasa çaplı kapasite mekanizması kapsamında yeni yapılacak ve devreye alınacak olan kaynakları periyodik olarak gözetlemeli ve takip etmelidir. Bu takip genellikle, proje geliştiricilerin piyasa işletmecisine sunduğu ve projedeki ilerlemelerin yer </w:t>
      </w:r>
      <w:r w:rsidR="006B2435" w:rsidRPr="00CF336B">
        <w:rPr>
          <w:lang w:val="tr-TR"/>
        </w:rPr>
        <w:t>aldığı</w:t>
      </w:r>
      <w:r w:rsidRPr="00CF336B">
        <w:rPr>
          <w:lang w:val="tr-TR"/>
        </w:rPr>
        <w:t xml:space="preserve"> raporlar vasıtasıyla yapılmaktadır. Örnek olarak Belçika ve İtalya’da, proje geliştiriciler piyasa işletmecilerine çeyreklik, İrlanda’da ise 6 aylık ilerleme raporları göndermekle yükümlüdür.  Fransa’da proje geliştiricileri kapasite dağıtımından, gözetlenmesinden ve kontratlarından sorumlu iletim operatörünü devreye alımları kapsamında karşılaştıkları problemler konusunda bilgilendirmek zorundadır. Teslim edilemeyen kapasitelerin yarattığı arz açığını kapatmak adına özel düzenlemeler yapılabilmektedir. Örnek olarak Fransa ve Polonya’da arz güvenliği açısından gerek görülmesi halinde ek teslimat yılına en yakın olacak şekilde T-1 ihaleleri düzenlenebilmektedir. Ülkelerde teslimat eksiliği durumunda uygulanan yaptırımların önemli özellikleri </w:t>
      </w:r>
      <w:r w:rsidRPr="00CF336B">
        <w:rPr>
          <w:lang w:val="tr-TR"/>
        </w:rPr>
        <w:fldChar w:fldCharType="begin"/>
      </w:r>
      <w:r w:rsidRPr="00CF336B">
        <w:rPr>
          <w:lang w:val="tr-TR"/>
        </w:rPr>
        <w:instrText xml:space="preserve"> REF _Ref148881393 \h </w:instrText>
      </w:r>
      <w:r w:rsidR="00413DBB" w:rsidRPr="00CF336B">
        <w:rPr>
          <w:lang w:val="tr-TR"/>
        </w:rPr>
        <w:instrText xml:space="preserve"> \* MERGEFORMAT </w:instrText>
      </w:r>
      <w:r w:rsidRPr="00CF336B">
        <w:rPr>
          <w:lang w:val="tr-TR"/>
        </w:rPr>
      </w:r>
      <w:r w:rsidRPr="00CF336B">
        <w:rPr>
          <w:lang w:val="tr-TR"/>
        </w:rPr>
        <w:fldChar w:fldCharType="separate"/>
      </w:r>
      <w:r w:rsidR="00931C85" w:rsidRPr="00CF336B">
        <w:rPr>
          <w:lang w:val="tr-TR"/>
        </w:rPr>
        <w:t xml:space="preserve">Tablo </w:t>
      </w:r>
      <w:r w:rsidR="00931C85" w:rsidRPr="00CF336B">
        <w:rPr>
          <w:noProof/>
          <w:lang w:val="tr-TR"/>
        </w:rPr>
        <w:t>7</w:t>
      </w:r>
      <w:r w:rsidRPr="00CF336B">
        <w:rPr>
          <w:lang w:val="tr-TR"/>
        </w:rPr>
        <w:fldChar w:fldCharType="end"/>
      </w:r>
      <w:r w:rsidRPr="00CF336B">
        <w:rPr>
          <w:lang w:val="tr-TR"/>
        </w:rPr>
        <w:t>’d</w:t>
      </w:r>
      <w:r w:rsidR="00931C85" w:rsidRPr="00CF336B">
        <w:rPr>
          <w:lang w:val="tr-TR"/>
        </w:rPr>
        <w:t>e</w:t>
      </w:r>
      <w:r w:rsidRPr="00CF336B">
        <w:rPr>
          <w:lang w:val="tr-TR"/>
        </w:rPr>
        <w:t xml:space="preserve"> gösterilmiştir.</w:t>
      </w:r>
    </w:p>
    <w:p w14:paraId="6CC758AE" w14:textId="77777777" w:rsidR="00125C81" w:rsidRDefault="00125C81" w:rsidP="004D4361">
      <w:pPr>
        <w:pStyle w:val="Caption"/>
        <w:keepNext/>
        <w:spacing w:line="360" w:lineRule="auto"/>
        <w:jc w:val="center"/>
        <w:rPr>
          <w:color w:val="auto"/>
          <w:sz w:val="22"/>
          <w:szCs w:val="22"/>
          <w:lang w:val="tr-TR"/>
        </w:rPr>
      </w:pPr>
      <w:bookmarkStart w:id="142" w:name="_Ref148881393"/>
      <w:bookmarkStart w:id="143" w:name="_Ref148881385"/>
    </w:p>
    <w:p w14:paraId="193D15B9" w14:textId="77777777" w:rsidR="009750C1" w:rsidRPr="009750C1" w:rsidRDefault="009750C1" w:rsidP="009750C1">
      <w:pPr>
        <w:rPr>
          <w:lang w:val="tr-TR"/>
        </w:rPr>
      </w:pPr>
    </w:p>
    <w:p w14:paraId="6E53FF5E" w14:textId="36A1F217" w:rsidR="00B4120F" w:rsidRPr="00CF336B" w:rsidRDefault="00B4120F" w:rsidP="004D4361">
      <w:pPr>
        <w:pStyle w:val="Caption"/>
        <w:keepNext/>
        <w:spacing w:line="360" w:lineRule="auto"/>
        <w:jc w:val="center"/>
        <w:rPr>
          <w:color w:val="auto"/>
          <w:sz w:val="22"/>
          <w:szCs w:val="22"/>
          <w:lang w:val="tr-TR"/>
        </w:rPr>
      </w:pPr>
      <w:bookmarkStart w:id="144" w:name="_Toc156210502"/>
      <w:r w:rsidRPr="00CF336B">
        <w:rPr>
          <w:color w:val="auto"/>
          <w:sz w:val="22"/>
          <w:szCs w:val="22"/>
          <w:lang w:val="tr-TR"/>
        </w:rPr>
        <w:t xml:space="preserve">Tablo </w:t>
      </w:r>
      <w:r w:rsidRPr="00CF336B">
        <w:rPr>
          <w:color w:val="auto"/>
          <w:sz w:val="22"/>
          <w:szCs w:val="22"/>
          <w:lang w:val="tr-TR"/>
        </w:rPr>
        <w:fldChar w:fldCharType="begin"/>
      </w:r>
      <w:r w:rsidRPr="00CF336B">
        <w:rPr>
          <w:color w:val="auto"/>
          <w:sz w:val="22"/>
          <w:szCs w:val="22"/>
          <w:lang w:val="tr-TR"/>
        </w:rPr>
        <w:instrText xml:space="preserve"> SEQ Tablo \* ARABIC </w:instrText>
      </w:r>
      <w:r w:rsidRPr="00CF336B">
        <w:rPr>
          <w:color w:val="auto"/>
          <w:sz w:val="22"/>
          <w:szCs w:val="22"/>
          <w:lang w:val="tr-TR"/>
        </w:rPr>
        <w:fldChar w:fldCharType="separate"/>
      </w:r>
      <w:r w:rsidR="00A22AF1" w:rsidRPr="00CF336B">
        <w:rPr>
          <w:noProof/>
          <w:color w:val="auto"/>
          <w:sz w:val="22"/>
          <w:szCs w:val="22"/>
          <w:lang w:val="tr-TR"/>
        </w:rPr>
        <w:t>7</w:t>
      </w:r>
      <w:r w:rsidRPr="00CF336B">
        <w:rPr>
          <w:color w:val="auto"/>
          <w:sz w:val="22"/>
          <w:szCs w:val="22"/>
          <w:lang w:val="tr-TR"/>
        </w:rPr>
        <w:fldChar w:fldCharType="end"/>
      </w:r>
      <w:bookmarkEnd w:id="142"/>
      <w:r w:rsidRPr="00CF336B">
        <w:rPr>
          <w:color w:val="auto"/>
          <w:sz w:val="22"/>
          <w:szCs w:val="22"/>
          <w:lang w:val="tr-TR"/>
        </w:rPr>
        <w:t>. Ülkelerde Teslimat Eksikliği Durumunda Uygulanan Yaptırımların Özellikleri</w:t>
      </w:r>
      <w:bookmarkEnd w:id="143"/>
      <w:bookmarkEnd w:id="144"/>
    </w:p>
    <w:tbl>
      <w:tblPr>
        <w:tblStyle w:val="TableGrid"/>
        <w:tblW w:w="0" w:type="auto"/>
        <w:tblLook w:val="04A0" w:firstRow="1" w:lastRow="0" w:firstColumn="1" w:lastColumn="0" w:noHBand="0" w:noVBand="1"/>
      </w:tblPr>
      <w:tblGrid>
        <w:gridCol w:w="919"/>
        <w:gridCol w:w="1209"/>
        <w:gridCol w:w="1599"/>
        <w:gridCol w:w="1210"/>
        <w:gridCol w:w="1497"/>
        <w:gridCol w:w="1578"/>
        <w:gridCol w:w="1338"/>
      </w:tblGrid>
      <w:tr w:rsidR="00B4120F" w:rsidRPr="00CF336B" w14:paraId="1343408F" w14:textId="77777777" w:rsidTr="00351118">
        <w:trPr>
          <w:tblHeader/>
        </w:trPr>
        <w:tc>
          <w:tcPr>
            <w:tcW w:w="919" w:type="dxa"/>
            <w:shd w:val="clear" w:color="auto" w:fill="1F4E79" w:themeFill="accent5" w:themeFillShade="80"/>
            <w:vAlign w:val="center"/>
          </w:tcPr>
          <w:p w14:paraId="2778B0F6"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Ülke</w:t>
            </w:r>
          </w:p>
        </w:tc>
        <w:tc>
          <w:tcPr>
            <w:tcW w:w="1209" w:type="dxa"/>
            <w:shd w:val="clear" w:color="auto" w:fill="1F4E79" w:themeFill="accent5" w:themeFillShade="80"/>
            <w:vAlign w:val="center"/>
          </w:tcPr>
          <w:p w14:paraId="5C2991ED"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Yaptırım Bedeli Belirleme Yöntemi</w:t>
            </w:r>
          </w:p>
        </w:tc>
        <w:tc>
          <w:tcPr>
            <w:tcW w:w="1695" w:type="dxa"/>
            <w:shd w:val="clear" w:color="auto" w:fill="1F4E79" w:themeFill="accent5" w:themeFillShade="80"/>
            <w:vAlign w:val="center"/>
          </w:tcPr>
          <w:p w14:paraId="41D012A8"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Kontratın İptal Edilmesi İçin Gereken Şartlar</w:t>
            </w:r>
          </w:p>
        </w:tc>
        <w:tc>
          <w:tcPr>
            <w:tcW w:w="1114" w:type="dxa"/>
            <w:shd w:val="clear" w:color="auto" w:fill="1F4E79" w:themeFill="accent5" w:themeFillShade="80"/>
            <w:vAlign w:val="center"/>
          </w:tcPr>
          <w:p w14:paraId="66687D89"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Kontrat İptalini Takiben Uygulanan Yaptırımın Süresi</w:t>
            </w:r>
          </w:p>
        </w:tc>
        <w:tc>
          <w:tcPr>
            <w:tcW w:w="1497" w:type="dxa"/>
            <w:shd w:val="clear" w:color="auto" w:fill="1F4E79" w:themeFill="accent5" w:themeFillShade="80"/>
            <w:vAlign w:val="center"/>
          </w:tcPr>
          <w:p w14:paraId="51A4EE0D"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 xml:space="preserve">Yaptırımların Yapılan Ek İhale Maliyetlerinin </w:t>
            </w:r>
            <w:proofErr w:type="spellStart"/>
            <w:r w:rsidRPr="00CF336B">
              <w:rPr>
                <w:b/>
                <w:bCs/>
                <w:color w:val="FFFFFF" w:themeColor="background1"/>
                <w:lang w:val="tr-TR"/>
              </w:rPr>
              <w:t>Dahiliyeti</w:t>
            </w:r>
            <w:proofErr w:type="spellEnd"/>
          </w:p>
        </w:tc>
        <w:tc>
          <w:tcPr>
            <w:tcW w:w="1578" w:type="dxa"/>
            <w:shd w:val="clear" w:color="auto" w:fill="1F4E79" w:themeFill="accent5" w:themeFillShade="80"/>
            <w:vAlign w:val="center"/>
          </w:tcPr>
          <w:p w14:paraId="3F4D372C"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Kapasite Sağlayıcılarının Devreye Alımının ve Teslimatının Takibi</w:t>
            </w:r>
          </w:p>
        </w:tc>
        <w:tc>
          <w:tcPr>
            <w:tcW w:w="1338" w:type="dxa"/>
            <w:shd w:val="clear" w:color="auto" w:fill="1F4E79" w:themeFill="accent5" w:themeFillShade="80"/>
            <w:vAlign w:val="center"/>
          </w:tcPr>
          <w:p w14:paraId="104A73A5"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Teslim Edilemeyen Kapasitenin Telafi Prosedürü</w:t>
            </w:r>
          </w:p>
        </w:tc>
      </w:tr>
      <w:tr w:rsidR="00B4120F" w:rsidRPr="00CF336B" w14:paraId="11FED9F1" w14:textId="77777777" w:rsidTr="00351118">
        <w:tc>
          <w:tcPr>
            <w:tcW w:w="919" w:type="dxa"/>
            <w:vAlign w:val="center"/>
          </w:tcPr>
          <w:p w14:paraId="16106998" w14:textId="77777777" w:rsidR="00B4120F" w:rsidRPr="00CF336B" w:rsidRDefault="00B4120F" w:rsidP="004D4361">
            <w:pPr>
              <w:spacing w:line="360" w:lineRule="auto"/>
              <w:jc w:val="center"/>
              <w:rPr>
                <w:lang w:val="tr-TR"/>
              </w:rPr>
            </w:pPr>
            <w:r w:rsidRPr="00CF336B">
              <w:rPr>
                <w:lang w:val="tr-TR"/>
              </w:rPr>
              <w:t>Belçika</w:t>
            </w:r>
          </w:p>
        </w:tc>
        <w:tc>
          <w:tcPr>
            <w:tcW w:w="1209" w:type="dxa"/>
            <w:vAlign w:val="center"/>
          </w:tcPr>
          <w:p w14:paraId="0EAFB62D" w14:textId="77777777" w:rsidR="00B4120F" w:rsidRPr="00CF336B" w:rsidRDefault="00B4120F" w:rsidP="004D4361">
            <w:pPr>
              <w:spacing w:line="360" w:lineRule="auto"/>
              <w:jc w:val="center"/>
              <w:rPr>
                <w:lang w:val="tr-TR"/>
              </w:rPr>
            </w:pPr>
            <w:r w:rsidRPr="00CF336B">
              <w:rPr>
                <w:lang w:val="tr-TR"/>
              </w:rPr>
              <w:t>Önceden Belirlenmiş Sabit Fiyat</w:t>
            </w:r>
          </w:p>
        </w:tc>
        <w:tc>
          <w:tcPr>
            <w:tcW w:w="1695" w:type="dxa"/>
            <w:vAlign w:val="center"/>
          </w:tcPr>
          <w:p w14:paraId="05EC9A8B" w14:textId="77777777" w:rsidR="00B4120F" w:rsidRPr="00CF336B" w:rsidRDefault="00B4120F" w:rsidP="004D4361">
            <w:pPr>
              <w:spacing w:line="360" w:lineRule="auto"/>
              <w:jc w:val="center"/>
              <w:rPr>
                <w:lang w:val="tr-TR"/>
              </w:rPr>
            </w:pPr>
            <w:r w:rsidRPr="00CF336B">
              <w:rPr>
                <w:lang w:val="tr-TR"/>
              </w:rPr>
              <w:t>3 Yıl Üst Üste Ara Gereklilik Şartlarının Yerine Getirilememesi</w:t>
            </w:r>
          </w:p>
        </w:tc>
        <w:tc>
          <w:tcPr>
            <w:tcW w:w="1114" w:type="dxa"/>
            <w:vAlign w:val="center"/>
          </w:tcPr>
          <w:p w14:paraId="60F170D4" w14:textId="77777777" w:rsidR="00B4120F" w:rsidRPr="00CF336B" w:rsidRDefault="00B4120F" w:rsidP="004D4361">
            <w:pPr>
              <w:spacing w:line="360" w:lineRule="auto"/>
              <w:jc w:val="center"/>
              <w:rPr>
                <w:lang w:val="tr-TR"/>
              </w:rPr>
            </w:pPr>
            <w:r w:rsidRPr="00CF336B">
              <w:rPr>
                <w:lang w:val="tr-TR"/>
              </w:rPr>
              <w:t>Maksimum 3 Yıllık Teslimat Öncesi Yaptırımı ve 1 Yıllık Teslimat Eksikliği Yaptırımı</w:t>
            </w:r>
          </w:p>
        </w:tc>
        <w:tc>
          <w:tcPr>
            <w:tcW w:w="1497" w:type="dxa"/>
            <w:vAlign w:val="center"/>
          </w:tcPr>
          <w:p w14:paraId="298266E9" w14:textId="77777777" w:rsidR="00B4120F" w:rsidRPr="00CF336B" w:rsidRDefault="00B4120F" w:rsidP="004D4361">
            <w:pPr>
              <w:spacing w:line="360" w:lineRule="auto"/>
              <w:jc w:val="center"/>
              <w:rPr>
                <w:lang w:val="tr-TR"/>
              </w:rPr>
            </w:pPr>
            <w:r w:rsidRPr="00CF336B">
              <w:rPr>
                <w:lang w:val="tr-TR"/>
              </w:rPr>
              <w:t xml:space="preserve">Dahil </w:t>
            </w:r>
          </w:p>
          <w:p w14:paraId="0AB2AFB8" w14:textId="77777777" w:rsidR="00B4120F" w:rsidRPr="00CF336B" w:rsidRDefault="00B4120F" w:rsidP="004D4361">
            <w:pPr>
              <w:spacing w:line="360" w:lineRule="auto"/>
              <w:jc w:val="center"/>
              <w:rPr>
                <w:lang w:val="tr-TR"/>
              </w:rPr>
            </w:pPr>
            <w:r w:rsidRPr="00CF336B">
              <w:rPr>
                <w:lang w:val="tr-TR"/>
              </w:rPr>
              <w:t>Değil</w:t>
            </w:r>
          </w:p>
        </w:tc>
        <w:tc>
          <w:tcPr>
            <w:tcW w:w="1578" w:type="dxa"/>
            <w:vAlign w:val="center"/>
          </w:tcPr>
          <w:p w14:paraId="040BECBB" w14:textId="77777777" w:rsidR="00B4120F" w:rsidRPr="00CF336B" w:rsidRDefault="00B4120F" w:rsidP="004D4361">
            <w:pPr>
              <w:spacing w:line="360" w:lineRule="auto"/>
              <w:jc w:val="center"/>
              <w:rPr>
                <w:lang w:val="tr-TR"/>
              </w:rPr>
            </w:pPr>
            <w:r w:rsidRPr="00CF336B">
              <w:rPr>
                <w:lang w:val="tr-TR"/>
              </w:rPr>
              <w:t>Mevcut</w:t>
            </w:r>
          </w:p>
        </w:tc>
        <w:tc>
          <w:tcPr>
            <w:tcW w:w="1338" w:type="dxa"/>
            <w:vAlign w:val="center"/>
          </w:tcPr>
          <w:p w14:paraId="58856EF7" w14:textId="77777777" w:rsidR="00B4120F" w:rsidRPr="00CF336B" w:rsidRDefault="00B4120F" w:rsidP="004D4361">
            <w:pPr>
              <w:spacing w:line="360" w:lineRule="auto"/>
              <w:jc w:val="center"/>
              <w:rPr>
                <w:lang w:val="tr-TR"/>
              </w:rPr>
            </w:pPr>
            <w:r w:rsidRPr="00CF336B">
              <w:rPr>
                <w:lang w:val="tr-TR"/>
              </w:rPr>
              <w:t>T-1 İhalesi Vasıtasıyla</w:t>
            </w:r>
          </w:p>
        </w:tc>
      </w:tr>
      <w:tr w:rsidR="00B4120F" w:rsidRPr="00CF336B" w14:paraId="5BA771C7" w14:textId="77777777" w:rsidTr="00351118">
        <w:tc>
          <w:tcPr>
            <w:tcW w:w="919" w:type="dxa"/>
            <w:vAlign w:val="center"/>
          </w:tcPr>
          <w:p w14:paraId="78FBAEB7" w14:textId="77777777" w:rsidR="00B4120F" w:rsidRPr="00CF336B" w:rsidRDefault="00B4120F" w:rsidP="004D4361">
            <w:pPr>
              <w:spacing w:line="360" w:lineRule="auto"/>
              <w:jc w:val="center"/>
              <w:rPr>
                <w:lang w:val="tr-TR"/>
              </w:rPr>
            </w:pPr>
            <w:r w:rsidRPr="00CF336B">
              <w:rPr>
                <w:lang w:val="tr-TR"/>
              </w:rPr>
              <w:t>Fransa</w:t>
            </w:r>
          </w:p>
        </w:tc>
        <w:tc>
          <w:tcPr>
            <w:tcW w:w="1209" w:type="dxa"/>
            <w:vAlign w:val="center"/>
          </w:tcPr>
          <w:p w14:paraId="6A6A9D36" w14:textId="77777777" w:rsidR="00B4120F" w:rsidRPr="00CF336B" w:rsidRDefault="00B4120F" w:rsidP="004D4361">
            <w:pPr>
              <w:spacing w:line="360" w:lineRule="auto"/>
              <w:jc w:val="center"/>
              <w:rPr>
                <w:lang w:val="tr-TR"/>
              </w:rPr>
            </w:pPr>
            <w:r w:rsidRPr="00CF336B">
              <w:rPr>
                <w:lang w:val="tr-TR"/>
              </w:rPr>
              <w:t>Teslimat Yılı ve Kontrat Fiyatı ile Bağlantılı Değişken, Referans Fiyat</w:t>
            </w:r>
          </w:p>
        </w:tc>
        <w:tc>
          <w:tcPr>
            <w:tcW w:w="1695" w:type="dxa"/>
            <w:vAlign w:val="center"/>
          </w:tcPr>
          <w:p w14:paraId="171E0ED7" w14:textId="5BA7CAD4" w:rsidR="00B4120F" w:rsidRPr="00CF336B" w:rsidRDefault="00B4120F" w:rsidP="004D4361">
            <w:pPr>
              <w:spacing w:line="360" w:lineRule="auto"/>
              <w:jc w:val="center"/>
              <w:rPr>
                <w:lang w:val="tr-TR"/>
              </w:rPr>
            </w:pPr>
            <w:r w:rsidRPr="00CF336B">
              <w:rPr>
                <w:lang w:val="tr-TR"/>
              </w:rPr>
              <w:t>Kapasite Sağlayıcısının İn</w:t>
            </w:r>
            <w:r w:rsidR="00AE65E5" w:rsidRPr="00CF336B">
              <w:rPr>
                <w:lang w:val="tr-TR"/>
              </w:rPr>
              <w:t>i</w:t>
            </w:r>
            <w:r w:rsidRPr="00CF336B">
              <w:rPr>
                <w:lang w:val="tr-TR"/>
              </w:rPr>
              <w:t>siyatifinde</w:t>
            </w:r>
          </w:p>
        </w:tc>
        <w:tc>
          <w:tcPr>
            <w:tcW w:w="1114" w:type="dxa"/>
            <w:vAlign w:val="center"/>
          </w:tcPr>
          <w:p w14:paraId="772C08FF" w14:textId="77777777" w:rsidR="00B4120F" w:rsidRPr="00CF336B" w:rsidRDefault="00B4120F" w:rsidP="004D4361">
            <w:pPr>
              <w:spacing w:line="360" w:lineRule="auto"/>
              <w:jc w:val="center"/>
              <w:rPr>
                <w:lang w:val="tr-TR"/>
              </w:rPr>
            </w:pPr>
            <w:r w:rsidRPr="00CF336B">
              <w:rPr>
                <w:lang w:val="tr-TR"/>
              </w:rPr>
              <w:t>Maksimum 4 Yıllık Yaptırım</w:t>
            </w:r>
          </w:p>
        </w:tc>
        <w:tc>
          <w:tcPr>
            <w:tcW w:w="1497" w:type="dxa"/>
            <w:vAlign w:val="center"/>
          </w:tcPr>
          <w:p w14:paraId="6F6215FF" w14:textId="77777777" w:rsidR="00B4120F" w:rsidRPr="00CF336B" w:rsidRDefault="00B4120F" w:rsidP="004D4361">
            <w:pPr>
              <w:spacing w:line="360" w:lineRule="auto"/>
              <w:jc w:val="center"/>
              <w:rPr>
                <w:lang w:val="tr-TR"/>
              </w:rPr>
            </w:pPr>
            <w:r w:rsidRPr="00CF336B">
              <w:rPr>
                <w:lang w:val="tr-TR"/>
              </w:rPr>
              <w:t xml:space="preserve">Dahil </w:t>
            </w:r>
          </w:p>
          <w:p w14:paraId="20F2BF1D" w14:textId="77777777" w:rsidR="00B4120F" w:rsidRPr="00CF336B" w:rsidRDefault="00B4120F" w:rsidP="004D4361">
            <w:pPr>
              <w:spacing w:line="360" w:lineRule="auto"/>
              <w:jc w:val="center"/>
              <w:rPr>
                <w:lang w:val="tr-TR"/>
              </w:rPr>
            </w:pPr>
            <w:r w:rsidRPr="00CF336B">
              <w:rPr>
                <w:lang w:val="tr-TR"/>
              </w:rPr>
              <w:t>Değil</w:t>
            </w:r>
          </w:p>
        </w:tc>
        <w:tc>
          <w:tcPr>
            <w:tcW w:w="1578" w:type="dxa"/>
            <w:vAlign w:val="center"/>
          </w:tcPr>
          <w:p w14:paraId="1B9A8F88" w14:textId="77777777" w:rsidR="00B4120F" w:rsidRPr="00CF336B" w:rsidRDefault="00B4120F" w:rsidP="004D4361">
            <w:pPr>
              <w:spacing w:line="360" w:lineRule="auto"/>
              <w:jc w:val="center"/>
              <w:rPr>
                <w:lang w:val="tr-TR"/>
              </w:rPr>
            </w:pPr>
            <w:r w:rsidRPr="00CF336B">
              <w:rPr>
                <w:lang w:val="tr-TR"/>
              </w:rPr>
              <w:t>Mevcut</w:t>
            </w:r>
          </w:p>
        </w:tc>
        <w:tc>
          <w:tcPr>
            <w:tcW w:w="1338" w:type="dxa"/>
            <w:vAlign w:val="center"/>
          </w:tcPr>
          <w:p w14:paraId="13811FA3" w14:textId="77777777" w:rsidR="00B4120F" w:rsidRPr="00CF336B" w:rsidRDefault="00B4120F" w:rsidP="004D4361">
            <w:pPr>
              <w:spacing w:line="360" w:lineRule="auto"/>
              <w:jc w:val="center"/>
              <w:rPr>
                <w:lang w:val="tr-TR"/>
              </w:rPr>
            </w:pPr>
            <w:r w:rsidRPr="00CF336B">
              <w:rPr>
                <w:lang w:val="tr-TR"/>
              </w:rPr>
              <w:t>Zorunluluk Kapasite Sağlayıcı Üzerinde</w:t>
            </w:r>
          </w:p>
        </w:tc>
      </w:tr>
      <w:tr w:rsidR="00B4120F" w:rsidRPr="00CF336B" w14:paraId="4A2FA7BC" w14:textId="77777777" w:rsidTr="00351118">
        <w:tc>
          <w:tcPr>
            <w:tcW w:w="919" w:type="dxa"/>
            <w:vAlign w:val="center"/>
          </w:tcPr>
          <w:p w14:paraId="41C4B6A9" w14:textId="77777777" w:rsidR="00B4120F" w:rsidRPr="00CF336B" w:rsidRDefault="00B4120F" w:rsidP="004D4361">
            <w:pPr>
              <w:spacing w:line="360" w:lineRule="auto"/>
              <w:jc w:val="center"/>
              <w:rPr>
                <w:lang w:val="tr-TR"/>
              </w:rPr>
            </w:pPr>
            <w:r w:rsidRPr="00CF336B">
              <w:rPr>
                <w:lang w:val="tr-TR"/>
              </w:rPr>
              <w:t>İtalya</w:t>
            </w:r>
          </w:p>
        </w:tc>
        <w:tc>
          <w:tcPr>
            <w:tcW w:w="1209" w:type="dxa"/>
            <w:vAlign w:val="center"/>
          </w:tcPr>
          <w:p w14:paraId="32A0434B" w14:textId="77777777" w:rsidR="00B4120F" w:rsidRPr="00CF336B" w:rsidRDefault="00B4120F" w:rsidP="004D4361">
            <w:pPr>
              <w:spacing w:line="360" w:lineRule="auto"/>
              <w:jc w:val="center"/>
              <w:rPr>
                <w:lang w:val="tr-TR"/>
              </w:rPr>
            </w:pPr>
            <w:r w:rsidRPr="00CF336B">
              <w:rPr>
                <w:lang w:val="tr-TR"/>
              </w:rPr>
              <w:t>Ek İhale Fiyatı ile Bağlantılı Referans Fiyat</w:t>
            </w:r>
          </w:p>
        </w:tc>
        <w:tc>
          <w:tcPr>
            <w:tcW w:w="1695" w:type="dxa"/>
            <w:vAlign w:val="center"/>
          </w:tcPr>
          <w:p w14:paraId="49425C2D" w14:textId="040FE7FC" w:rsidR="00B4120F" w:rsidRPr="00CF336B" w:rsidRDefault="00B4120F" w:rsidP="004D4361">
            <w:pPr>
              <w:spacing w:line="360" w:lineRule="auto"/>
              <w:jc w:val="center"/>
              <w:rPr>
                <w:lang w:val="tr-TR"/>
              </w:rPr>
            </w:pPr>
            <w:r w:rsidRPr="00CF336B">
              <w:rPr>
                <w:lang w:val="tr-TR"/>
              </w:rPr>
              <w:t xml:space="preserve">3 Ay Boyunca </w:t>
            </w:r>
            <w:r w:rsidR="00AE65E5" w:rsidRPr="00CF336B">
              <w:rPr>
                <w:lang w:val="tr-TR"/>
              </w:rPr>
              <w:t>Taahhüt</w:t>
            </w:r>
            <w:r w:rsidRPr="00CF336B">
              <w:rPr>
                <w:lang w:val="tr-TR"/>
              </w:rPr>
              <w:t xml:space="preserve"> Edilen Kapasitenin </w:t>
            </w:r>
            <w:r w:rsidR="00AE65E5" w:rsidRPr="00CF336B">
              <w:rPr>
                <w:lang w:val="tr-TR"/>
              </w:rPr>
              <w:t>Sağlanamaması</w:t>
            </w:r>
          </w:p>
        </w:tc>
        <w:tc>
          <w:tcPr>
            <w:tcW w:w="1114" w:type="dxa"/>
            <w:vAlign w:val="center"/>
          </w:tcPr>
          <w:p w14:paraId="11D71293" w14:textId="77777777" w:rsidR="00B4120F" w:rsidRPr="00CF336B" w:rsidRDefault="00B4120F" w:rsidP="004D4361">
            <w:pPr>
              <w:spacing w:line="360" w:lineRule="auto"/>
              <w:jc w:val="center"/>
              <w:rPr>
                <w:lang w:val="tr-TR"/>
              </w:rPr>
            </w:pPr>
            <w:r w:rsidRPr="00CF336B">
              <w:rPr>
                <w:lang w:val="tr-TR"/>
              </w:rPr>
              <w:t>Kontrat Süresi Boyunca</w:t>
            </w:r>
          </w:p>
        </w:tc>
        <w:tc>
          <w:tcPr>
            <w:tcW w:w="1497" w:type="dxa"/>
            <w:vAlign w:val="center"/>
          </w:tcPr>
          <w:p w14:paraId="02F05E48" w14:textId="77777777" w:rsidR="00B4120F" w:rsidRPr="00CF336B" w:rsidRDefault="00B4120F" w:rsidP="004D4361">
            <w:pPr>
              <w:spacing w:line="360" w:lineRule="auto"/>
              <w:jc w:val="center"/>
              <w:rPr>
                <w:lang w:val="tr-TR"/>
              </w:rPr>
            </w:pPr>
            <w:r w:rsidRPr="00CF336B">
              <w:rPr>
                <w:lang w:val="tr-TR"/>
              </w:rPr>
              <w:t xml:space="preserve">Sadece </w:t>
            </w:r>
            <w:proofErr w:type="spellStart"/>
            <w:r w:rsidRPr="00CF336B">
              <w:rPr>
                <w:lang w:val="tr-TR"/>
              </w:rPr>
              <w:t>Artışsal</w:t>
            </w:r>
            <w:proofErr w:type="spellEnd"/>
            <w:r w:rsidRPr="00CF336B">
              <w:rPr>
                <w:lang w:val="tr-TR"/>
              </w:rPr>
              <w:t xml:space="preserve"> Maliyetler</w:t>
            </w:r>
          </w:p>
        </w:tc>
        <w:tc>
          <w:tcPr>
            <w:tcW w:w="1578" w:type="dxa"/>
            <w:vAlign w:val="center"/>
          </w:tcPr>
          <w:p w14:paraId="5A5DB191" w14:textId="77777777" w:rsidR="00B4120F" w:rsidRPr="00CF336B" w:rsidRDefault="00B4120F" w:rsidP="004D4361">
            <w:pPr>
              <w:spacing w:line="360" w:lineRule="auto"/>
              <w:jc w:val="center"/>
              <w:rPr>
                <w:lang w:val="tr-TR"/>
              </w:rPr>
            </w:pPr>
            <w:r w:rsidRPr="00CF336B">
              <w:rPr>
                <w:lang w:val="tr-TR"/>
              </w:rPr>
              <w:t>Mevcut</w:t>
            </w:r>
          </w:p>
        </w:tc>
        <w:tc>
          <w:tcPr>
            <w:tcW w:w="1338" w:type="dxa"/>
            <w:vAlign w:val="center"/>
          </w:tcPr>
          <w:p w14:paraId="5771F778" w14:textId="77777777" w:rsidR="00B4120F" w:rsidRPr="00CF336B" w:rsidRDefault="00B4120F" w:rsidP="004D4361">
            <w:pPr>
              <w:spacing w:line="360" w:lineRule="auto"/>
              <w:jc w:val="center"/>
              <w:rPr>
                <w:lang w:val="tr-TR"/>
              </w:rPr>
            </w:pPr>
            <w:r w:rsidRPr="00CF336B">
              <w:rPr>
                <w:lang w:val="tr-TR"/>
              </w:rPr>
              <w:t>İletim Sistemi Operatörü İkincil Piyasalardan Kapasite Tedarik Eder</w:t>
            </w:r>
          </w:p>
        </w:tc>
      </w:tr>
      <w:tr w:rsidR="00B4120F" w:rsidRPr="00CF336B" w14:paraId="74242ABA" w14:textId="77777777" w:rsidTr="00351118">
        <w:tc>
          <w:tcPr>
            <w:tcW w:w="919" w:type="dxa"/>
            <w:vAlign w:val="center"/>
          </w:tcPr>
          <w:p w14:paraId="2142BBC7" w14:textId="77777777" w:rsidR="00B4120F" w:rsidRPr="00CF336B" w:rsidRDefault="00B4120F" w:rsidP="004D4361">
            <w:pPr>
              <w:spacing w:line="360" w:lineRule="auto"/>
              <w:jc w:val="center"/>
              <w:rPr>
                <w:lang w:val="tr-TR"/>
              </w:rPr>
            </w:pPr>
            <w:r w:rsidRPr="00CF336B">
              <w:rPr>
                <w:lang w:val="tr-TR"/>
              </w:rPr>
              <w:t>İrlanda</w:t>
            </w:r>
          </w:p>
        </w:tc>
        <w:tc>
          <w:tcPr>
            <w:tcW w:w="1209" w:type="dxa"/>
            <w:vAlign w:val="center"/>
          </w:tcPr>
          <w:p w14:paraId="182A8B06" w14:textId="77777777" w:rsidR="00B4120F" w:rsidRPr="00CF336B" w:rsidRDefault="00B4120F" w:rsidP="004D4361">
            <w:pPr>
              <w:spacing w:line="360" w:lineRule="auto"/>
              <w:jc w:val="center"/>
              <w:rPr>
                <w:lang w:val="tr-TR"/>
              </w:rPr>
            </w:pPr>
            <w:r w:rsidRPr="00CF336B">
              <w:rPr>
                <w:lang w:val="tr-TR"/>
              </w:rPr>
              <w:t>Önceden Belirlenmiş Sabit Fiyat</w:t>
            </w:r>
          </w:p>
        </w:tc>
        <w:tc>
          <w:tcPr>
            <w:tcW w:w="1695" w:type="dxa"/>
            <w:vAlign w:val="center"/>
          </w:tcPr>
          <w:p w14:paraId="332434D4" w14:textId="2364C763" w:rsidR="00B4120F" w:rsidRPr="00CF336B" w:rsidRDefault="00B4120F" w:rsidP="004D4361">
            <w:pPr>
              <w:spacing w:line="360" w:lineRule="auto"/>
              <w:jc w:val="center"/>
              <w:rPr>
                <w:lang w:val="tr-TR"/>
              </w:rPr>
            </w:pPr>
            <w:r w:rsidRPr="00CF336B">
              <w:rPr>
                <w:lang w:val="tr-TR"/>
              </w:rPr>
              <w:t xml:space="preserve">18 Ay Boyunca </w:t>
            </w:r>
            <w:r w:rsidR="00AE65E5" w:rsidRPr="00CF336B">
              <w:rPr>
                <w:lang w:val="tr-TR"/>
              </w:rPr>
              <w:t>Taahhüt</w:t>
            </w:r>
            <w:r w:rsidRPr="00CF336B">
              <w:rPr>
                <w:lang w:val="tr-TR"/>
              </w:rPr>
              <w:t xml:space="preserve"> Edilen Kapasitenin </w:t>
            </w:r>
            <w:r w:rsidR="00AE65E5" w:rsidRPr="00CF336B">
              <w:rPr>
                <w:lang w:val="tr-TR"/>
              </w:rPr>
              <w:t>Sağlanamaması</w:t>
            </w:r>
          </w:p>
        </w:tc>
        <w:tc>
          <w:tcPr>
            <w:tcW w:w="1114" w:type="dxa"/>
            <w:vAlign w:val="center"/>
          </w:tcPr>
          <w:p w14:paraId="0F0B8614" w14:textId="77777777" w:rsidR="00B4120F" w:rsidRPr="00CF336B" w:rsidRDefault="00B4120F" w:rsidP="004D4361">
            <w:pPr>
              <w:spacing w:line="360" w:lineRule="auto"/>
              <w:jc w:val="center"/>
              <w:rPr>
                <w:lang w:val="tr-TR"/>
              </w:rPr>
            </w:pPr>
            <w:r w:rsidRPr="00CF336B">
              <w:rPr>
                <w:lang w:val="tr-TR"/>
              </w:rPr>
              <w:t>1 Yıllık</w:t>
            </w:r>
          </w:p>
        </w:tc>
        <w:tc>
          <w:tcPr>
            <w:tcW w:w="1497" w:type="dxa"/>
            <w:vAlign w:val="center"/>
          </w:tcPr>
          <w:p w14:paraId="482377AB" w14:textId="77777777" w:rsidR="00B4120F" w:rsidRPr="00CF336B" w:rsidRDefault="00B4120F" w:rsidP="004D4361">
            <w:pPr>
              <w:spacing w:line="360" w:lineRule="auto"/>
              <w:jc w:val="center"/>
              <w:rPr>
                <w:lang w:val="tr-TR"/>
              </w:rPr>
            </w:pPr>
            <w:r w:rsidRPr="00CF336B">
              <w:rPr>
                <w:lang w:val="tr-TR"/>
              </w:rPr>
              <w:t xml:space="preserve">Dahil </w:t>
            </w:r>
          </w:p>
          <w:p w14:paraId="13B2C320" w14:textId="77777777" w:rsidR="00B4120F" w:rsidRPr="00CF336B" w:rsidRDefault="00B4120F" w:rsidP="004D4361">
            <w:pPr>
              <w:spacing w:line="360" w:lineRule="auto"/>
              <w:jc w:val="center"/>
              <w:rPr>
                <w:lang w:val="tr-TR"/>
              </w:rPr>
            </w:pPr>
            <w:r w:rsidRPr="00CF336B">
              <w:rPr>
                <w:lang w:val="tr-TR"/>
              </w:rPr>
              <w:t>Değil</w:t>
            </w:r>
          </w:p>
        </w:tc>
        <w:tc>
          <w:tcPr>
            <w:tcW w:w="1578" w:type="dxa"/>
            <w:vAlign w:val="center"/>
          </w:tcPr>
          <w:p w14:paraId="4BF45A99" w14:textId="77777777" w:rsidR="00B4120F" w:rsidRPr="00CF336B" w:rsidRDefault="00B4120F" w:rsidP="004D4361">
            <w:pPr>
              <w:spacing w:line="360" w:lineRule="auto"/>
              <w:jc w:val="center"/>
              <w:rPr>
                <w:lang w:val="tr-TR"/>
              </w:rPr>
            </w:pPr>
            <w:r w:rsidRPr="00CF336B">
              <w:rPr>
                <w:lang w:val="tr-TR"/>
              </w:rPr>
              <w:t>Mevcut</w:t>
            </w:r>
          </w:p>
        </w:tc>
        <w:tc>
          <w:tcPr>
            <w:tcW w:w="1338" w:type="dxa"/>
            <w:vAlign w:val="center"/>
          </w:tcPr>
          <w:p w14:paraId="78446D5B" w14:textId="77777777" w:rsidR="00B4120F" w:rsidRPr="00CF336B" w:rsidRDefault="00B4120F" w:rsidP="004D4361">
            <w:pPr>
              <w:spacing w:line="360" w:lineRule="auto"/>
              <w:jc w:val="center"/>
              <w:rPr>
                <w:lang w:val="tr-TR"/>
              </w:rPr>
            </w:pPr>
            <w:r w:rsidRPr="00CF336B">
              <w:rPr>
                <w:lang w:val="tr-TR"/>
              </w:rPr>
              <w:t>T-1 İhalesi Vasıtasıyla</w:t>
            </w:r>
          </w:p>
        </w:tc>
      </w:tr>
      <w:tr w:rsidR="00B4120F" w:rsidRPr="00CF336B" w14:paraId="78C4F226" w14:textId="77777777" w:rsidTr="00351118">
        <w:tc>
          <w:tcPr>
            <w:tcW w:w="919" w:type="dxa"/>
            <w:vAlign w:val="center"/>
          </w:tcPr>
          <w:p w14:paraId="2A88065A" w14:textId="77777777" w:rsidR="00B4120F" w:rsidRPr="00CF336B" w:rsidRDefault="00B4120F" w:rsidP="004D4361">
            <w:pPr>
              <w:spacing w:line="360" w:lineRule="auto"/>
              <w:jc w:val="center"/>
              <w:rPr>
                <w:lang w:val="tr-TR"/>
              </w:rPr>
            </w:pPr>
            <w:r w:rsidRPr="00CF336B">
              <w:rPr>
                <w:lang w:val="tr-TR"/>
              </w:rPr>
              <w:t>Polonya</w:t>
            </w:r>
          </w:p>
        </w:tc>
        <w:tc>
          <w:tcPr>
            <w:tcW w:w="1209" w:type="dxa"/>
            <w:vAlign w:val="center"/>
          </w:tcPr>
          <w:p w14:paraId="3F686A03" w14:textId="77777777" w:rsidR="00B4120F" w:rsidRPr="00CF336B" w:rsidRDefault="00B4120F" w:rsidP="004D4361">
            <w:pPr>
              <w:spacing w:line="360" w:lineRule="auto"/>
              <w:jc w:val="center"/>
              <w:rPr>
                <w:lang w:val="tr-TR"/>
              </w:rPr>
            </w:pPr>
            <w:r w:rsidRPr="00CF336B">
              <w:rPr>
                <w:lang w:val="tr-TR"/>
              </w:rPr>
              <w:t>Teslimat Yılındaki En Yüksek İhale Fiyatı ile Bağlantılı Değişken Fiyat</w:t>
            </w:r>
          </w:p>
        </w:tc>
        <w:tc>
          <w:tcPr>
            <w:tcW w:w="1695" w:type="dxa"/>
            <w:vAlign w:val="center"/>
          </w:tcPr>
          <w:p w14:paraId="23B7BB3A" w14:textId="68B15243" w:rsidR="00B4120F" w:rsidRPr="00CF336B" w:rsidRDefault="00B4120F" w:rsidP="004D4361">
            <w:pPr>
              <w:spacing w:line="360" w:lineRule="auto"/>
              <w:jc w:val="center"/>
              <w:rPr>
                <w:lang w:val="tr-TR"/>
              </w:rPr>
            </w:pPr>
            <w:r w:rsidRPr="00CF336B">
              <w:rPr>
                <w:lang w:val="tr-TR"/>
              </w:rPr>
              <w:t xml:space="preserve">3 Yıl İçerisinde </w:t>
            </w:r>
            <w:r w:rsidR="00AE65E5" w:rsidRPr="00CF336B">
              <w:rPr>
                <w:lang w:val="tr-TR"/>
              </w:rPr>
              <w:t>Taahhüt</w:t>
            </w:r>
            <w:r w:rsidRPr="00CF336B">
              <w:rPr>
                <w:lang w:val="tr-TR"/>
              </w:rPr>
              <w:t xml:space="preserve"> Edilen Kapasitenin Devreye Alınamaması</w:t>
            </w:r>
          </w:p>
        </w:tc>
        <w:tc>
          <w:tcPr>
            <w:tcW w:w="1114" w:type="dxa"/>
            <w:vAlign w:val="center"/>
          </w:tcPr>
          <w:p w14:paraId="5A965425" w14:textId="77777777" w:rsidR="00B4120F" w:rsidRPr="00CF336B" w:rsidRDefault="00B4120F" w:rsidP="004D4361">
            <w:pPr>
              <w:spacing w:line="360" w:lineRule="auto"/>
              <w:jc w:val="center"/>
              <w:rPr>
                <w:lang w:val="tr-TR"/>
              </w:rPr>
            </w:pPr>
            <w:r w:rsidRPr="00CF336B">
              <w:rPr>
                <w:lang w:val="tr-TR"/>
              </w:rPr>
              <w:t>3 Yıllık Yaptırım</w:t>
            </w:r>
          </w:p>
        </w:tc>
        <w:tc>
          <w:tcPr>
            <w:tcW w:w="1497" w:type="dxa"/>
            <w:vAlign w:val="center"/>
          </w:tcPr>
          <w:p w14:paraId="5426F27F" w14:textId="77777777" w:rsidR="00B4120F" w:rsidRPr="00CF336B" w:rsidRDefault="00B4120F" w:rsidP="004D4361">
            <w:pPr>
              <w:spacing w:line="360" w:lineRule="auto"/>
              <w:jc w:val="center"/>
              <w:rPr>
                <w:lang w:val="tr-TR"/>
              </w:rPr>
            </w:pPr>
            <w:r w:rsidRPr="00CF336B">
              <w:rPr>
                <w:lang w:val="tr-TR"/>
              </w:rPr>
              <w:t>Maliyetlerin Çeşitli Şartlar Altında Paylaşılması</w:t>
            </w:r>
          </w:p>
          <w:p w14:paraId="7531D0EB" w14:textId="77777777" w:rsidR="00B4120F" w:rsidRPr="00CF336B" w:rsidRDefault="00B4120F" w:rsidP="004D4361">
            <w:pPr>
              <w:spacing w:line="360" w:lineRule="auto"/>
              <w:jc w:val="center"/>
              <w:rPr>
                <w:lang w:val="tr-TR"/>
              </w:rPr>
            </w:pPr>
            <w:r w:rsidRPr="00CF336B">
              <w:rPr>
                <w:lang w:val="tr-TR"/>
              </w:rPr>
              <w:t>(Üstü Kapalı Olarak)</w:t>
            </w:r>
          </w:p>
        </w:tc>
        <w:tc>
          <w:tcPr>
            <w:tcW w:w="1578" w:type="dxa"/>
            <w:vAlign w:val="center"/>
          </w:tcPr>
          <w:p w14:paraId="1328BEF6" w14:textId="77777777" w:rsidR="00B4120F" w:rsidRPr="00CF336B" w:rsidRDefault="00B4120F" w:rsidP="004D4361">
            <w:pPr>
              <w:spacing w:line="360" w:lineRule="auto"/>
              <w:jc w:val="center"/>
              <w:rPr>
                <w:lang w:val="tr-TR"/>
              </w:rPr>
            </w:pPr>
            <w:r w:rsidRPr="00CF336B">
              <w:rPr>
                <w:lang w:val="tr-TR"/>
              </w:rPr>
              <w:t>Mevcut</w:t>
            </w:r>
          </w:p>
        </w:tc>
        <w:tc>
          <w:tcPr>
            <w:tcW w:w="1338" w:type="dxa"/>
            <w:vAlign w:val="center"/>
          </w:tcPr>
          <w:p w14:paraId="1D3292F3" w14:textId="77777777" w:rsidR="00B4120F" w:rsidRPr="00CF336B" w:rsidRDefault="00B4120F" w:rsidP="004D4361">
            <w:pPr>
              <w:spacing w:line="360" w:lineRule="auto"/>
              <w:jc w:val="center"/>
              <w:rPr>
                <w:lang w:val="tr-TR"/>
              </w:rPr>
            </w:pPr>
            <w:r w:rsidRPr="00CF336B">
              <w:rPr>
                <w:lang w:val="tr-TR"/>
              </w:rPr>
              <w:t>Çeyreklik Olarak Yapılan</w:t>
            </w:r>
          </w:p>
          <w:p w14:paraId="383C34DE" w14:textId="77777777" w:rsidR="00B4120F" w:rsidRPr="00CF336B" w:rsidRDefault="00B4120F" w:rsidP="004D4361">
            <w:pPr>
              <w:spacing w:line="360" w:lineRule="auto"/>
              <w:jc w:val="center"/>
              <w:rPr>
                <w:lang w:val="tr-TR"/>
              </w:rPr>
            </w:pPr>
            <w:r w:rsidRPr="00CF336B">
              <w:rPr>
                <w:lang w:val="tr-TR"/>
              </w:rPr>
              <w:t xml:space="preserve"> T-1 İhaleleri Vasıtasıyla</w:t>
            </w:r>
          </w:p>
        </w:tc>
      </w:tr>
    </w:tbl>
    <w:p w14:paraId="368AA347" w14:textId="77777777" w:rsidR="00B4120F" w:rsidRPr="00CF336B" w:rsidRDefault="00B4120F" w:rsidP="004D4361">
      <w:pPr>
        <w:spacing w:line="360" w:lineRule="auto"/>
        <w:jc w:val="both"/>
        <w:rPr>
          <w:lang w:val="tr-TR"/>
        </w:rPr>
      </w:pPr>
      <w:r w:rsidRPr="00CF336B">
        <w:rPr>
          <w:lang w:val="tr-TR"/>
        </w:rPr>
        <w:t xml:space="preserve"> </w:t>
      </w:r>
    </w:p>
    <w:p w14:paraId="7FA69DDA" w14:textId="66F1962B" w:rsidR="00B4120F" w:rsidRPr="00CF336B" w:rsidRDefault="00B4120F" w:rsidP="004D4361">
      <w:pPr>
        <w:spacing w:line="360" w:lineRule="auto"/>
        <w:jc w:val="both"/>
        <w:rPr>
          <w:lang w:val="tr-TR"/>
        </w:rPr>
      </w:pPr>
      <w:r w:rsidRPr="00CF336B">
        <w:rPr>
          <w:lang w:val="tr-TR"/>
        </w:rPr>
        <w:t xml:space="preserve">Kapasite kontratında belirlenen ve </w:t>
      </w:r>
      <w:r w:rsidR="00931C85" w:rsidRPr="00CF336B">
        <w:rPr>
          <w:lang w:val="tr-TR"/>
        </w:rPr>
        <w:t>taahhüt</w:t>
      </w:r>
      <w:r w:rsidRPr="00CF336B">
        <w:rPr>
          <w:lang w:val="tr-TR"/>
        </w:rPr>
        <w:t xml:space="preserve"> edilen dönemlerde kapasite teslimatını gerçekleştiremeyen kapasite sağlayıcıları performans </w:t>
      </w:r>
      <w:r w:rsidR="00931C85" w:rsidRPr="00CF336B">
        <w:rPr>
          <w:lang w:val="tr-TR"/>
        </w:rPr>
        <w:t>eksikliği</w:t>
      </w:r>
      <w:r w:rsidRPr="00CF336B">
        <w:rPr>
          <w:lang w:val="tr-TR"/>
        </w:rPr>
        <w:t xml:space="preserve"> yaptırımına tabii olmaktadır. Kapasite mekanizması kurallarında, ilgili sistem veya piyasa işletmecisinin, kapasite sağlayıcılarından hangi şartlarda, zamanlarda ve zorunluluklar altında kapasite isteyebileceği ve bu doğrultuda bir çağrı yapabileceği açıkça ifade edilmektedir.</w:t>
      </w:r>
      <w:r w:rsidR="00931C85" w:rsidRPr="00CF336B">
        <w:rPr>
          <w:lang w:val="tr-TR"/>
        </w:rPr>
        <w:t xml:space="preserve"> </w:t>
      </w:r>
      <w:r w:rsidRPr="00CF336B">
        <w:rPr>
          <w:lang w:val="tr-TR"/>
        </w:rPr>
        <w:t>Prensip olarak sistem</w:t>
      </w:r>
      <w:r w:rsidR="00D821D9" w:rsidRPr="00CF336B">
        <w:rPr>
          <w:lang w:val="tr-TR"/>
        </w:rPr>
        <w:t>de sıkıntıların yaşandığı dönemlerde</w:t>
      </w:r>
      <w:r w:rsidRPr="00CF336B">
        <w:rPr>
          <w:lang w:val="tr-TR"/>
        </w:rPr>
        <w:t xml:space="preserve"> işletmeciler tarafından gelen bu çağrılar doğrultusunda </w:t>
      </w:r>
      <w:proofErr w:type="spellStart"/>
      <w:r w:rsidRPr="00CF336B">
        <w:rPr>
          <w:lang w:val="tr-TR"/>
        </w:rPr>
        <w:t>kontratsal</w:t>
      </w:r>
      <w:proofErr w:type="spellEnd"/>
      <w:r w:rsidRPr="00CF336B">
        <w:rPr>
          <w:lang w:val="tr-TR"/>
        </w:rPr>
        <w:t xml:space="preserve"> şartlar altında sağlaması gereken kapasiteyi sağlayamayan kaynaklar yaptırıma uğratılmaktadır. Etkili bir performans eksikliği yaptırımı, bu kaynakların sistem sıkışıklığı karşısında daha doğru bir reaksiyon göstermeye teşvik etmektedir. Devlet Destek Rehberleri performans bazlı yaptırımlarda sistem sıkışıklığı esnasında kapasite sağlayamayan kaynakların teslimat bazlı yaptırımlar gibi sisteme sağlayamadıkları enerji değeri (VOLL) ile ilişkilendirilmesini gerektirmektedir. Fakat yetkili otoritelerden toplanan bilgiler, şu anda üye ülkelerde performans bazlı yaptırımların VOLL ile ilişkilendirilmediğini göstermektedir. Devlet Destek Rehberleri, toptan elektrik satışı piyasasının işleyişinin bozulmaması adına performans bazlı yaptırımların dengesizlik fiyatları vasıtasıyla toplanmasını gerektirmektedir. Yaptırımların hesaplanmasında kullanılan metodolojiler ulusal çapta farklılık göstermektedir. Örnek olarak Finlandiya’da saatlik kapasite zorunluluğu kapsamında, bir saatten az bir süre için kapasite sağlayamayan kaynaklar o saat için al</w:t>
      </w:r>
      <w:r w:rsidR="00587D9C" w:rsidRPr="00CF336B">
        <w:rPr>
          <w:lang w:val="tr-TR"/>
        </w:rPr>
        <w:t xml:space="preserve">ması gereken </w:t>
      </w:r>
      <w:r w:rsidRPr="00CF336B">
        <w:rPr>
          <w:lang w:val="tr-TR"/>
        </w:rPr>
        <w:t>ödeme</w:t>
      </w:r>
      <w:r w:rsidR="00F8637E" w:rsidRPr="00CF336B">
        <w:rPr>
          <w:lang w:val="tr-TR"/>
        </w:rPr>
        <w:t>yi alamamaktadırlar</w:t>
      </w:r>
      <w:r w:rsidRPr="00CF336B">
        <w:rPr>
          <w:lang w:val="tr-TR"/>
        </w:rPr>
        <w:t>. Kapasite arzı eksikliğinin 1 saati aşması durumunda ise o güne dair alacağı bütün ödeme</w:t>
      </w:r>
      <w:r w:rsidR="00587D9C" w:rsidRPr="00CF336B">
        <w:rPr>
          <w:lang w:val="tr-TR"/>
        </w:rPr>
        <w:t>yi alamamaktadırlar.</w:t>
      </w:r>
      <w:r w:rsidRPr="00CF336B">
        <w:rPr>
          <w:lang w:val="tr-TR"/>
        </w:rPr>
        <w:t xml:space="preserve"> Ulusal kurallar, dengesizlik maliyetlerinden </w:t>
      </w:r>
      <w:r w:rsidR="0029197E" w:rsidRPr="00CF336B">
        <w:rPr>
          <w:lang w:val="tr-TR"/>
        </w:rPr>
        <w:t>buna neden olanları</w:t>
      </w:r>
      <w:r w:rsidRPr="00CF336B">
        <w:rPr>
          <w:lang w:val="tr-TR"/>
        </w:rPr>
        <w:t xml:space="preserve"> sorumlu tutmaktadır. Diğer ülkelerde uygulanan stratejik rezerv şemaları kapasite arzının eksik olduğu durumlarda dengesizlik maliyetlerini hesaba katmamaktadır. Almanya’da performans eksikliği yaptırımı, kaynağın sıkışıklık durumunda kapasite sağlamaya müsait olmadığı anlarda </w:t>
      </w:r>
      <w:r w:rsidR="0029197E" w:rsidRPr="00CF336B">
        <w:rPr>
          <w:lang w:val="tr-TR"/>
        </w:rPr>
        <w:t>uygulanmak</w:t>
      </w:r>
      <w:r w:rsidRPr="00CF336B">
        <w:rPr>
          <w:lang w:val="tr-TR"/>
        </w:rPr>
        <w:t xml:space="preserve"> üzere, mekanizma kapsamında yıllık yapılan ödemenin </w:t>
      </w:r>
      <w:proofErr w:type="gramStart"/>
      <w:r w:rsidRPr="00CF336B">
        <w:rPr>
          <w:lang w:val="tr-TR"/>
        </w:rPr>
        <w:t>%15</w:t>
      </w:r>
      <w:proofErr w:type="gramEnd"/>
      <w:r w:rsidRPr="00CF336B">
        <w:rPr>
          <w:lang w:val="tr-TR"/>
        </w:rPr>
        <w:t xml:space="preserve">’i olarak belirlenmiştir. Stratejik rezerv uygulamasına sahip olan ülkelerde uygulanan performans bazlı yaptırımların özellikleri </w:t>
      </w:r>
      <w:r w:rsidRPr="00CF336B">
        <w:rPr>
          <w:lang w:val="tr-TR"/>
        </w:rPr>
        <w:fldChar w:fldCharType="begin"/>
      </w:r>
      <w:r w:rsidRPr="00CF336B">
        <w:rPr>
          <w:lang w:val="tr-TR"/>
        </w:rPr>
        <w:instrText xml:space="preserve"> REF _Ref148886145 \h </w:instrText>
      </w:r>
      <w:r w:rsidR="00413DBB" w:rsidRPr="00CF336B">
        <w:rPr>
          <w:lang w:val="tr-TR"/>
        </w:rPr>
        <w:instrText xml:space="preserve"> \* MERGEFORMAT </w:instrText>
      </w:r>
      <w:r w:rsidRPr="00CF336B">
        <w:rPr>
          <w:lang w:val="tr-TR"/>
        </w:rPr>
      </w:r>
      <w:r w:rsidRPr="00CF336B">
        <w:rPr>
          <w:lang w:val="tr-TR"/>
        </w:rPr>
        <w:fldChar w:fldCharType="separate"/>
      </w:r>
      <w:r w:rsidR="0029197E" w:rsidRPr="00CF336B">
        <w:rPr>
          <w:lang w:val="tr-TR"/>
        </w:rPr>
        <w:t xml:space="preserve">Tablo </w:t>
      </w:r>
      <w:r w:rsidR="0029197E" w:rsidRPr="00CF336B">
        <w:rPr>
          <w:noProof/>
          <w:lang w:val="tr-TR"/>
        </w:rPr>
        <w:t>8</w:t>
      </w:r>
      <w:r w:rsidRPr="00CF336B">
        <w:rPr>
          <w:lang w:val="tr-TR"/>
        </w:rPr>
        <w:fldChar w:fldCharType="end"/>
      </w:r>
      <w:r w:rsidRPr="00CF336B">
        <w:rPr>
          <w:lang w:val="tr-TR"/>
        </w:rPr>
        <w:t>’de belirtilmiştir.</w:t>
      </w:r>
    </w:p>
    <w:p w14:paraId="3602A3D7" w14:textId="59F94E8B" w:rsidR="00B4120F" w:rsidRPr="00CF336B" w:rsidRDefault="00B4120F" w:rsidP="004D4361">
      <w:pPr>
        <w:pStyle w:val="Caption"/>
        <w:keepNext/>
        <w:spacing w:line="360" w:lineRule="auto"/>
        <w:jc w:val="center"/>
        <w:rPr>
          <w:color w:val="auto"/>
          <w:sz w:val="22"/>
          <w:szCs w:val="22"/>
          <w:lang w:val="tr-TR"/>
        </w:rPr>
      </w:pPr>
      <w:bookmarkStart w:id="145" w:name="_Ref148886145"/>
      <w:bookmarkStart w:id="146" w:name="_Toc156210503"/>
      <w:r w:rsidRPr="00CF336B">
        <w:rPr>
          <w:color w:val="auto"/>
          <w:sz w:val="22"/>
          <w:szCs w:val="22"/>
          <w:lang w:val="tr-TR"/>
        </w:rPr>
        <w:t xml:space="preserve">Tablo </w:t>
      </w:r>
      <w:r w:rsidRPr="00CF336B">
        <w:rPr>
          <w:color w:val="auto"/>
          <w:sz w:val="22"/>
          <w:szCs w:val="22"/>
          <w:lang w:val="tr-TR"/>
        </w:rPr>
        <w:fldChar w:fldCharType="begin"/>
      </w:r>
      <w:r w:rsidRPr="00CF336B">
        <w:rPr>
          <w:color w:val="auto"/>
          <w:sz w:val="22"/>
          <w:szCs w:val="22"/>
          <w:lang w:val="tr-TR"/>
        </w:rPr>
        <w:instrText xml:space="preserve"> SEQ Tablo \* ARABIC </w:instrText>
      </w:r>
      <w:r w:rsidRPr="00CF336B">
        <w:rPr>
          <w:color w:val="auto"/>
          <w:sz w:val="22"/>
          <w:szCs w:val="22"/>
          <w:lang w:val="tr-TR"/>
        </w:rPr>
        <w:fldChar w:fldCharType="separate"/>
      </w:r>
      <w:r w:rsidR="00A22AF1" w:rsidRPr="00CF336B">
        <w:rPr>
          <w:noProof/>
          <w:color w:val="auto"/>
          <w:sz w:val="22"/>
          <w:szCs w:val="22"/>
          <w:lang w:val="tr-TR"/>
        </w:rPr>
        <w:t>8</w:t>
      </w:r>
      <w:r w:rsidRPr="00CF336B">
        <w:rPr>
          <w:color w:val="auto"/>
          <w:sz w:val="22"/>
          <w:szCs w:val="22"/>
          <w:lang w:val="tr-TR"/>
        </w:rPr>
        <w:fldChar w:fldCharType="end"/>
      </w:r>
      <w:bookmarkEnd w:id="145"/>
      <w:r w:rsidRPr="00CF336B">
        <w:rPr>
          <w:color w:val="auto"/>
          <w:sz w:val="22"/>
          <w:szCs w:val="22"/>
          <w:lang w:val="tr-TR"/>
        </w:rPr>
        <w:t>. Stratejik Rezerv Uygulamasına Sahip Üye Ülkelerde Uygulanan Performans Eksikliği Yaptırımının Özellikleri</w:t>
      </w:r>
      <w:bookmarkEnd w:id="146"/>
    </w:p>
    <w:tbl>
      <w:tblPr>
        <w:tblStyle w:val="TableGrid"/>
        <w:tblW w:w="0" w:type="auto"/>
        <w:tblLook w:val="04A0" w:firstRow="1" w:lastRow="0" w:firstColumn="1" w:lastColumn="0" w:noHBand="0" w:noVBand="1"/>
      </w:tblPr>
      <w:tblGrid>
        <w:gridCol w:w="1806"/>
        <w:gridCol w:w="1912"/>
        <w:gridCol w:w="1913"/>
        <w:gridCol w:w="2014"/>
        <w:gridCol w:w="1705"/>
      </w:tblGrid>
      <w:tr w:rsidR="00B4120F" w:rsidRPr="00CF336B" w14:paraId="758A29F5" w14:textId="77777777" w:rsidTr="007323F6">
        <w:tc>
          <w:tcPr>
            <w:tcW w:w="1806" w:type="dxa"/>
            <w:shd w:val="clear" w:color="auto" w:fill="1F4E79" w:themeFill="accent5" w:themeFillShade="80"/>
            <w:vAlign w:val="center"/>
          </w:tcPr>
          <w:p w14:paraId="1E543B76"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Üye Ülke</w:t>
            </w:r>
          </w:p>
        </w:tc>
        <w:tc>
          <w:tcPr>
            <w:tcW w:w="1912" w:type="dxa"/>
            <w:shd w:val="clear" w:color="auto" w:fill="1F4E79" w:themeFill="accent5" w:themeFillShade="80"/>
            <w:vAlign w:val="center"/>
          </w:tcPr>
          <w:p w14:paraId="2079D4DE"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Yaptırım Uygulanabilir Koşullar</w:t>
            </w:r>
          </w:p>
        </w:tc>
        <w:tc>
          <w:tcPr>
            <w:tcW w:w="1913" w:type="dxa"/>
            <w:shd w:val="clear" w:color="auto" w:fill="1F4E79" w:themeFill="accent5" w:themeFillShade="80"/>
            <w:vAlign w:val="center"/>
          </w:tcPr>
          <w:p w14:paraId="7CE8088F"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Yaptırım</w:t>
            </w:r>
          </w:p>
        </w:tc>
        <w:tc>
          <w:tcPr>
            <w:tcW w:w="2014" w:type="dxa"/>
            <w:shd w:val="clear" w:color="auto" w:fill="1F4E79" w:themeFill="accent5" w:themeFillShade="80"/>
            <w:vAlign w:val="center"/>
          </w:tcPr>
          <w:p w14:paraId="6C9D53D4"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 xml:space="preserve">Yaptırımda Dengesizlik Maliyetinin </w:t>
            </w:r>
            <w:proofErr w:type="spellStart"/>
            <w:r w:rsidRPr="00CF336B">
              <w:rPr>
                <w:b/>
                <w:bCs/>
                <w:color w:val="FFFFFF" w:themeColor="background1"/>
                <w:lang w:val="tr-TR"/>
              </w:rPr>
              <w:t>Dahiliyeti</w:t>
            </w:r>
            <w:proofErr w:type="spellEnd"/>
          </w:p>
        </w:tc>
        <w:tc>
          <w:tcPr>
            <w:tcW w:w="1705" w:type="dxa"/>
            <w:shd w:val="clear" w:color="auto" w:fill="1F4E79" w:themeFill="accent5" w:themeFillShade="80"/>
            <w:vAlign w:val="center"/>
          </w:tcPr>
          <w:p w14:paraId="6AA5CBD9"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Yaptırımlarda Üst Limit Uygulanması</w:t>
            </w:r>
          </w:p>
        </w:tc>
      </w:tr>
      <w:tr w:rsidR="00B4120F" w:rsidRPr="00CF336B" w14:paraId="3F54761D" w14:textId="77777777">
        <w:tc>
          <w:tcPr>
            <w:tcW w:w="1806" w:type="dxa"/>
            <w:vAlign w:val="center"/>
          </w:tcPr>
          <w:p w14:paraId="50788BF2" w14:textId="77777777" w:rsidR="00B4120F" w:rsidRPr="00CF336B" w:rsidRDefault="00B4120F" w:rsidP="004D4361">
            <w:pPr>
              <w:spacing w:line="360" w:lineRule="auto"/>
              <w:jc w:val="center"/>
              <w:rPr>
                <w:lang w:val="tr-TR"/>
              </w:rPr>
            </w:pPr>
            <w:r w:rsidRPr="00CF336B">
              <w:rPr>
                <w:lang w:val="tr-TR"/>
              </w:rPr>
              <w:t>Finlandiya</w:t>
            </w:r>
          </w:p>
        </w:tc>
        <w:tc>
          <w:tcPr>
            <w:tcW w:w="1912" w:type="dxa"/>
            <w:vAlign w:val="center"/>
          </w:tcPr>
          <w:p w14:paraId="3B9DAB24" w14:textId="77777777" w:rsidR="00B4120F" w:rsidRPr="00CF336B" w:rsidRDefault="00B4120F" w:rsidP="004D4361">
            <w:pPr>
              <w:spacing w:line="360" w:lineRule="auto"/>
              <w:jc w:val="center"/>
              <w:rPr>
                <w:lang w:val="tr-TR"/>
              </w:rPr>
            </w:pPr>
            <w:r w:rsidRPr="00CF336B">
              <w:rPr>
                <w:lang w:val="tr-TR"/>
              </w:rPr>
              <w:t>Zorunluluk Dönemi Boyunca</w:t>
            </w:r>
          </w:p>
        </w:tc>
        <w:tc>
          <w:tcPr>
            <w:tcW w:w="1913" w:type="dxa"/>
            <w:vAlign w:val="center"/>
          </w:tcPr>
          <w:p w14:paraId="2ABB50F5" w14:textId="77777777" w:rsidR="00B4120F" w:rsidRPr="00CF336B" w:rsidRDefault="00B4120F" w:rsidP="004D4361">
            <w:pPr>
              <w:spacing w:line="360" w:lineRule="auto"/>
              <w:jc w:val="center"/>
              <w:rPr>
                <w:lang w:val="tr-TR"/>
              </w:rPr>
            </w:pPr>
            <w:r w:rsidRPr="00CF336B">
              <w:rPr>
                <w:lang w:val="tr-TR"/>
              </w:rPr>
              <w:t>Ödemeden Mahrumiyet</w:t>
            </w:r>
          </w:p>
        </w:tc>
        <w:tc>
          <w:tcPr>
            <w:tcW w:w="2014" w:type="dxa"/>
            <w:vAlign w:val="center"/>
          </w:tcPr>
          <w:p w14:paraId="6F1D886A" w14:textId="77777777" w:rsidR="00B4120F" w:rsidRPr="00CF336B" w:rsidRDefault="00B4120F" w:rsidP="004D4361">
            <w:pPr>
              <w:spacing w:line="360" w:lineRule="auto"/>
              <w:jc w:val="center"/>
              <w:rPr>
                <w:lang w:val="tr-TR"/>
              </w:rPr>
            </w:pPr>
            <w:r w:rsidRPr="00CF336B">
              <w:rPr>
                <w:lang w:val="tr-TR"/>
              </w:rPr>
              <w:t>Dahil</w:t>
            </w:r>
          </w:p>
        </w:tc>
        <w:tc>
          <w:tcPr>
            <w:tcW w:w="1705" w:type="dxa"/>
            <w:vAlign w:val="center"/>
          </w:tcPr>
          <w:p w14:paraId="5B073A4D" w14:textId="77777777" w:rsidR="00B4120F" w:rsidRPr="00CF336B" w:rsidRDefault="00B4120F" w:rsidP="004D4361">
            <w:pPr>
              <w:spacing w:line="360" w:lineRule="auto"/>
              <w:jc w:val="center"/>
              <w:rPr>
                <w:lang w:val="tr-TR"/>
              </w:rPr>
            </w:pPr>
            <w:r w:rsidRPr="00CF336B">
              <w:rPr>
                <w:lang w:val="tr-TR"/>
              </w:rPr>
              <w:t>Var</w:t>
            </w:r>
          </w:p>
        </w:tc>
      </w:tr>
      <w:tr w:rsidR="00B4120F" w:rsidRPr="00CF336B" w14:paraId="6EBE250D" w14:textId="77777777">
        <w:tc>
          <w:tcPr>
            <w:tcW w:w="1806" w:type="dxa"/>
            <w:vAlign w:val="center"/>
          </w:tcPr>
          <w:p w14:paraId="2643FDB8" w14:textId="77777777" w:rsidR="00B4120F" w:rsidRPr="00CF336B" w:rsidRDefault="00B4120F" w:rsidP="004D4361">
            <w:pPr>
              <w:spacing w:line="360" w:lineRule="auto"/>
              <w:jc w:val="center"/>
              <w:rPr>
                <w:lang w:val="tr-TR"/>
              </w:rPr>
            </w:pPr>
            <w:r w:rsidRPr="00CF336B">
              <w:rPr>
                <w:lang w:val="tr-TR"/>
              </w:rPr>
              <w:t>Almanya</w:t>
            </w:r>
          </w:p>
        </w:tc>
        <w:tc>
          <w:tcPr>
            <w:tcW w:w="1912" w:type="dxa"/>
            <w:vAlign w:val="center"/>
          </w:tcPr>
          <w:p w14:paraId="196944C0" w14:textId="77777777" w:rsidR="00B4120F" w:rsidRPr="00CF336B" w:rsidRDefault="00B4120F" w:rsidP="004D4361">
            <w:pPr>
              <w:spacing w:line="360" w:lineRule="auto"/>
              <w:jc w:val="center"/>
              <w:rPr>
                <w:lang w:val="tr-TR"/>
              </w:rPr>
            </w:pPr>
            <w:r w:rsidRPr="00CF336B">
              <w:rPr>
                <w:lang w:val="tr-TR"/>
              </w:rPr>
              <w:t>Arz Sıkıntısı Durumlarında</w:t>
            </w:r>
          </w:p>
        </w:tc>
        <w:tc>
          <w:tcPr>
            <w:tcW w:w="1913" w:type="dxa"/>
            <w:vAlign w:val="center"/>
          </w:tcPr>
          <w:p w14:paraId="767F4979" w14:textId="77777777" w:rsidR="00B4120F" w:rsidRPr="00CF336B" w:rsidRDefault="00B4120F" w:rsidP="004D4361">
            <w:pPr>
              <w:spacing w:line="360" w:lineRule="auto"/>
              <w:jc w:val="center"/>
              <w:rPr>
                <w:lang w:val="tr-TR"/>
              </w:rPr>
            </w:pPr>
            <w:r w:rsidRPr="00CF336B">
              <w:rPr>
                <w:lang w:val="tr-TR"/>
              </w:rPr>
              <w:t xml:space="preserve">MW Başına Yıllık Ödemenin </w:t>
            </w:r>
            <w:proofErr w:type="gramStart"/>
            <w:r w:rsidRPr="00CF336B">
              <w:rPr>
                <w:lang w:val="tr-TR"/>
              </w:rPr>
              <w:t>%15</w:t>
            </w:r>
            <w:proofErr w:type="gramEnd"/>
            <w:r w:rsidRPr="00CF336B">
              <w:rPr>
                <w:lang w:val="tr-TR"/>
              </w:rPr>
              <w:t>’i Oranında Mahrumiyet</w:t>
            </w:r>
          </w:p>
        </w:tc>
        <w:tc>
          <w:tcPr>
            <w:tcW w:w="2014" w:type="dxa"/>
            <w:vAlign w:val="center"/>
          </w:tcPr>
          <w:p w14:paraId="0C328AFD" w14:textId="77777777" w:rsidR="00B4120F" w:rsidRPr="00CF336B" w:rsidRDefault="00B4120F" w:rsidP="004D4361">
            <w:pPr>
              <w:spacing w:line="360" w:lineRule="auto"/>
              <w:jc w:val="center"/>
              <w:rPr>
                <w:lang w:val="tr-TR"/>
              </w:rPr>
            </w:pPr>
            <w:r w:rsidRPr="00CF336B">
              <w:rPr>
                <w:lang w:val="tr-TR"/>
              </w:rPr>
              <w:t>Dahil</w:t>
            </w:r>
          </w:p>
          <w:p w14:paraId="0A0AD245" w14:textId="77777777" w:rsidR="00B4120F" w:rsidRPr="00CF336B" w:rsidRDefault="00B4120F" w:rsidP="004D4361">
            <w:pPr>
              <w:spacing w:line="360" w:lineRule="auto"/>
              <w:jc w:val="center"/>
              <w:rPr>
                <w:lang w:val="tr-TR"/>
              </w:rPr>
            </w:pPr>
            <w:r w:rsidRPr="00CF336B">
              <w:rPr>
                <w:lang w:val="tr-TR"/>
              </w:rPr>
              <w:t xml:space="preserve"> Değil</w:t>
            </w:r>
          </w:p>
        </w:tc>
        <w:tc>
          <w:tcPr>
            <w:tcW w:w="1705" w:type="dxa"/>
            <w:vAlign w:val="center"/>
          </w:tcPr>
          <w:p w14:paraId="5C316A0C" w14:textId="77777777" w:rsidR="00B4120F" w:rsidRPr="00CF336B" w:rsidRDefault="00B4120F" w:rsidP="004D4361">
            <w:pPr>
              <w:spacing w:line="360" w:lineRule="auto"/>
              <w:jc w:val="center"/>
              <w:rPr>
                <w:lang w:val="tr-TR"/>
              </w:rPr>
            </w:pPr>
            <w:r w:rsidRPr="00CF336B">
              <w:rPr>
                <w:lang w:val="tr-TR"/>
              </w:rPr>
              <w:t>Var</w:t>
            </w:r>
          </w:p>
        </w:tc>
      </w:tr>
      <w:tr w:rsidR="00B4120F" w:rsidRPr="00CF336B" w14:paraId="11DED7E6" w14:textId="77777777">
        <w:tc>
          <w:tcPr>
            <w:tcW w:w="1806" w:type="dxa"/>
            <w:vAlign w:val="center"/>
          </w:tcPr>
          <w:p w14:paraId="0FA043A2" w14:textId="77777777" w:rsidR="00B4120F" w:rsidRPr="00CF336B" w:rsidRDefault="00B4120F" w:rsidP="004D4361">
            <w:pPr>
              <w:spacing w:line="360" w:lineRule="auto"/>
              <w:jc w:val="center"/>
              <w:rPr>
                <w:lang w:val="tr-TR"/>
              </w:rPr>
            </w:pPr>
            <w:r w:rsidRPr="00CF336B">
              <w:rPr>
                <w:lang w:val="tr-TR"/>
              </w:rPr>
              <w:t>İsveç</w:t>
            </w:r>
          </w:p>
        </w:tc>
        <w:tc>
          <w:tcPr>
            <w:tcW w:w="1912" w:type="dxa"/>
            <w:vAlign w:val="center"/>
          </w:tcPr>
          <w:p w14:paraId="124F6483" w14:textId="77777777" w:rsidR="00B4120F" w:rsidRPr="00CF336B" w:rsidRDefault="00B4120F" w:rsidP="004D4361">
            <w:pPr>
              <w:spacing w:line="360" w:lineRule="auto"/>
              <w:jc w:val="center"/>
              <w:rPr>
                <w:lang w:val="tr-TR"/>
              </w:rPr>
            </w:pPr>
            <w:r w:rsidRPr="00CF336B">
              <w:rPr>
                <w:lang w:val="tr-TR"/>
              </w:rPr>
              <w:t>Zorunluluk Dönemi Boyunca</w:t>
            </w:r>
          </w:p>
        </w:tc>
        <w:tc>
          <w:tcPr>
            <w:tcW w:w="1913" w:type="dxa"/>
            <w:vAlign w:val="center"/>
          </w:tcPr>
          <w:p w14:paraId="0ACFB415" w14:textId="77777777" w:rsidR="00B4120F" w:rsidRPr="00CF336B" w:rsidRDefault="00B4120F" w:rsidP="004D4361">
            <w:pPr>
              <w:spacing w:line="360" w:lineRule="auto"/>
              <w:jc w:val="center"/>
              <w:rPr>
                <w:lang w:val="tr-TR"/>
              </w:rPr>
            </w:pPr>
            <w:r w:rsidRPr="00CF336B">
              <w:rPr>
                <w:lang w:val="tr-TR"/>
              </w:rPr>
              <w:t>Sabit Oran</w:t>
            </w:r>
          </w:p>
          <w:p w14:paraId="5D3C4FD6" w14:textId="77777777" w:rsidR="00B4120F" w:rsidRPr="00CF336B" w:rsidRDefault="00B4120F" w:rsidP="004D4361">
            <w:pPr>
              <w:spacing w:line="360" w:lineRule="auto"/>
              <w:jc w:val="center"/>
              <w:rPr>
                <w:lang w:val="tr-TR"/>
              </w:rPr>
            </w:pPr>
            <w:r w:rsidRPr="00CF336B">
              <w:rPr>
                <w:lang w:val="tr-TR"/>
              </w:rPr>
              <w:t xml:space="preserve">170 </w:t>
            </w:r>
            <w:proofErr w:type="gramStart"/>
            <w:r w:rsidRPr="00CF336B">
              <w:rPr>
                <w:lang w:val="tr-TR"/>
              </w:rPr>
              <w:t>Avro</w:t>
            </w:r>
            <w:proofErr w:type="gramEnd"/>
            <w:r w:rsidRPr="00CF336B">
              <w:rPr>
                <w:lang w:val="tr-TR"/>
              </w:rPr>
              <w:t>/</w:t>
            </w:r>
            <w:proofErr w:type="spellStart"/>
            <w:r w:rsidRPr="00CF336B">
              <w:rPr>
                <w:lang w:val="tr-TR"/>
              </w:rPr>
              <w:t>MWh</w:t>
            </w:r>
            <w:proofErr w:type="spellEnd"/>
          </w:p>
        </w:tc>
        <w:tc>
          <w:tcPr>
            <w:tcW w:w="2014" w:type="dxa"/>
            <w:vAlign w:val="center"/>
          </w:tcPr>
          <w:p w14:paraId="6DCFA626" w14:textId="77777777" w:rsidR="00B4120F" w:rsidRPr="00CF336B" w:rsidRDefault="00B4120F" w:rsidP="004D4361">
            <w:pPr>
              <w:spacing w:line="360" w:lineRule="auto"/>
              <w:jc w:val="center"/>
              <w:rPr>
                <w:lang w:val="tr-TR"/>
              </w:rPr>
            </w:pPr>
            <w:r w:rsidRPr="00CF336B">
              <w:rPr>
                <w:lang w:val="tr-TR"/>
              </w:rPr>
              <w:t>Dahil</w:t>
            </w:r>
          </w:p>
        </w:tc>
        <w:tc>
          <w:tcPr>
            <w:tcW w:w="1705" w:type="dxa"/>
            <w:vAlign w:val="center"/>
          </w:tcPr>
          <w:p w14:paraId="5225DEBD" w14:textId="77777777" w:rsidR="00B4120F" w:rsidRPr="00CF336B" w:rsidRDefault="00B4120F" w:rsidP="004D4361">
            <w:pPr>
              <w:spacing w:line="360" w:lineRule="auto"/>
              <w:jc w:val="center"/>
              <w:rPr>
                <w:lang w:val="tr-TR"/>
              </w:rPr>
            </w:pPr>
            <w:r w:rsidRPr="00CF336B">
              <w:rPr>
                <w:lang w:val="tr-TR"/>
              </w:rPr>
              <w:t>Var</w:t>
            </w:r>
          </w:p>
        </w:tc>
      </w:tr>
    </w:tbl>
    <w:p w14:paraId="2D0D40DD" w14:textId="77777777" w:rsidR="00B4120F" w:rsidRPr="00CF336B" w:rsidRDefault="00B4120F" w:rsidP="004D4361">
      <w:pPr>
        <w:spacing w:line="360" w:lineRule="auto"/>
        <w:rPr>
          <w:lang w:val="tr-TR"/>
        </w:rPr>
      </w:pPr>
    </w:p>
    <w:p w14:paraId="707E1B80" w14:textId="5D1ACB42" w:rsidR="00B4120F" w:rsidRPr="00CF336B" w:rsidRDefault="001149C5" w:rsidP="004D4361">
      <w:pPr>
        <w:spacing w:line="360" w:lineRule="auto"/>
        <w:jc w:val="both"/>
        <w:rPr>
          <w:lang w:val="tr-TR"/>
        </w:rPr>
      </w:pPr>
      <w:r w:rsidRPr="00CF336B">
        <w:rPr>
          <w:lang w:val="tr-TR"/>
        </w:rPr>
        <w:t>G</w:t>
      </w:r>
      <w:r w:rsidR="00B4120F" w:rsidRPr="00CF336B">
        <w:rPr>
          <w:lang w:val="tr-TR"/>
        </w:rPr>
        <w:t>üvenilir kapasite bazlı piyasa çaplı kapasite mekanizmalarının, performans eksikliği yaptırımı yaklaşımı konusunda diğer piyasa çaplı kapasite mekanizmalarından ayrıştığını göstermektedir. Belçika, İtalya ve İrlanda’da uygulanan güvenilirlik seçeneği (</w:t>
      </w:r>
      <w:proofErr w:type="spellStart"/>
      <w:r w:rsidR="00B4120F" w:rsidRPr="00CF336B">
        <w:rPr>
          <w:lang w:val="tr-TR"/>
        </w:rPr>
        <w:t>reliability</w:t>
      </w:r>
      <w:proofErr w:type="spellEnd"/>
      <w:r w:rsidR="00B4120F" w:rsidRPr="00CF336B">
        <w:rPr>
          <w:lang w:val="tr-TR"/>
        </w:rPr>
        <w:t xml:space="preserve"> </w:t>
      </w:r>
      <w:proofErr w:type="spellStart"/>
      <w:r w:rsidR="00B4120F" w:rsidRPr="00CF336B">
        <w:rPr>
          <w:lang w:val="tr-TR"/>
        </w:rPr>
        <w:t>option</w:t>
      </w:r>
      <w:proofErr w:type="spellEnd"/>
      <w:r w:rsidR="00B4120F" w:rsidRPr="00CF336B">
        <w:rPr>
          <w:lang w:val="tr-TR"/>
        </w:rPr>
        <w:t xml:space="preserve">) bir geri ödeme yükümlülüğünü içermektedir. </w:t>
      </w:r>
      <w:r w:rsidR="00FD7256" w:rsidRPr="00CF336B">
        <w:rPr>
          <w:lang w:val="tr-TR"/>
        </w:rPr>
        <w:t>Diğer bir deyişle</w:t>
      </w:r>
      <w:r w:rsidR="00B4120F" w:rsidRPr="00CF336B">
        <w:rPr>
          <w:lang w:val="tr-TR"/>
        </w:rPr>
        <w:t>, güvenilirlik ödemesi kapasite sağlayan kaynaklara elektrik piyasasında mahrum kaldığı gelirlerin (</w:t>
      </w:r>
      <w:proofErr w:type="spellStart"/>
      <w:r w:rsidR="00B4120F" w:rsidRPr="00CF336B">
        <w:rPr>
          <w:lang w:val="tr-TR"/>
        </w:rPr>
        <w:t>the</w:t>
      </w:r>
      <w:proofErr w:type="spellEnd"/>
      <w:r w:rsidR="00B4120F" w:rsidRPr="00CF336B">
        <w:rPr>
          <w:lang w:val="tr-TR"/>
        </w:rPr>
        <w:t xml:space="preserve"> </w:t>
      </w:r>
      <w:proofErr w:type="spellStart"/>
      <w:r w:rsidR="00B4120F" w:rsidRPr="00CF336B">
        <w:rPr>
          <w:lang w:val="tr-TR"/>
        </w:rPr>
        <w:t>missing</w:t>
      </w:r>
      <w:proofErr w:type="spellEnd"/>
      <w:r w:rsidR="00B4120F" w:rsidRPr="00CF336B">
        <w:rPr>
          <w:lang w:val="tr-TR"/>
        </w:rPr>
        <w:t xml:space="preserve"> </w:t>
      </w:r>
      <w:proofErr w:type="spellStart"/>
      <w:r w:rsidR="00B4120F" w:rsidRPr="00CF336B">
        <w:rPr>
          <w:lang w:val="tr-TR"/>
        </w:rPr>
        <w:t>money</w:t>
      </w:r>
      <w:proofErr w:type="spellEnd"/>
      <w:r w:rsidR="00B4120F" w:rsidRPr="00CF336B">
        <w:rPr>
          <w:lang w:val="tr-TR"/>
        </w:rPr>
        <w:t xml:space="preserve">) tazmini amaçlı ihale fiyatına bağlı sabit bir gelir sağlamaktadır. Elektrik üretimi yapan kaynaklar piyasa fiyatından elektrik satarak bu geri ödeme </w:t>
      </w:r>
      <w:r w:rsidRPr="00CF336B">
        <w:rPr>
          <w:lang w:val="tr-TR"/>
        </w:rPr>
        <w:t xml:space="preserve">tutarını </w:t>
      </w:r>
      <w:r w:rsidR="00B4120F" w:rsidRPr="00CF336B">
        <w:rPr>
          <w:lang w:val="tr-TR"/>
        </w:rPr>
        <w:t xml:space="preserve">kapasite mekanizması işletmecisine ödeyebilir. Elektrik üretmeyen ve elektriğini satarak piyasadan gelir elde edemeyen kapasite sağlayıcılarının geri ödeme koşulundan muaf olmaması, bu kaynakları elektrik üretimine teşvik etmektedir. Dolayısıyla, bu zorunlu geri ödeme koşulu performans bazlı bir yaptırım olarak işlemektedir.  Belçika’da geri ödeme koşuluna ek olarak, sistem sıkışıklığı altında </w:t>
      </w:r>
      <w:r w:rsidR="00B8291A" w:rsidRPr="00CF336B">
        <w:rPr>
          <w:lang w:val="tr-TR"/>
        </w:rPr>
        <w:t xml:space="preserve">emre amade </w:t>
      </w:r>
      <w:r w:rsidR="00B4120F" w:rsidRPr="00CF336B">
        <w:rPr>
          <w:lang w:val="tr-TR"/>
        </w:rPr>
        <w:t xml:space="preserve">olmayan kaynaklara ünite bazlı performans yaptırımı uygulanmaktadır. Bu yaptırım </w:t>
      </w:r>
      <w:r w:rsidR="00E87F20" w:rsidRPr="00CF336B">
        <w:rPr>
          <w:lang w:val="tr-TR"/>
        </w:rPr>
        <w:t>özel</w:t>
      </w:r>
      <w:r w:rsidR="00B4120F" w:rsidRPr="00CF336B">
        <w:rPr>
          <w:lang w:val="tr-TR"/>
        </w:rPr>
        <w:t xml:space="preserve"> olarak ünitelerin aldığı ödemeyi yansıtan bir formülasyon ile hesaplanmaktadır. Güvenilirlik bazlı piyasa çaplı kapasite mekanizmalarından farklı olarak Fransa ve Polonya’da yaptırım oranı toptan elektrik satış piyasasından bağımsız bir şekilde belirlenmektedir. Polonya’daki performans yaptırımı yetkili otorite tarafından referans yılındaki gayri safi yurtiçi hasıla başına tüketilen elektrik miktarını baz alan bir </w:t>
      </w:r>
      <w:r w:rsidR="00E87F20" w:rsidRPr="00CF336B">
        <w:rPr>
          <w:lang w:val="tr-TR"/>
        </w:rPr>
        <w:t>formülasyon</w:t>
      </w:r>
      <w:r w:rsidR="00B4120F" w:rsidRPr="00CF336B">
        <w:rPr>
          <w:lang w:val="tr-TR"/>
        </w:rPr>
        <w:t xml:space="preserve"> ile belirlenmektedir. Fransa’da ise yaptırıma uğrayan </w:t>
      </w:r>
      <w:r w:rsidR="00A22AF1" w:rsidRPr="00CF336B">
        <w:rPr>
          <w:lang w:val="tr-TR"/>
        </w:rPr>
        <w:t>katılımcı</w:t>
      </w:r>
      <w:r w:rsidR="00B4120F" w:rsidRPr="00CF336B">
        <w:rPr>
          <w:lang w:val="tr-TR"/>
        </w:rPr>
        <w:t xml:space="preserve">, kış dönemlerindeki kapasite sağlayamadığı süre ile doğru orantılı bir şekilde cezalandırılmaktadır. Piyasa çaplı kapasite mekanizmasına sahip üye ülkelerde uygulanan performans yaptırımlarının özellikleri </w:t>
      </w:r>
      <w:r w:rsidR="00A22AF1" w:rsidRPr="00CF336B">
        <w:rPr>
          <w:lang w:val="tr-TR"/>
        </w:rPr>
        <w:fldChar w:fldCharType="begin"/>
      </w:r>
      <w:r w:rsidR="00A22AF1" w:rsidRPr="00CF336B">
        <w:rPr>
          <w:lang w:val="tr-TR"/>
        </w:rPr>
        <w:instrText xml:space="preserve"> REF _Ref148969065 \h </w:instrText>
      </w:r>
      <w:r w:rsidR="00413DBB" w:rsidRPr="00CF336B">
        <w:rPr>
          <w:lang w:val="tr-TR"/>
        </w:rPr>
        <w:instrText xml:space="preserve"> \* MERGEFORMAT </w:instrText>
      </w:r>
      <w:r w:rsidR="00A22AF1" w:rsidRPr="00CF336B">
        <w:rPr>
          <w:lang w:val="tr-TR"/>
        </w:rPr>
      </w:r>
      <w:r w:rsidR="00A22AF1" w:rsidRPr="00CF336B">
        <w:rPr>
          <w:lang w:val="tr-TR"/>
        </w:rPr>
        <w:fldChar w:fldCharType="separate"/>
      </w:r>
      <w:r w:rsidR="00A22AF1" w:rsidRPr="00CF336B">
        <w:rPr>
          <w:lang w:val="tr-TR"/>
        </w:rPr>
        <w:t xml:space="preserve">Tablo </w:t>
      </w:r>
      <w:r w:rsidR="00A22AF1" w:rsidRPr="00CF336B">
        <w:rPr>
          <w:noProof/>
          <w:lang w:val="tr-TR"/>
        </w:rPr>
        <w:t>9</w:t>
      </w:r>
      <w:r w:rsidR="00A22AF1" w:rsidRPr="00CF336B">
        <w:rPr>
          <w:lang w:val="tr-TR"/>
        </w:rPr>
        <w:fldChar w:fldCharType="end"/>
      </w:r>
      <w:r w:rsidR="00A22AF1" w:rsidRPr="00CF336B">
        <w:rPr>
          <w:lang w:val="tr-TR"/>
        </w:rPr>
        <w:t>’</w:t>
      </w:r>
      <w:r w:rsidR="00B4120F" w:rsidRPr="00CF336B">
        <w:rPr>
          <w:lang w:val="tr-TR"/>
        </w:rPr>
        <w:t xml:space="preserve">da gösterilmiştir. </w:t>
      </w:r>
    </w:p>
    <w:p w14:paraId="58CF2287" w14:textId="4F1C8E55" w:rsidR="00A22AF1" w:rsidRPr="00CF336B" w:rsidRDefault="00A22AF1" w:rsidP="004D4361">
      <w:pPr>
        <w:pStyle w:val="Caption"/>
        <w:keepNext/>
        <w:spacing w:line="360" w:lineRule="auto"/>
        <w:rPr>
          <w:color w:val="auto"/>
          <w:sz w:val="22"/>
          <w:szCs w:val="22"/>
          <w:lang w:val="tr-TR"/>
        </w:rPr>
      </w:pPr>
      <w:bookmarkStart w:id="147" w:name="_Ref148969065"/>
      <w:bookmarkStart w:id="148" w:name="_Toc156210504"/>
      <w:r w:rsidRPr="00CF336B">
        <w:rPr>
          <w:color w:val="auto"/>
          <w:sz w:val="22"/>
          <w:szCs w:val="22"/>
          <w:lang w:val="tr-TR"/>
        </w:rPr>
        <w:t xml:space="preserve">Tablo </w:t>
      </w:r>
      <w:r w:rsidRPr="00CF336B">
        <w:rPr>
          <w:color w:val="auto"/>
          <w:sz w:val="22"/>
          <w:szCs w:val="22"/>
          <w:lang w:val="tr-TR"/>
        </w:rPr>
        <w:fldChar w:fldCharType="begin"/>
      </w:r>
      <w:r w:rsidRPr="00CF336B">
        <w:rPr>
          <w:color w:val="auto"/>
          <w:sz w:val="22"/>
          <w:szCs w:val="22"/>
          <w:lang w:val="tr-TR"/>
        </w:rPr>
        <w:instrText xml:space="preserve"> SEQ Tablo \* ARABIC </w:instrText>
      </w:r>
      <w:r w:rsidRPr="00CF336B">
        <w:rPr>
          <w:color w:val="auto"/>
          <w:sz w:val="22"/>
          <w:szCs w:val="22"/>
          <w:lang w:val="tr-TR"/>
        </w:rPr>
        <w:fldChar w:fldCharType="separate"/>
      </w:r>
      <w:r w:rsidRPr="00CF336B">
        <w:rPr>
          <w:noProof/>
          <w:color w:val="auto"/>
          <w:sz w:val="22"/>
          <w:szCs w:val="22"/>
          <w:lang w:val="tr-TR"/>
        </w:rPr>
        <w:t>9</w:t>
      </w:r>
      <w:r w:rsidRPr="00CF336B">
        <w:rPr>
          <w:color w:val="auto"/>
          <w:sz w:val="22"/>
          <w:szCs w:val="22"/>
          <w:lang w:val="tr-TR"/>
        </w:rPr>
        <w:fldChar w:fldCharType="end"/>
      </w:r>
      <w:bookmarkEnd w:id="147"/>
      <w:r w:rsidRPr="00CF336B">
        <w:rPr>
          <w:color w:val="auto"/>
          <w:sz w:val="22"/>
          <w:szCs w:val="22"/>
          <w:lang w:val="tr-TR"/>
        </w:rPr>
        <w:t>. Piyasa Çaplı Kapasite Mekanizması Yaptırımları</w:t>
      </w:r>
      <w:bookmarkEnd w:id="148"/>
    </w:p>
    <w:tbl>
      <w:tblPr>
        <w:tblStyle w:val="TableGrid"/>
        <w:tblW w:w="0" w:type="auto"/>
        <w:tblLook w:val="04A0" w:firstRow="1" w:lastRow="0" w:firstColumn="1" w:lastColumn="0" w:noHBand="0" w:noVBand="1"/>
      </w:tblPr>
      <w:tblGrid>
        <w:gridCol w:w="2337"/>
        <w:gridCol w:w="2336"/>
        <w:gridCol w:w="2340"/>
        <w:gridCol w:w="2337"/>
      </w:tblGrid>
      <w:tr w:rsidR="00B4120F" w:rsidRPr="00CF336B" w14:paraId="70959471" w14:textId="77777777" w:rsidTr="0011016D">
        <w:trPr>
          <w:tblHeader/>
        </w:trPr>
        <w:tc>
          <w:tcPr>
            <w:tcW w:w="2337" w:type="dxa"/>
            <w:shd w:val="clear" w:color="auto" w:fill="1F4E79" w:themeFill="accent5" w:themeFillShade="80"/>
            <w:vAlign w:val="center"/>
          </w:tcPr>
          <w:p w14:paraId="30F1E6B3"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Üye Ülke</w:t>
            </w:r>
          </w:p>
        </w:tc>
        <w:tc>
          <w:tcPr>
            <w:tcW w:w="2336" w:type="dxa"/>
            <w:shd w:val="clear" w:color="auto" w:fill="1F4E79" w:themeFill="accent5" w:themeFillShade="80"/>
            <w:vAlign w:val="center"/>
          </w:tcPr>
          <w:p w14:paraId="4B2C3BC4"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Yaptırım Uygulanabilir Durumlar</w:t>
            </w:r>
          </w:p>
        </w:tc>
        <w:tc>
          <w:tcPr>
            <w:tcW w:w="2340" w:type="dxa"/>
            <w:shd w:val="clear" w:color="auto" w:fill="1F4E79" w:themeFill="accent5" w:themeFillShade="80"/>
            <w:vAlign w:val="center"/>
          </w:tcPr>
          <w:p w14:paraId="7AFDA6C4"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Yaptırım</w:t>
            </w:r>
          </w:p>
        </w:tc>
        <w:tc>
          <w:tcPr>
            <w:tcW w:w="2337" w:type="dxa"/>
            <w:shd w:val="clear" w:color="auto" w:fill="1F4E79" w:themeFill="accent5" w:themeFillShade="80"/>
            <w:vAlign w:val="center"/>
          </w:tcPr>
          <w:p w14:paraId="6FF3A1DD" w14:textId="77777777" w:rsidR="00B4120F" w:rsidRPr="00CF336B" w:rsidRDefault="00B4120F" w:rsidP="004D4361">
            <w:pPr>
              <w:spacing w:line="360" w:lineRule="auto"/>
              <w:jc w:val="center"/>
              <w:rPr>
                <w:b/>
                <w:bCs/>
                <w:color w:val="FFFFFF" w:themeColor="background1"/>
                <w:lang w:val="tr-TR"/>
              </w:rPr>
            </w:pPr>
            <w:r w:rsidRPr="00CF336B">
              <w:rPr>
                <w:b/>
                <w:bCs/>
                <w:color w:val="FFFFFF" w:themeColor="background1"/>
                <w:lang w:val="tr-TR"/>
              </w:rPr>
              <w:t>Yaptırımlarda Üst Limit Uygulanması</w:t>
            </w:r>
          </w:p>
        </w:tc>
      </w:tr>
      <w:tr w:rsidR="00B4120F" w:rsidRPr="00CF336B" w14:paraId="56634A18" w14:textId="77777777">
        <w:tc>
          <w:tcPr>
            <w:tcW w:w="2337" w:type="dxa"/>
            <w:vMerge w:val="restart"/>
            <w:vAlign w:val="center"/>
          </w:tcPr>
          <w:p w14:paraId="356CA851" w14:textId="77777777" w:rsidR="00B4120F" w:rsidRPr="00CF336B" w:rsidRDefault="00B4120F" w:rsidP="004D4361">
            <w:pPr>
              <w:spacing w:line="360" w:lineRule="auto"/>
              <w:jc w:val="center"/>
              <w:rPr>
                <w:lang w:val="tr-TR"/>
              </w:rPr>
            </w:pPr>
            <w:r w:rsidRPr="00CF336B">
              <w:rPr>
                <w:lang w:val="tr-TR"/>
              </w:rPr>
              <w:t>Belçika</w:t>
            </w:r>
          </w:p>
        </w:tc>
        <w:tc>
          <w:tcPr>
            <w:tcW w:w="2336" w:type="dxa"/>
            <w:vAlign w:val="center"/>
          </w:tcPr>
          <w:p w14:paraId="2481E93E" w14:textId="77777777" w:rsidR="00B4120F" w:rsidRPr="00CF336B" w:rsidRDefault="00B4120F" w:rsidP="004D4361">
            <w:pPr>
              <w:spacing w:line="360" w:lineRule="auto"/>
              <w:jc w:val="center"/>
              <w:rPr>
                <w:lang w:val="tr-TR"/>
              </w:rPr>
            </w:pPr>
            <w:r w:rsidRPr="00CF336B">
              <w:rPr>
                <w:lang w:val="tr-TR"/>
              </w:rPr>
              <w:t>Gün Öncesinde Yüksek Talep Tahmini</w:t>
            </w:r>
          </w:p>
        </w:tc>
        <w:tc>
          <w:tcPr>
            <w:tcW w:w="2340" w:type="dxa"/>
            <w:vAlign w:val="center"/>
          </w:tcPr>
          <w:p w14:paraId="26DDC3BF" w14:textId="77777777" w:rsidR="00B4120F" w:rsidRPr="00CF336B" w:rsidRDefault="00B4120F" w:rsidP="004D4361">
            <w:pPr>
              <w:spacing w:line="360" w:lineRule="auto"/>
              <w:jc w:val="center"/>
              <w:rPr>
                <w:lang w:val="tr-TR"/>
              </w:rPr>
            </w:pPr>
            <w:r w:rsidRPr="00CF336B">
              <w:rPr>
                <w:lang w:val="tr-TR"/>
              </w:rPr>
              <w:t xml:space="preserve">Kapasite Sağlayıcısının Aldığı Ödemeyi ve Bildirilmiş/Bildirilmemiş Şekilde Sağlanmayan Kapasiteyi ve Takvimi Hesaba Alan Bir Formülasyon </w:t>
            </w:r>
          </w:p>
        </w:tc>
        <w:tc>
          <w:tcPr>
            <w:tcW w:w="2337" w:type="dxa"/>
            <w:vMerge w:val="restart"/>
            <w:vAlign w:val="center"/>
          </w:tcPr>
          <w:p w14:paraId="24AB3029" w14:textId="77777777" w:rsidR="00B4120F" w:rsidRPr="00CF336B" w:rsidRDefault="00B4120F" w:rsidP="004D4361">
            <w:pPr>
              <w:spacing w:line="360" w:lineRule="auto"/>
              <w:jc w:val="center"/>
              <w:rPr>
                <w:lang w:val="tr-TR"/>
              </w:rPr>
            </w:pPr>
            <w:r w:rsidRPr="00CF336B">
              <w:rPr>
                <w:lang w:val="tr-TR"/>
              </w:rPr>
              <w:t>Var</w:t>
            </w:r>
          </w:p>
        </w:tc>
      </w:tr>
      <w:tr w:rsidR="00B4120F" w:rsidRPr="00CF336B" w14:paraId="112DBBF4" w14:textId="77777777">
        <w:tc>
          <w:tcPr>
            <w:tcW w:w="2337" w:type="dxa"/>
            <w:vMerge/>
            <w:vAlign w:val="center"/>
          </w:tcPr>
          <w:p w14:paraId="3A1E5336" w14:textId="77777777" w:rsidR="00B4120F" w:rsidRPr="00CF336B" w:rsidRDefault="00B4120F" w:rsidP="004D4361">
            <w:pPr>
              <w:spacing w:line="360" w:lineRule="auto"/>
              <w:jc w:val="center"/>
              <w:rPr>
                <w:lang w:val="tr-TR"/>
              </w:rPr>
            </w:pPr>
          </w:p>
        </w:tc>
        <w:tc>
          <w:tcPr>
            <w:tcW w:w="2336" w:type="dxa"/>
            <w:vAlign w:val="center"/>
          </w:tcPr>
          <w:p w14:paraId="386B05F3" w14:textId="77777777" w:rsidR="00B4120F" w:rsidRPr="00CF336B" w:rsidRDefault="00B4120F" w:rsidP="004D4361">
            <w:pPr>
              <w:spacing w:line="360" w:lineRule="auto"/>
              <w:jc w:val="center"/>
              <w:rPr>
                <w:lang w:val="tr-TR"/>
              </w:rPr>
            </w:pPr>
            <w:r w:rsidRPr="00CF336B">
              <w:rPr>
                <w:lang w:val="tr-TR"/>
              </w:rPr>
              <w:t xml:space="preserve">Piyasa Fiyatının Geri Ödeme Seçeneği Fiyatından Yüksek Olması </w:t>
            </w:r>
          </w:p>
        </w:tc>
        <w:tc>
          <w:tcPr>
            <w:tcW w:w="2340" w:type="dxa"/>
            <w:vAlign w:val="center"/>
          </w:tcPr>
          <w:p w14:paraId="7CD0121E" w14:textId="77777777" w:rsidR="00B4120F" w:rsidRPr="00CF336B" w:rsidRDefault="00B4120F" w:rsidP="004D4361">
            <w:pPr>
              <w:spacing w:line="360" w:lineRule="auto"/>
              <w:jc w:val="center"/>
              <w:rPr>
                <w:lang w:val="tr-TR"/>
              </w:rPr>
            </w:pPr>
            <w:r w:rsidRPr="00CF336B">
              <w:rPr>
                <w:lang w:val="tr-TR"/>
              </w:rPr>
              <w:t>Piyasa Fiyatı ve Geri Ödeme Seçeneği Arasındaki Fiyat Farkı</w:t>
            </w:r>
          </w:p>
        </w:tc>
        <w:tc>
          <w:tcPr>
            <w:tcW w:w="2337" w:type="dxa"/>
            <w:vMerge/>
            <w:vAlign w:val="center"/>
          </w:tcPr>
          <w:p w14:paraId="5553F6BE" w14:textId="77777777" w:rsidR="00B4120F" w:rsidRPr="00CF336B" w:rsidRDefault="00B4120F" w:rsidP="004D4361">
            <w:pPr>
              <w:spacing w:line="360" w:lineRule="auto"/>
              <w:jc w:val="center"/>
              <w:rPr>
                <w:lang w:val="tr-TR"/>
              </w:rPr>
            </w:pPr>
          </w:p>
        </w:tc>
      </w:tr>
      <w:tr w:rsidR="00B4120F" w:rsidRPr="00CF336B" w14:paraId="14D3DB28" w14:textId="77777777">
        <w:tc>
          <w:tcPr>
            <w:tcW w:w="2337" w:type="dxa"/>
            <w:vAlign w:val="center"/>
          </w:tcPr>
          <w:p w14:paraId="22904CD2" w14:textId="77777777" w:rsidR="00B4120F" w:rsidRPr="00CF336B" w:rsidRDefault="00B4120F" w:rsidP="004D4361">
            <w:pPr>
              <w:spacing w:line="360" w:lineRule="auto"/>
              <w:jc w:val="center"/>
              <w:rPr>
                <w:lang w:val="tr-TR"/>
              </w:rPr>
            </w:pPr>
            <w:r w:rsidRPr="00CF336B">
              <w:rPr>
                <w:lang w:val="tr-TR"/>
              </w:rPr>
              <w:t>Fransa</w:t>
            </w:r>
          </w:p>
        </w:tc>
        <w:tc>
          <w:tcPr>
            <w:tcW w:w="2336" w:type="dxa"/>
            <w:vAlign w:val="center"/>
          </w:tcPr>
          <w:p w14:paraId="14DFCB37" w14:textId="77777777" w:rsidR="00B4120F" w:rsidRPr="00CF336B" w:rsidRDefault="00B4120F" w:rsidP="004D4361">
            <w:pPr>
              <w:spacing w:line="360" w:lineRule="auto"/>
              <w:jc w:val="center"/>
              <w:rPr>
                <w:lang w:val="tr-TR"/>
              </w:rPr>
            </w:pPr>
            <w:r w:rsidRPr="00CF336B">
              <w:rPr>
                <w:lang w:val="tr-TR"/>
              </w:rPr>
              <w:t>Gün Öncesinde Yüksek Talep Tahmini</w:t>
            </w:r>
          </w:p>
          <w:p w14:paraId="6883B5EC" w14:textId="77777777" w:rsidR="00B4120F" w:rsidRPr="00CF336B" w:rsidRDefault="00B4120F" w:rsidP="004D4361">
            <w:pPr>
              <w:spacing w:line="360" w:lineRule="auto"/>
              <w:jc w:val="center"/>
              <w:rPr>
                <w:lang w:val="tr-TR"/>
              </w:rPr>
            </w:pPr>
          </w:p>
          <w:p w14:paraId="1FE720BD" w14:textId="77777777" w:rsidR="00B4120F" w:rsidRPr="00CF336B" w:rsidRDefault="00B4120F" w:rsidP="004D4361">
            <w:pPr>
              <w:spacing w:line="360" w:lineRule="auto"/>
              <w:jc w:val="center"/>
              <w:rPr>
                <w:lang w:val="tr-TR"/>
              </w:rPr>
            </w:pPr>
            <w:r w:rsidRPr="00CF336B">
              <w:rPr>
                <w:lang w:val="tr-TR"/>
              </w:rPr>
              <w:t>Gün Öncesinde Belirtilen Sistem Arızalarının Olması</w:t>
            </w:r>
          </w:p>
        </w:tc>
        <w:tc>
          <w:tcPr>
            <w:tcW w:w="2340" w:type="dxa"/>
            <w:vAlign w:val="center"/>
          </w:tcPr>
          <w:p w14:paraId="00DFABC2" w14:textId="77777777" w:rsidR="00B4120F" w:rsidRPr="00CF336B" w:rsidRDefault="00B4120F" w:rsidP="004D4361">
            <w:pPr>
              <w:spacing w:line="360" w:lineRule="auto"/>
              <w:jc w:val="center"/>
              <w:rPr>
                <w:lang w:val="tr-TR"/>
              </w:rPr>
            </w:pPr>
            <w:r w:rsidRPr="00CF336B">
              <w:rPr>
                <w:lang w:val="tr-TR"/>
              </w:rPr>
              <w:t xml:space="preserve">En Son Gerçekleşen T-1 İhalesindeki Fiyatın </w:t>
            </w:r>
            <w:proofErr w:type="gramStart"/>
            <w:r w:rsidRPr="00CF336B">
              <w:rPr>
                <w:lang w:val="tr-TR"/>
              </w:rPr>
              <w:t>%120</w:t>
            </w:r>
            <w:proofErr w:type="gramEnd"/>
            <w:r w:rsidRPr="00CF336B">
              <w:rPr>
                <w:lang w:val="tr-TR"/>
              </w:rPr>
              <w:t>’si</w:t>
            </w:r>
          </w:p>
        </w:tc>
        <w:tc>
          <w:tcPr>
            <w:tcW w:w="2337" w:type="dxa"/>
            <w:vAlign w:val="center"/>
          </w:tcPr>
          <w:p w14:paraId="1FCCF4B1" w14:textId="77777777" w:rsidR="00B4120F" w:rsidRPr="00CF336B" w:rsidRDefault="00B4120F" w:rsidP="004D4361">
            <w:pPr>
              <w:spacing w:line="360" w:lineRule="auto"/>
              <w:jc w:val="center"/>
              <w:rPr>
                <w:lang w:val="tr-TR"/>
              </w:rPr>
            </w:pPr>
            <w:r w:rsidRPr="00CF336B">
              <w:rPr>
                <w:lang w:val="tr-TR"/>
              </w:rPr>
              <w:t>Var</w:t>
            </w:r>
          </w:p>
        </w:tc>
      </w:tr>
      <w:tr w:rsidR="00B4120F" w:rsidRPr="00CF336B" w14:paraId="1417D797" w14:textId="77777777">
        <w:tc>
          <w:tcPr>
            <w:tcW w:w="2337" w:type="dxa"/>
            <w:vAlign w:val="center"/>
          </w:tcPr>
          <w:p w14:paraId="1E8B5CFF" w14:textId="77777777" w:rsidR="00B4120F" w:rsidRPr="00CF336B" w:rsidRDefault="00B4120F" w:rsidP="004D4361">
            <w:pPr>
              <w:spacing w:line="360" w:lineRule="auto"/>
              <w:jc w:val="center"/>
              <w:rPr>
                <w:lang w:val="tr-TR"/>
              </w:rPr>
            </w:pPr>
            <w:r w:rsidRPr="00CF336B">
              <w:rPr>
                <w:lang w:val="tr-TR"/>
              </w:rPr>
              <w:t>İrlanda</w:t>
            </w:r>
          </w:p>
        </w:tc>
        <w:tc>
          <w:tcPr>
            <w:tcW w:w="2336" w:type="dxa"/>
            <w:vAlign w:val="center"/>
          </w:tcPr>
          <w:p w14:paraId="637B5B18" w14:textId="77777777" w:rsidR="00B4120F" w:rsidRPr="00CF336B" w:rsidRDefault="00B4120F" w:rsidP="004D4361">
            <w:pPr>
              <w:spacing w:line="360" w:lineRule="auto"/>
              <w:jc w:val="center"/>
              <w:rPr>
                <w:lang w:val="tr-TR"/>
              </w:rPr>
            </w:pPr>
            <w:r w:rsidRPr="00CF336B">
              <w:rPr>
                <w:lang w:val="tr-TR"/>
              </w:rPr>
              <w:t>Piyasa Fiyatının Geri Ödeme Seçeneği Fiyatından Yüksek Olması</w:t>
            </w:r>
          </w:p>
        </w:tc>
        <w:tc>
          <w:tcPr>
            <w:tcW w:w="2340" w:type="dxa"/>
            <w:vAlign w:val="center"/>
          </w:tcPr>
          <w:p w14:paraId="0E628F9C" w14:textId="77777777" w:rsidR="00B4120F" w:rsidRPr="00CF336B" w:rsidRDefault="00B4120F" w:rsidP="004D4361">
            <w:pPr>
              <w:spacing w:line="360" w:lineRule="auto"/>
              <w:jc w:val="center"/>
              <w:rPr>
                <w:lang w:val="tr-TR"/>
              </w:rPr>
            </w:pPr>
            <w:r w:rsidRPr="00CF336B">
              <w:rPr>
                <w:lang w:val="tr-TR"/>
              </w:rPr>
              <w:t>Piyasa Fiyatı ve Geri Ödeme Seçeneği Arasındaki Fiyat Farkı</w:t>
            </w:r>
          </w:p>
        </w:tc>
        <w:tc>
          <w:tcPr>
            <w:tcW w:w="2337" w:type="dxa"/>
            <w:vAlign w:val="center"/>
          </w:tcPr>
          <w:p w14:paraId="762C1468" w14:textId="77777777" w:rsidR="00B4120F" w:rsidRPr="00CF336B" w:rsidRDefault="00B4120F" w:rsidP="004D4361">
            <w:pPr>
              <w:spacing w:line="360" w:lineRule="auto"/>
              <w:jc w:val="center"/>
              <w:rPr>
                <w:lang w:val="tr-TR"/>
              </w:rPr>
            </w:pPr>
            <w:r w:rsidRPr="00CF336B">
              <w:rPr>
                <w:lang w:val="tr-TR"/>
              </w:rPr>
              <w:t>Var</w:t>
            </w:r>
          </w:p>
        </w:tc>
      </w:tr>
      <w:tr w:rsidR="00B4120F" w:rsidRPr="00CF336B" w14:paraId="77360150" w14:textId="77777777">
        <w:tc>
          <w:tcPr>
            <w:tcW w:w="2337" w:type="dxa"/>
            <w:vAlign w:val="center"/>
          </w:tcPr>
          <w:p w14:paraId="71B66E6E" w14:textId="77777777" w:rsidR="00B4120F" w:rsidRPr="00CF336B" w:rsidRDefault="00B4120F" w:rsidP="004D4361">
            <w:pPr>
              <w:spacing w:line="360" w:lineRule="auto"/>
              <w:jc w:val="center"/>
              <w:rPr>
                <w:lang w:val="tr-TR"/>
              </w:rPr>
            </w:pPr>
            <w:r w:rsidRPr="00CF336B">
              <w:rPr>
                <w:lang w:val="tr-TR"/>
              </w:rPr>
              <w:t>İtalya</w:t>
            </w:r>
          </w:p>
        </w:tc>
        <w:tc>
          <w:tcPr>
            <w:tcW w:w="2336" w:type="dxa"/>
            <w:vAlign w:val="center"/>
          </w:tcPr>
          <w:p w14:paraId="7EB76319" w14:textId="77777777" w:rsidR="00B4120F" w:rsidRPr="00CF336B" w:rsidRDefault="00B4120F" w:rsidP="004D4361">
            <w:pPr>
              <w:spacing w:line="360" w:lineRule="auto"/>
              <w:jc w:val="center"/>
              <w:rPr>
                <w:lang w:val="tr-TR"/>
              </w:rPr>
            </w:pPr>
            <w:r w:rsidRPr="00CF336B">
              <w:rPr>
                <w:lang w:val="tr-TR"/>
              </w:rPr>
              <w:t>Piyasa Fiyatının Geri Ödeme Seçeneği Fiyatından Yüksek Olması</w:t>
            </w:r>
          </w:p>
        </w:tc>
        <w:tc>
          <w:tcPr>
            <w:tcW w:w="2340" w:type="dxa"/>
            <w:vAlign w:val="center"/>
          </w:tcPr>
          <w:p w14:paraId="5C61C113" w14:textId="77777777" w:rsidR="00B4120F" w:rsidRPr="00CF336B" w:rsidRDefault="00B4120F" w:rsidP="004D4361">
            <w:pPr>
              <w:spacing w:line="360" w:lineRule="auto"/>
              <w:jc w:val="center"/>
              <w:rPr>
                <w:lang w:val="tr-TR"/>
              </w:rPr>
            </w:pPr>
            <w:r w:rsidRPr="00CF336B">
              <w:rPr>
                <w:lang w:val="tr-TR"/>
              </w:rPr>
              <w:t>Piyasa Fiyatı ve Geri Ödeme Seçeneği Arasındaki Fiyat Farkı</w:t>
            </w:r>
          </w:p>
        </w:tc>
        <w:tc>
          <w:tcPr>
            <w:tcW w:w="2337" w:type="dxa"/>
            <w:vAlign w:val="center"/>
          </w:tcPr>
          <w:p w14:paraId="2D38CDA5" w14:textId="77777777" w:rsidR="00B4120F" w:rsidRPr="00CF336B" w:rsidRDefault="00B4120F" w:rsidP="004D4361">
            <w:pPr>
              <w:spacing w:line="360" w:lineRule="auto"/>
              <w:jc w:val="center"/>
              <w:rPr>
                <w:lang w:val="tr-TR"/>
              </w:rPr>
            </w:pPr>
            <w:r w:rsidRPr="00CF336B">
              <w:rPr>
                <w:lang w:val="tr-TR"/>
              </w:rPr>
              <w:t>Yok</w:t>
            </w:r>
          </w:p>
        </w:tc>
      </w:tr>
      <w:tr w:rsidR="00B4120F" w:rsidRPr="00CF336B" w14:paraId="38EB17B8" w14:textId="77777777">
        <w:tc>
          <w:tcPr>
            <w:tcW w:w="2337" w:type="dxa"/>
            <w:vAlign w:val="center"/>
          </w:tcPr>
          <w:p w14:paraId="6DDD5A1D" w14:textId="77777777" w:rsidR="00B4120F" w:rsidRPr="00CF336B" w:rsidRDefault="00B4120F" w:rsidP="004D4361">
            <w:pPr>
              <w:spacing w:line="360" w:lineRule="auto"/>
              <w:jc w:val="center"/>
              <w:rPr>
                <w:lang w:val="tr-TR"/>
              </w:rPr>
            </w:pPr>
            <w:r w:rsidRPr="00CF336B">
              <w:rPr>
                <w:lang w:val="tr-TR"/>
              </w:rPr>
              <w:t>Polonya</w:t>
            </w:r>
          </w:p>
        </w:tc>
        <w:tc>
          <w:tcPr>
            <w:tcW w:w="2336" w:type="dxa"/>
            <w:vAlign w:val="center"/>
          </w:tcPr>
          <w:p w14:paraId="5FD6F4B5" w14:textId="77777777" w:rsidR="00B4120F" w:rsidRPr="00CF336B" w:rsidRDefault="00B4120F" w:rsidP="004D4361">
            <w:pPr>
              <w:spacing w:line="360" w:lineRule="auto"/>
              <w:jc w:val="center"/>
              <w:rPr>
                <w:lang w:val="tr-TR"/>
              </w:rPr>
            </w:pPr>
            <w:r w:rsidRPr="00CF336B">
              <w:rPr>
                <w:lang w:val="tr-TR"/>
              </w:rPr>
              <w:t>Gün Öncesinde Yüksek Talep Tahmini</w:t>
            </w:r>
          </w:p>
        </w:tc>
        <w:tc>
          <w:tcPr>
            <w:tcW w:w="2340" w:type="dxa"/>
            <w:vAlign w:val="center"/>
          </w:tcPr>
          <w:p w14:paraId="5476AC6E" w14:textId="77777777" w:rsidR="00B4120F" w:rsidRPr="00CF336B" w:rsidRDefault="00B4120F" w:rsidP="004D4361">
            <w:pPr>
              <w:spacing w:line="360" w:lineRule="auto"/>
              <w:jc w:val="center"/>
              <w:rPr>
                <w:lang w:val="tr-TR"/>
              </w:rPr>
            </w:pPr>
            <w:r w:rsidRPr="00CF336B">
              <w:rPr>
                <w:lang w:val="tr-TR"/>
              </w:rPr>
              <w:t>Yıllık Olarak Hesaplanan Bir Oran</w:t>
            </w:r>
          </w:p>
          <w:p w14:paraId="67C1C848" w14:textId="541ED223" w:rsidR="00B4120F" w:rsidRPr="00CF336B" w:rsidRDefault="00B4120F" w:rsidP="004D4361">
            <w:pPr>
              <w:spacing w:line="360" w:lineRule="auto"/>
              <w:jc w:val="center"/>
              <w:rPr>
                <w:lang w:val="tr-TR"/>
              </w:rPr>
            </w:pPr>
            <w:r w:rsidRPr="00CF336B">
              <w:rPr>
                <w:lang w:val="tr-TR"/>
              </w:rPr>
              <w:t>Güncel Oran: 1</w:t>
            </w:r>
            <w:r w:rsidR="00A6297A">
              <w:rPr>
                <w:lang w:val="tr-TR"/>
              </w:rPr>
              <w:t>,</w:t>
            </w:r>
            <w:r w:rsidRPr="00CF336B">
              <w:rPr>
                <w:lang w:val="tr-TR"/>
              </w:rPr>
              <w:t xml:space="preserve">015 </w:t>
            </w:r>
            <w:proofErr w:type="gramStart"/>
            <w:r w:rsidRPr="00CF336B">
              <w:rPr>
                <w:lang w:val="tr-TR"/>
              </w:rPr>
              <w:t>Avro</w:t>
            </w:r>
            <w:proofErr w:type="gramEnd"/>
            <w:r w:rsidRPr="00CF336B">
              <w:rPr>
                <w:lang w:val="tr-TR"/>
              </w:rPr>
              <w:t>/</w:t>
            </w:r>
            <w:proofErr w:type="spellStart"/>
            <w:r w:rsidRPr="00CF336B">
              <w:rPr>
                <w:lang w:val="tr-TR"/>
              </w:rPr>
              <w:t>MWh</w:t>
            </w:r>
            <w:proofErr w:type="spellEnd"/>
          </w:p>
        </w:tc>
        <w:tc>
          <w:tcPr>
            <w:tcW w:w="2337" w:type="dxa"/>
            <w:vAlign w:val="center"/>
          </w:tcPr>
          <w:p w14:paraId="102D6792" w14:textId="77777777" w:rsidR="00B4120F" w:rsidRPr="00CF336B" w:rsidRDefault="00B4120F" w:rsidP="004D4361">
            <w:pPr>
              <w:spacing w:line="360" w:lineRule="auto"/>
              <w:jc w:val="center"/>
              <w:rPr>
                <w:lang w:val="tr-TR"/>
              </w:rPr>
            </w:pPr>
            <w:r w:rsidRPr="00CF336B">
              <w:rPr>
                <w:lang w:val="tr-TR"/>
              </w:rPr>
              <w:t>Var</w:t>
            </w:r>
          </w:p>
        </w:tc>
      </w:tr>
    </w:tbl>
    <w:p w14:paraId="59E8F68B" w14:textId="03803600" w:rsidR="00DD1AE0" w:rsidRPr="00CF336B" w:rsidRDefault="00DD1AE0" w:rsidP="004D4361">
      <w:pPr>
        <w:pStyle w:val="Heading2"/>
        <w:spacing w:line="360" w:lineRule="auto"/>
        <w:rPr>
          <w:lang w:val="tr-TR"/>
        </w:rPr>
      </w:pPr>
      <w:r w:rsidRPr="00CF336B">
        <w:rPr>
          <w:lang w:val="tr-TR"/>
        </w:rPr>
        <w:br w:type="page"/>
      </w:r>
    </w:p>
    <w:p w14:paraId="3854E762" w14:textId="319FAF8A" w:rsidR="006C3914" w:rsidRPr="00CF336B" w:rsidRDefault="006C3914" w:rsidP="004D4361">
      <w:pPr>
        <w:pStyle w:val="Heading1"/>
        <w:numPr>
          <w:ilvl w:val="0"/>
          <w:numId w:val="12"/>
        </w:numPr>
        <w:spacing w:line="360" w:lineRule="auto"/>
        <w:rPr>
          <w:lang w:val="tr-TR"/>
        </w:rPr>
      </w:pPr>
      <w:bookmarkStart w:id="149" w:name="_Toc156210448"/>
      <w:r w:rsidRPr="00CF336B">
        <w:rPr>
          <w:lang w:val="tr-TR"/>
        </w:rPr>
        <w:t>Uzun Dönemde Kapasite Mekanizması İhtiyacının Nedenleri</w:t>
      </w:r>
      <w:bookmarkEnd w:id="149"/>
    </w:p>
    <w:p w14:paraId="470519C5" w14:textId="77777777" w:rsidR="00E17D09" w:rsidRPr="00CF336B" w:rsidRDefault="00E17D09" w:rsidP="004D4361">
      <w:pPr>
        <w:spacing w:line="360" w:lineRule="auto"/>
        <w:rPr>
          <w:lang w:val="tr-TR"/>
        </w:rPr>
      </w:pPr>
    </w:p>
    <w:p w14:paraId="74F4CD1D" w14:textId="456F7F4A" w:rsidR="00CF336B" w:rsidRDefault="00052CD0" w:rsidP="004D4361">
      <w:pPr>
        <w:spacing w:line="360" w:lineRule="auto"/>
        <w:jc w:val="both"/>
        <w:rPr>
          <w:lang w:val="tr-TR"/>
        </w:rPr>
      </w:pPr>
      <w:r w:rsidRPr="00CF336B">
        <w:rPr>
          <w:lang w:val="tr-TR"/>
        </w:rPr>
        <w:t>Enerji sektör, s</w:t>
      </w:r>
      <w:r w:rsidR="00F422D8" w:rsidRPr="00CF336B">
        <w:rPr>
          <w:lang w:val="tr-TR"/>
        </w:rPr>
        <w:t xml:space="preserve">anayi devrimi ile </w:t>
      </w:r>
      <w:r w:rsidR="00C33F69" w:rsidRPr="00CF336B">
        <w:rPr>
          <w:lang w:val="tr-TR"/>
        </w:rPr>
        <w:t>ülke ekonomisinin</w:t>
      </w:r>
      <w:r w:rsidR="00F422D8" w:rsidRPr="00CF336B">
        <w:rPr>
          <w:lang w:val="tr-TR"/>
        </w:rPr>
        <w:t xml:space="preserve"> en </w:t>
      </w:r>
      <w:r w:rsidR="00C33F69" w:rsidRPr="00CF336B">
        <w:rPr>
          <w:lang w:val="tr-TR"/>
        </w:rPr>
        <w:t>kritik bileşen</w:t>
      </w:r>
      <w:r w:rsidR="00F422D8" w:rsidRPr="00CF336B">
        <w:rPr>
          <w:lang w:val="tr-TR"/>
        </w:rPr>
        <w:t>lerinden biri haline gelmiştir. Literatürde enerji ile ekonomik büyüme arasında bir ilişki olduğu ve ekonomik büyümenin enerji tüketimini artırdığı belirtilmektedir</w:t>
      </w:r>
      <w:sdt>
        <w:sdtPr>
          <w:rPr>
            <w:lang w:val="tr-TR"/>
          </w:rPr>
          <w:id w:val="176935610"/>
          <w:citation/>
        </w:sdtPr>
        <w:sdtEndPr/>
        <w:sdtContent>
          <w:r w:rsidR="00E91232" w:rsidRPr="00CF336B">
            <w:rPr>
              <w:lang w:val="tr-TR"/>
            </w:rPr>
            <w:fldChar w:fldCharType="begin"/>
          </w:r>
          <w:r w:rsidR="00E91232" w:rsidRPr="008A77BA">
            <w:rPr>
              <w:lang w:val="tr-TR"/>
            </w:rPr>
            <w:instrText xml:space="preserve"> CITATION Öza10 \l 1033 </w:instrText>
          </w:r>
          <w:r w:rsidR="00E91232" w:rsidRPr="00CF336B">
            <w:rPr>
              <w:lang w:val="tr-TR"/>
            </w:rPr>
            <w:fldChar w:fldCharType="separate"/>
          </w:r>
          <w:r w:rsidR="00D95FF7">
            <w:rPr>
              <w:noProof/>
              <w:lang w:val="tr-TR"/>
            </w:rPr>
            <w:t xml:space="preserve"> </w:t>
          </w:r>
          <w:r w:rsidR="00D95FF7" w:rsidRPr="00D95FF7">
            <w:rPr>
              <w:noProof/>
              <w:lang w:val="tr-TR"/>
            </w:rPr>
            <w:t>(Özata, 2010)</w:t>
          </w:r>
          <w:r w:rsidR="00E91232" w:rsidRPr="00CF336B">
            <w:rPr>
              <w:lang w:val="tr-TR"/>
            </w:rPr>
            <w:fldChar w:fldCharType="end"/>
          </w:r>
        </w:sdtContent>
      </w:sdt>
      <w:r w:rsidR="00E91232" w:rsidRPr="00CF336B">
        <w:rPr>
          <w:lang w:val="tr-TR"/>
        </w:rPr>
        <w:t>.</w:t>
      </w:r>
      <w:r w:rsidR="00F422D8" w:rsidRPr="00CF336B">
        <w:rPr>
          <w:lang w:val="tr-TR"/>
        </w:rPr>
        <w:t xml:space="preserve"> </w:t>
      </w:r>
      <w:r w:rsidR="00E91232" w:rsidRPr="00CF336B">
        <w:rPr>
          <w:lang w:val="tr-TR"/>
        </w:rPr>
        <w:t>B</w:t>
      </w:r>
      <w:r w:rsidR="00F422D8" w:rsidRPr="00CF336B">
        <w:rPr>
          <w:lang w:val="tr-TR"/>
        </w:rPr>
        <w:t xml:space="preserve">u nedenle enerji sektöründe yaşanan değişimler ekonomik büyüme açısından önemli sonuçları beraberinde getirmektedir. Özellikle enerji yoğun olan çimento, tekstil ve çelik gibi sektörlerin ülke ekonomisindeki katkısı oldukça fazladır. </w:t>
      </w:r>
      <w:r w:rsidR="00E91232" w:rsidRPr="00CF336B">
        <w:rPr>
          <w:lang w:val="tr-TR"/>
        </w:rPr>
        <w:t>Enerji fiyatlarındaki artış</w:t>
      </w:r>
      <w:r w:rsidR="00B324D1" w:rsidRPr="00CF336B">
        <w:rPr>
          <w:lang w:val="tr-TR"/>
        </w:rPr>
        <w:t>,</w:t>
      </w:r>
      <w:r w:rsidR="00E91232" w:rsidRPr="00CF336B">
        <w:rPr>
          <w:lang w:val="tr-TR"/>
        </w:rPr>
        <w:t xml:space="preserve"> bu sektörlerin </w:t>
      </w:r>
      <w:r w:rsidR="00B324D1" w:rsidRPr="00CF336B">
        <w:rPr>
          <w:lang w:val="tr-TR"/>
        </w:rPr>
        <w:t>üretim faaliyetlerini</w:t>
      </w:r>
      <w:r w:rsidR="00E91232" w:rsidRPr="00CF336B">
        <w:rPr>
          <w:lang w:val="tr-TR"/>
        </w:rPr>
        <w:t xml:space="preserve"> doğrudan etkilemekte ve ülke ekonomisine olan katkılarının azalmasına neden olmaktadır. Diğer yandan tüketicilere uygulanan </w:t>
      </w:r>
      <w:r w:rsidRPr="00CF336B">
        <w:rPr>
          <w:lang w:val="tr-TR"/>
        </w:rPr>
        <w:t xml:space="preserve">doğal gaz ve </w:t>
      </w:r>
      <w:r w:rsidR="00E91232" w:rsidRPr="00CF336B">
        <w:rPr>
          <w:lang w:val="tr-TR"/>
        </w:rPr>
        <w:t>elektrik tarifeleri de bir diğer indikatör olan enflasyonu</w:t>
      </w:r>
      <w:r w:rsidRPr="00CF336B">
        <w:rPr>
          <w:lang w:val="tr-TR"/>
        </w:rPr>
        <w:t xml:space="preserve"> etkilemekte</w:t>
      </w:r>
      <w:r w:rsidR="00B324D1" w:rsidRPr="00CF336B">
        <w:rPr>
          <w:lang w:val="tr-TR"/>
        </w:rPr>
        <w:t xml:space="preserve"> ve</w:t>
      </w:r>
      <w:r w:rsidRPr="00CF336B">
        <w:rPr>
          <w:lang w:val="tr-TR"/>
        </w:rPr>
        <w:t xml:space="preserve"> bu </w:t>
      </w:r>
      <w:r w:rsidR="00B324D1" w:rsidRPr="00CF336B">
        <w:rPr>
          <w:lang w:val="tr-TR"/>
        </w:rPr>
        <w:t>tarifelerdeki</w:t>
      </w:r>
      <w:r w:rsidRPr="00CF336B">
        <w:rPr>
          <w:lang w:val="tr-TR"/>
        </w:rPr>
        <w:t xml:space="preserve"> artış enflasyonu da artırmaktadır. </w:t>
      </w:r>
    </w:p>
    <w:p w14:paraId="0406FC02" w14:textId="235657F4" w:rsidR="00052CD0" w:rsidRPr="00CF336B" w:rsidRDefault="00CF336B" w:rsidP="004D4361">
      <w:pPr>
        <w:spacing w:line="360" w:lineRule="auto"/>
        <w:jc w:val="both"/>
        <w:rPr>
          <w:lang w:val="tr-TR"/>
        </w:rPr>
      </w:pPr>
      <w:r>
        <w:rPr>
          <w:lang w:val="tr-TR"/>
        </w:rPr>
        <w:t xml:space="preserve">Ülkenin </w:t>
      </w:r>
      <w:r w:rsidRPr="00CF336B">
        <w:rPr>
          <w:lang w:val="tr-TR"/>
        </w:rPr>
        <w:t xml:space="preserve">büyüme potansiyelini tamamen kullanmak </w:t>
      </w:r>
      <w:r>
        <w:rPr>
          <w:lang w:val="tr-TR"/>
        </w:rPr>
        <w:t xml:space="preserve">ve belirlenen hedeflere ulaşabilmek </w:t>
      </w:r>
      <w:r w:rsidRPr="00CF336B">
        <w:rPr>
          <w:lang w:val="tr-TR"/>
        </w:rPr>
        <w:t>için hükümetin enerjide arz güvenliğini</w:t>
      </w:r>
      <w:r>
        <w:rPr>
          <w:lang w:val="tr-TR"/>
        </w:rPr>
        <w:t xml:space="preserve"> </w:t>
      </w:r>
      <w:r w:rsidRPr="00CF336B">
        <w:rPr>
          <w:lang w:val="tr-TR"/>
        </w:rPr>
        <w:t xml:space="preserve">sağlayacak tedbirler alması gerekmektedir. </w:t>
      </w:r>
      <w:r>
        <w:rPr>
          <w:lang w:val="tr-TR"/>
        </w:rPr>
        <w:t>Enerji piyasasında arz güvenliğinin sağlanmasına yönelik atılacak adımlar için uygulanan sübvansiyonlar</w:t>
      </w:r>
      <w:r w:rsidR="00CB3856">
        <w:rPr>
          <w:lang w:val="tr-TR"/>
        </w:rPr>
        <w:t xml:space="preserve">, </w:t>
      </w:r>
      <w:r>
        <w:rPr>
          <w:lang w:val="tr-TR"/>
        </w:rPr>
        <w:t>piyasa müdahaleleri</w:t>
      </w:r>
      <w:r w:rsidR="00CB3856">
        <w:rPr>
          <w:lang w:val="tr-TR"/>
        </w:rPr>
        <w:t>, alım garantileri</w:t>
      </w:r>
      <w:r>
        <w:rPr>
          <w:lang w:val="tr-TR"/>
        </w:rPr>
        <w:t xml:space="preserve"> ve uzun dönem</w:t>
      </w:r>
      <w:r w:rsidR="00CB3856">
        <w:rPr>
          <w:lang w:val="tr-TR"/>
        </w:rPr>
        <w:t>li</w:t>
      </w:r>
      <w:r>
        <w:rPr>
          <w:lang w:val="tr-TR"/>
        </w:rPr>
        <w:t xml:space="preserve"> beklentiler beraber değerlendirilmeli ve buna göre bir yaklaşım oluşturulmalıdır. </w:t>
      </w:r>
    </w:p>
    <w:p w14:paraId="7A9564C9" w14:textId="3502E435" w:rsidR="00515DB9" w:rsidRPr="008A77BA" w:rsidRDefault="00515DB9" w:rsidP="004D4361">
      <w:pPr>
        <w:pStyle w:val="Heading2"/>
        <w:numPr>
          <w:ilvl w:val="1"/>
          <w:numId w:val="12"/>
        </w:numPr>
        <w:spacing w:line="360" w:lineRule="auto"/>
        <w:rPr>
          <w:lang w:val="tr-TR"/>
        </w:rPr>
      </w:pPr>
      <w:bookmarkStart w:id="150" w:name="_Toc156210449"/>
      <w:r w:rsidRPr="00CF336B">
        <w:rPr>
          <w:lang w:val="tr-TR"/>
        </w:rPr>
        <w:t>Türkiye’de Enerji Sektöründe Uygulanan Sübvansiyonlar</w:t>
      </w:r>
      <w:bookmarkEnd w:id="150"/>
    </w:p>
    <w:p w14:paraId="5900697A" w14:textId="77777777" w:rsidR="00515DB9" w:rsidRPr="00CF336B" w:rsidRDefault="00515DB9" w:rsidP="004D4361">
      <w:pPr>
        <w:spacing w:line="360" w:lineRule="auto"/>
        <w:rPr>
          <w:lang w:val="tr-TR"/>
        </w:rPr>
      </w:pPr>
    </w:p>
    <w:p w14:paraId="277F1F5B" w14:textId="6A452B27" w:rsidR="00C33F69" w:rsidRPr="00CF336B" w:rsidRDefault="00052CD0" w:rsidP="004D4361">
      <w:pPr>
        <w:spacing w:line="360" w:lineRule="auto"/>
        <w:jc w:val="both"/>
        <w:rPr>
          <w:lang w:val="tr-TR"/>
        </w:rPr>
      </w:pPr>
      <w:r w:rsidRPr="00CF336B">
        <w:rPr>
          <w:lang w:val="tr-TR"/>
        </w:rPr>
        <w:t xml:space="preserve">Enerji sektörünün ülke ekonomisi üzerindeki </w:t>
      </w:r>
      <w:r w:rsidR="00B324D1" w:rsidRPr="00CF336B">
        <w:rPr>
          <w:lang w:val="tr-TR"/>
        </w:rPr>
        <w:t xml:space="preserve">doğrudan </w:t>
      </w:r>
      <w:r w:rsidRPr="00CF336B">
        <w:rPr>
          <w:lang w:val="tr-TR"/>
        </w:rPr>
        <w:t>etkisi, ekonomik büyümenin devamlılığı</w:t>
      </w:r>
      <w:r w:rsidR="00B324D1" w:rsidRPr="00CF336B">
        <w:rPr>
          <w:lang w:val="tr-TR"/>
        </w:rPr>
        <w:t>nın korunması</w:t>
      </w:r>
      <w:r w:rsidRPr="00CF336B">
        <w:rPr>
          <w:lang w:val="tr-TR"/>
        </w:rPr>
        <w:t xml:space="preserve"> ve enflasyon değerlerini belli bir seviyede tutma isteği </w:t>
      </w:r>
      <w:r w:rsidR="00B324D1" w:rsidRPr="00CF336B">
        <w:rPr>
          <w:lang w:val="tr-TR"/>
        </w:rPr>
        <w:t xml:space="preserve">enerji fiyatlarında kamu müdahalelerine neden olmaktadır. Türkiye enerji piyasasında </w:t>
      </w:r>
      <w:r w:rsidR="00C33F69" w:rsidRPr="00CF336B">
        <w:rPr>
          <w:lang w:val="tr-TR"/>
        </w:rPr>
        <w:t xml:space="preserve">üreticilerden son tüketicilere kadar birçok </w:t>
      </w:r>
      <w:r w:rsidR="00B324D1" w:rsidRPr="00CF336B">
        <w:rPr>
          <w:lang w:val="tr-TR"/>
        </w:rPr>
        <w:t>gruba</w:t>
      </w:r>
      <w:r w:rsidR="00C33F69" w:rsidRPr="00CF336B">
        <w:rPr>
          <w:lang w:val="tr-TR"/>
        </w:rPr>
        <w:t xml:space="preserve"> çeşitli </w:t>
      </w:r>
      <w:r w:rsidRPr="00CF336B">
        <w:rPr>
          <w:lang w:val="tr-TR"/>
        </w:rPr>
        <w:t xml:space="preserve">teşvik ve sübvansiyonlar </w:t>
      </w:r>
      <w:r w:rsidR="00C33F69" w:rsidRPr="00CF336B">
        <w:rPr>
          <w:lang w:val="tr-TR"/>
        </w:rPr>
        <w:t xml:space="preserve">uygulanmaktadır. </w:t>
      </w:r>
    </w:p>
    <w:p w14:paraId="52E2B8EE" w14:textId="29069944" w:rsidR="00C33F69" w:rsidRPr="00CF336B" w:rsidRDefault="00C33F69" w:rsidP="004D4361">
      <w:pPr>
        <w:spacing w:line="360" w:lineRule="auto"/>
        <w:jc w:val="both"/>
        <w:rPr>
          <w:lang w:val="tr-TR"/>
        </w:rPr>
      </w:pPr>
      <w:r w:rsidRPr="00CF336B">
        <w:rPr>
          <w:lang w:val="tr-TR"/>
        </w:rPr>
        <w:t xml:space="preserve">Türkiye’de doğal gaz, elektrik üretim sektörü, sanayi sektörü ve konut sektörlerinde büyük oranda kullanılan bir yakıt konumundadır. Günümüzde Türkiye’de tüketilen doğal gazın neredeyse tamamı ithal edildiğinden dolayı maliyetlerin belirlenmesinde uluslararası gelişmeler etkili olmakta ve bu durum Türkiye’yi ani fiyat şoklarına açık hale getirmektedir. Bu olası risklerin yönetilmesinde, doğal gaz ithalat maliyetleri her tüketici grubuna eşit olarak yansıtılmamakta ve zaman zaman tarife belirleme politikalarında değişikliğe gidebilmektedir. Doğal gaz maliyetleri 2018 yılından günümüze, elektrik üreticilerine kısmen sübvansiyonsuz yansıtılırken, konutlara gerçek piyasa fiyatlarının altında tarifeler </w:t>
      </w:r>
      <w:r w:rsidR="00B324D1" w:rsidRPr="00CF336B">
        <w:rPr>
          <w:lang w:val="tr-TR"/>
        </w:rPr>
        <w:fldChar w:fldCharType="begin"/>
      </w:r>
      <w:r w:rsidR="00B324D1" w:rsidRPr="00CF336B">
        <w:rPr>
          <w:lang w:val="tr-TR"/>
        </w:rPr>
        <w:instrText xml:space="preserve"> REF _Ref149134709 \h </w:instrText>
      </w:r>
      <w:r w:rsidR="004D4361">
        <w:rPr>
          <w:lang w:val="tr-TR"/>
        </w:rPr>
        <w:instrText xml:space="preserve"> \* MERGEFORMAT </w:instrText>
      </w:r>
      <w:r w:rsidR="00B324D1" w:rsidRPr="00CF336B">
        <w:rPr>
          <w:lang w:val="tr-TR"/>
        </w:rPr>
      </w:r>
      <w:r w:rsidR="00B324D1" w:rsidRPr="00CF336B">
        <w:rPr>
          <w:lang w:val="tr-TR"/>
        </w:rPr>
        <w:fldChar w:fldCharType="separate"/>
      </w:r>
      <w:r w:rsidR="001D6180" w:rsidRPr="00CF336B">
        <w:rPr>
          <w:lang w:val="tr-TR"/>
        </w:rPr>
        <w:t xml:space="preserve">Şekil </w:t>
      </w:r>
      <w:r w:rsidR="001D6180">
        <w:rPr>
          <w:noProof/>
          <w:lang w:val="tr-TR"/>
        </w:rPr>
        <w:t>33</w:t>
      </w:r>
      <w:r w:rsidR="00B324D1" w:rsidRPr="00CF336B">
        <w:rPr>
          <w:lang w:val="tr-TR"/>
        </w:rPr>
        <w:fldChar w:fldCharType="end"/>
      </w:r>
      <w:r w:rsidRPr="00CF336B">
        <w:rPr>
          <w:lang w:val="tr-TR"/>
        </w:rPr>
        <w:fldChar w:fldCharType="begin"/>
      </w:r>
      <w:r w:rsidRPr="00CF336B">
        <w:rPr>
          <w:lang w:val="tr-TR"/>
        </w:rPr>
        <w:instrText xml:space="preserve"> REF _Ref148962130 \h  \* MERGEFORMAT </w:instrText>
      </w:r>
      <w:r w:rsidRPr="00CF336B">
        <w:rPr>
          <w:lang w:val="tr-TR"/>
        </w:rPr>
      </w:r>
      <w:r w:rsidRPr="00CF336B">
        <w:rPr>
          <w:lang w:val="tr-TR"/>
        </w:rPr>
        <w:fldChar w:fldCharType="end"/>
      </w:r>
      <w:r w:rsidRPr="00CF336B">
        <w:rPr>
          <w:lang w:val="tr-TR"/>
        </w:rPr>
        <w:t>’</w:t>
      </w:r>
      <w:r w:rsidR="001D6180">
        <w:rPr>
          <w:lang w:val="tr-TR"/>
        </w:rPr>
        <w:t>te</w:t>
      </w:r>
      <w:r w:rsidRPr="00CF336B">
        <w:rPr>
          <w:lang w:val="tr-TR"/>
        </w:rPr>
        <w:t xml:space="preserve"> sunulmaktadır. </w:t>
      </w:r>
      <w:r w:rsidR="008E7CC4">
        <w:rPr>
          <w:lang w:val="tr-TR"/>
        </w:rPr>
        <w:t>Aralık</w:t>
      </w:r>
      <w:r w:rsidRPr="00CF336B">
        <w:rPr>
          <w:lang w:val="tr-TR"/>
        </w:rPr>
        <w:t xml:space="preserve"> 2023 tarihinde konutlar için doğal gaz tarifesi bin metreküp başına 4.080 Türk lirası/1.000 sm</w:t>
      </w:r>
      <w:r w:rsidRPr="00CF336B">
        <w:rPr>
          <w:vertAlign w:val="superscript"/>
          <w:lang w:val="tr-TR"/>
        </w:rPr>
        <w:t>3</w:t>
      </w:r>
      <w:r w:rsidRPr="00CF336B">
        <w:rPr>
          <w:lang w:val="tr-TR"/>
        </w:rPr>
        <w:t xml:space="preserve"> seviyesindeyken, aynı dönemde elektrik üretimi amaçlı doğal gaz tarifesi 12.000 TL/1.000 sm</w:t>
      </w:r>
      <w:r w:rsidRPr="00CF336B">
        <w:rPr>
          <w:vertAlign w:val="superscript"/>
          <w:lang w:val="tr-TR"/>
        </w:rPr>
        <w:t xml:space="preserve">3 </w:t>
      </w:r>
      <w:r w:rsidRPr="00CF336B">
        <w:rPr>
          <w:lang w:val="tr-TR"/>
        </w:rPr>
        <w:t>seviyesinde gerçekleşmiştir. Bu dönemde sanayi doğal gaz tarifesi ise 11.374 TL/1.000 sm</w:t>
      </w:r>
      <w:r w:rsidRPr="00CF336B">
        <w:rPr>
          <w:vertAlign w:val="superscript"/>
          <w:lang w:val="tr-TR"/>
        </w:rPr>
        <w:t xml:space="preserve">3 </w:t>
      </w:r>
      <w:r w:rsidRPr="00CF336B">
        <w:rPr>
          <w:lang w:val="tr-TR"/>
        </w:rPr>
        <w:t xml:space="preserve">olarak belirlenmiştir </w:t>
      </w:r>
      <w:sdt>
        <w:sdtPr>
          <w:rPr>
            <w:lang w:val="tr-TR"/>
          </w:rPr>
          <w:id w:val="251795222"/>
          <w:citation/>
        </w:sdtPr>
        <w:sdtEndPr/>
        <w:sdtContent>
          <w:r w:rsidRPr="00CF336B">
            <w:rPr>
              <w:lang w:val="tr-TR"/>
            </w:rPr>
            <w:fldChar w:fldCharType="begin"/>
          </w:r>
          <w:r w:rsidRPr="00CF336B">
            <w:rPr>
              <w:lang w:val="tr-TR"/>
            </w:rPr>
            <w:instrText xml:space="preserve"> CITATION BOT23 \l 1055 </w:instrText>
          </w:r>
          <w:r w:rsidRPr="00CF336B">
            <w:rPr>
              <w:lang w:val="tr-TR"/>
            </w:rPr>
            <w:fldChar w:fldCharType="separate"/>
          </w:r>
          <w:r w:rsidR="00D95FF7">
            <w:rPr>
              <w:noProof/>
              <w:lang w:val="tr-TR"/>
            </w:rPr>
            <w:t>(BOTAŞ, 2023)</w:t>
          </w:r>
          <w:r w:rsidRPr="00CF336B">
            <w:rPr>
              <w:lang w:val="tr-TR"/>
            </w:rPr>
            <w:fldChar w:fldCharType="end"/>
          </w:r>
        </w:sdtContent>
      </w:sdt>
      <w:r w:rsidRPr="00CF336B">
        <w:rPr>
          <w:lang w:val="tr-TR"/>
        </w:rPr>
        <w:t xml:space="preserve">. </w:t>
      </w:r>
    </w:p>
    <w:p w14:paraId="5EDD5841" w14:textId="77777777" w:rsidR="00C33F69" w:rsidRPr="00CF336B" w:rsidRDefault="00C33F69" w:rsidP="004D4361">
      <w:pPr>
        <w:keepNext/>
        <w:spacing w:line="360" w:lineRule="auto"/>
        <w:jc w:val="center"/>
        <w:rPr>
          <w:lang w:val="tr-TR"/>
        </w:rPr>
      </w:pPr>
      <w:r w:rsidRPr="00CF336B">
        <w:rPr>
          <w:noProof/>
          <w:lang w:val="tr-TR"/>
        </w:rPr>
        <w:drawing>
          <wp:inline distT="0" distB="0" distL="0" distR="0" wp14:anchorId="2ABB3004" wp14:editId="49EF3975">
            <wp:extent cx="6241774" cy="3061252"/>
            <wp:effectExtent l="0" t="0" r="0" b="0"/>
            <wp:docPr id="446313377" name="Chart 446313377">
              <a:extLst xmlns:a="http://schemas.openxmlformats.org/drawingml/2006/main">
                <a:ext uri="{FF2B5EF4-FFF2-40B4-BE49-F238E27FC236}">
                  <a16:creationId xmlns:a16="http://schemas.microsoft.com/office/drawing/2014/main" id="{F4984138-E8A9-4E26-A5C5-A33DA3B16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8F8EA0" w14:textId="1B3283E1" w:rsidR="00C33F69" w:rsidRPr="00CF336B" w:rsidRDefault="00C33F69" w:rsidP="004D4361">
      <w:pPr>
        <w:pStyle w:val="Caption"/>
        <w:spacing w:line="360" w:lineRule="auto"/>
        <w:jc w:val="center"/>
        <w:rPr>
          <w:noProof/>
          <w:color w:val="auto"/>
          <w:sz w:val="22"/>
          <w:szCs w:val="22"/>
          <w:lang w:val="tr-TR"/>
        </w:rPr>
      </w:pPr>
      <w:bookmarkStart w:id="151" w:name="_Ref149134709"/>
      <w:bookmarkStart w:id="152" w:name="_Toc156210487"/>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33</w:t>
      </w:r>
      <w:r w:rsidRPr="00CF336B">
        <w:rPr>
          <w:color w:val="auto"/>
          <w:sz w:val="22"/>
          <w:szCs w:val="22"/>
          <w:lang w:val="tr-TR"/>
        </w:rPr>
        <w:fldChar w:fldCharType="end"/>
      </w:r>
      <w:bookmarkEnd w:id="151"/>
      <w:r w:rsidRPr="00CF336B">
        <w:rPr>
          <w:color w:val="auto"/>
          <w:sz w:val="22"/>
          <w:szCs w:val="22"/>
          <w:lang w:val="tr-TR"/>
        </w:rPr>
        <w:t>. Doğal Gaz İthalat Maliyeti ve Tarifeleri</w:t>
      </w:r>
      <w:bookmarkEnd w:id="152"/>
    </w:p>
    <w:p w14:paraId="5A5F883C" w14:textId="1DA41871" w:rsidR="00C33F69" w:rsidRPr="00CF336B" w:rsidRDefault="00C33F69" w:rsidP="004D4361">
      <w:pPr>
        <w:spacing w:line="360" w:lineRule="auto"/>
        <w:rPr>
          <w:lang w:val="tr-TR"/>
        </w:rPr>
      </w:pPr>
      <w:r w:rsidRPr="00CF336B">
        <w:rPr>
          <w:lang w:val="tr-TR"/>
        </w:rPr>
        <w:t xml:space="preserve">Elektrik sektöründe de doğal gaz sektörüne benzer şekilde sübvansiyonların uygulandığı ana grup konut aboneleridir. 2023 </w:t>
      </w:r>
      <w:r w:rsidR="00926425">
        <w:rPr>
          <w:lang w:val="tr-TR"/>
        </w:rPr>
        <w:t>Aralık</w:t>
      </w:r>
      <w:r w:rsidRPr="00CF336B">
        <w:rPr>
          <w:lang w:val="tr-TR"/>
        </w:rPr>
        <w:t xml:space="preserve"> itibarıyla, son kullanıcılar için belirlenen elektrik tarifeleri, özellikle konut ve ticari abone grupları özelinde piyasa üretim maliyetlerinin oldukça altında olduğu </w:t>
      </w:r>
      <w:r w:rsidR="00B324D1" w:rsidRPr="00CF336B">
        <w:rPr>
          <w:lang w:val="tr-TR"/>
        </w:rPr>
        <w:fldChar w:fldCharType="begin"/>
      </w:r>
      <w:r w:rsidR="00B324D1" w:rsidRPr="00CF336B">
        <w:rPr>
          <w:lang w:val="tr-TR"/>
        </w:rPr>
        <w:instrText xml:space="preserve"> REF _Ref149134781 \h </w:instrText>
      </w:r>
      <w:r w:rsidR="004D4361">
        <w:rPr>
          <w:lang w:val="tr-TR"/>
        </w:rPr>
        <w:instrText xml:space="preserve"> \* MERGEFORMAT </w:instrText>
      </w:r>
      <w:r w:rsidR="00B324D1" w:rsidRPr="00CF336B">
        <w:rPr>
          <w:lang w:val="tr-TR"/>
        </w:rPr>
      </w:r>
      <w:r w:rsidR="00B324D1" w:rsidRPr="00CF336B">
        <w:rPr>
          <w:lang w:val="tr-TR"/>
        </w:rPr>
        <w:fldChar w:fldCharType="separate"/>
      </w:r>
      <w:r w:rsidR="001D6180" w:rsidRPr="00CF336B">
        <w:rPr>
          <w:lang w:val="tr-TR"/>
        </w:rPr>
        <w:t xml:space="preserve">Şekil </w:t>
      </w:r>
      <w:r w:rsidR="001D6180">
        <w:rPr>
          <w:noProof/>
          <w:lang w:val="tr-TR"/>
        </w:rPr>
        <w:t>34</w:t>
      </w:r>
      <w:r w:rsidR="00B324D1" w:rsidRPr="00CF336B">
        <w:rPr>
          <w:lang w:val="tr-TR"/>
        </w:rPr>
        <w:fldChar w:fldCharType="end"/>
      </w:r>
      <w:r w:rsidRPr="00CF336B">
        <w:rPr>
          <w:lang w:val="tr-TR"/>
        </w:rPr>
        <w:fldChar w:fldCharType="begin"/>
      </w:r>
      <w:r w:rsidRPr="00CF336B">
        <w:rPr>
          <w:lang w:val="tr-TR"/>
        </w:rPr>
        <w:instrText xml:space="preserve"> REF _Ref148962197 \h  \* MERGEFORMAT </w:instrText>
      </w:r>
      <w:r w:rsidRPr="00CF336B">
        <w:rPr>
          <w:lang w:val="tr-TR"/>
        </w:rPr>
      </w:r>
      <w:r w:rsidRPr="00CF336B">
        <w:rPr>
          <w:lang w:val="tr-TR"/>
        </w:rPr>
        <w:fldChar w:fldCharType="end"/>
      </w:r>
      <w:r w:rsidRPr="00CF336B">
        <w:rPr>
          <w:lang w:val="tr-TR"/>
        </w:rPr>
        <w:t>’</w:t>
      </w:r>
      <w:r w:rsidR="001D6180">
        <w:rPr>
          <w:lang w:val="tr-TR"/>
        </w:rPr>
        <w:t>t</w:t>
      </w:r>
      <w:r w:rsidR="00B324D1" w:rsidRPr="00CF336B">
        <w:rPr>
          <w:lang w:val="tr-TR"/>
        </w:rPr>
        <w:t>e</w:t>
      </w:r>
      <w:r w:rsidRPr="00CF336B">
        <w:rPr>
          <w:lang w:val="tr-TR"/>
        </w:rPr>
        <w:t xml:space="preserve"> gösterilmektedir. Elektrik tarifelerinde 2023 yılı itibarıyla düşen emtia fiyatları nedeniyle indirim uygulanmıştır.</w:t>
      </w:r>
    </w:p>
    <w:p w14:paraId="1DFA463B" w14:textId="77777777" w:rsidR="00C33F69" w:rsidRPr="00CF336B" w:rsidRDefault="00C33F69" w:rsidP="004D4361">
      <w:pPr>
        <w:keepNext/>
        <w:spacing w:line="360" w:lineRule="auto"/>
        <w:rPr>
          <w:lang w:val="tr-TR"/>
        </w:rPr>
      </w:pPr>
      <w:r w:rsidRPr="00CF336B">
        <w:rPr>
          <w:noProof/>
          <w:lang w:val="tr-TR"/>
        </w:rPr>
        <w:drawing>
          <wp:inline distT="0" distB="0" distL="0" distR="0" wp14:anchorId="7D6A066F" wp14:editId="635B2516">
            <wp:extent cx="5931673" cy="3164619"/>
            <wp:effectExtent l="0" t="0" r="0" b="0"/>
            <wp:docPr id="1086339340" name="Chart 1086339340">
              <a:extLst xmlns:a="http://schemas.openxmlformats.org/drawingml/2006/main">
                <a:ext uri="{FF2B5EF4-FFF2-40B4-BE49-F238E27FC236}">
                  <a16:creationId xmlns:a16="http://schemas.microsoft.com/office/drawing/2014/main" id="{61EF74F6-1188-0227-24C1-52AE27436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651682" w14:textId="3B4A5F53" w:rsidR="00C33F69" w:rsidRPr="00CF336B" w:rsidRDefault="00C33F69" w:rsidP="004D4361">
      <w:pPr>
        <w:pStyle w:val="Caption"/>
        <w:spacing w:line="360" w:lineRule="auto"/>
        <w:jc w:val="center"/>
        <w:rPr>
          <w:b/>
          <w:color w:val="auto"/>
          <w:lang w:val="tr-TR"/>
        </w:rPr>
      </w:pPr>
      <w:bookmarkStart w:id="153" w:name="_Ref149134781"/>
      <w:bookmarkStart w:id="154" w:name="_Toc156210488"/>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34</w:t>
      </w:r>
      <w:r w:rsidRPr="00CF336B">
        <w:rPr>
          <w:color w:val="auto"/>
          <w:sz w:val="22"/>
          <w:szCs w:val="22"/>
          <w:lang w:val="tr-TR"/>
        </w:rPr>
        <w:fldChar w:fldCharType="end"/>
      </w:r>
      <w:bookmarkEnd w:id="153"/>
      <w:r w:rsidRPr="00CF336B">
        <w:rPr>
          <w:color w:val="auto"/>
          <w:sz w:val="22"/>
          <w:szCs w:val="22"/>
          <w:lang w:val="tr-TR"/>
        </w:rPr>
        <w:t>. Aktif Enerji Bedeli ve Ortalama Piyasa Takas Fiyatı (PTF) Karşılaştırması</w:t>
      </w:r>
      <w:bookmarkEnd w:id="154"/>
    </w:p>
    <w:p w14:paraId="4336591F" w14:textId="2EB11FFA" w:rsidR="003E0E7F" w:rsidRPr="00CF336B" w:rsidRDefault="00C33F69" w:rsidP="004D4361">
      <w:pPr>
        <w:spacing w:line="360" w:lineRule="auto"/>
        <w:jc w:val="both"/>
        <w:rPr>
          <w:lang w:val="tr-TR"/>
        </w:rPr>
      </w:pPr>
      <w:r w:rsidRPr="00CF336B">
        <w:rPr>
          <w:lang w:val="tr-TR"/>
        </w:rPr>
        <w:t>Türkiye’de doğal gaz ve elektrik sektörlerinde gerçek maliyetlerin son kullanıcılara yansıtılmaması</w:t>
      </w:r>
      <w:r w:rsidR="00CF336B">
        <w:rPr>
          <w:lang w:val="tr-TR"/>
        </w:rPr>
        <w:t xml:space="preserve"> ve</w:t>
      </w:r>
      <w:r w:rsidR="00B324D1" w:rsidRPr="00CF336B">
        <w:rPr>
          <w:lang w:val="tr-TR"/>
        </w:rPr>
        <w:t xml:space="preserve"> hem</w:t>
      </w:r>
      <w:r w:rsidRPr="00CF336B">
        <w:rPr>
          <w:lang w:val="tr-TR"/>
        </w:rPr>
        <w:t xml:space="preserve"> üretim ve </w:t>
      </w:r>
      <w:r w:rsidR="00B324D1" w:rsidRPr="00CF336B">
        <w:rPr>
          <w:lang w:val="tr-TR"/>
        </w:rPr>
        <w:t xml:space="preserve">hem </w:t>
      </w:r>
      <w:r w:rsidRPr="00CF336B">
        <w:rPr>
          <w:lang w:val="tr-TR"/>
        </w:rPr>
        <w:t>tüketim</w:t>
      </w:r>
      <w:r w:rsidR="00B324D1" w:rsidRPr="00CF336B">
        <w:rPr>
          <w:lang w:val="tr-TR"/>
        </w:rPr>
        <w:t xml:space="preserve"> tarafındaki diğer tüm </w:t>
      </w:r>
      <w:r w:rsidRPr="00CF336B">
        <w:rPr>
          <w:lang w:val="tr-TR"/>
        </w:rPr>
        <w:t xml:space="preserve">teşvikler piyasa yapısını ve işleyişini bozmaktadır. </w:t>
      </w:r>
    </w:p>
    <w:p w14:paraId="6B6BFA23" w14:textId="67171644" w:rsidR="00515DB9" w:rsidRPr="008A77BA" w:rsidRDefault="00515DB9" w:rsidP="004D4361">
      <w:pPr>
        <w:pStyle w:val="Heading2"/>
        <w:numPr>
          <w:ilvl w:val="1"/>
          <w:numId w:val="12"/>
        </w:numPr>
        <w:spacing w:line="360" w:lineRule="auto"/>
        <w:rPr>
          <w:lang w:val="tr-TR"/>
        </w:rPr>
      </w:pPr>
      <w:bookmarkStart w:id="155" w:name="_Toc156210450"/>
      <w:r w:rsidRPr="008A77BA">
        <w:rPr>
          <w:lang w:val="tr-TR"/>
        </w:rPr>
        <w:t>Enerji Piyasasındaki Müdahaleler</w:t>
      </w:r>
      <w:bookmarkEnd w:id="155"/>
    </w:p>
    <w:p w14:paraId="63442377" w14:textId="77777777" w:rsidR="00515DB9" w:rsidRPr="00CF336B" w:rsidRDefault="00515DB9" w:rsidP="004D4361">
      <w:pPr>
        <w:spacing w:line="360" w:lineRule="auto"/>
        <w:jc w:val="both"/>
        <w:rPr>
          <w:lang w:val="tr-TR"/>
        </w:rPr>
      </w:pPr>
    </w:p>
    <w:p w14:paraId="79BE3A6C" w14:textId="77777777" w:rsidR="00515DB9" w:rsidRPr="00CF336B" w:rsidRDefault="00515DB9" w:rsidP="004D4361">
      <w:pPr>
        <w:spacing w:line="360" w:lineRule="auto"/>
        <w:jc w:val="both"/>
        <w:rPr>
          <w:lang w:val="tr-TR"/>
        </w:rPr>
      </w:pPr>
      <w:r w:rsidRPr="00CF336B">
        <w:rPr>
          <w:lang w:val="tr-TR"/>
        </w:rPr>
        <w:t>2022 yılında emtia fiyatlarındaki artışa rağmen özellikle regüle tarifeden elektrik alan tüketicilere sağlanan sübvansiyonun da etkisiyle bu tüketicilere elektrik tedarikinden sorumlu olan görevli tedarik şirketleri zarar etmişlerdir. Görevli tedarik şirketlerinin EPDK tarafından açıklanan tarifeler üzerinden elde ettikleri gelirin tedarik maliyetinin oldukça altında kalmasıyla başlayan nakit akış sıkıntısı kurumlar arası dengenin bozulmasına neden olmuştur. Bu soruna çözüm olarak sunulan Kaynak Bazında Tavan Fiyat Uygulaması ise arz tarafında hizmet veren katılımcılar için oldukça önemli bir gelir kaybına neden olmuştur.</w:t>
      </w:r>
    </w:p>
    <w:p w14:paraId="51FA3081" w14:textId="3B7D0F05" w:rsidR="00FD68E1" w:rsidRPr="00CF336B" w:rsidRDefault="00FD68E1" w:rsidP="004D4361">
      <w:pPr>
        <w:spacing w:line="360" w:lineRule="auto"/>
        <w:jc w:val="both"/>
        <w:rPr>
          <w:lang w:val="tr-TR"/>
        </w:rPr>
      </w:pPr>
      <w:r w:rsidRPr="00CF336B">
        <w:rPr>
          <w:lang w:val="tr-TR"/>
        </w:rPr>
        <w:t xml:space="preserve">2022 Nisan </w:t>
      </w:r>
      <w:r w:rsidR="00463548">
        <w:rPr>
          <w:lang w:val="tr-TR"/>
        </w:rPr>
        <w:t>itibarıyla</w:t>
      </w:r>
      <w:r w:rsidRPr="00CF336B">
        <w:rPr>
          <w:lang w:val="tr-TR"/>
        </w:rPr>
        <w:t xml:space="preserve"> uygulama koyulan Kaynak Bazlı Tavan Fiyat Uygulaması santrallerin gelirlerini önemli ölçüde kısıtlayan bir müdahale olarak görülmektedir. </w:t>
      </w:r>
      <w:r w:rsidR="005718E2" w:rsidRPr="00CF336B">
        <w:rPr>
          <w:lang w:val="tr-TR"/>
        </w:rPr>
        <w:t xml:space="preserve">Uygulama kapsamında her kaynak türü için Azami Uzlaştırma Fiyatı (AUF) belirlenmiş ve </w:t>
      </w:r>
      <w:proofErr w:type="spellStart"/>
      <w:r w:rsidR="005718E2" w:rsidRPr="00CF336B">
        <w:rPr>
          <w:lang w:val="tr-TR"/>
        </w:rPr>
        <w:t>PTF’nin</w:t>
      </w:r>
      <w:proofErr w:type="spellEnd"/>
      <w:r w:rsidR="005718E2" w:rsidRPr="00CF336B">
        <w:rPr>
          <w:lang w:val="tr-TR"/>
        </w:rPr>
        <w:t xml:space="preserve"> bu seviye üstünde gerçekleşmesi durumunda aradaki fark destekleme bedeli olarak üreticilerden toplanmıştır. </w:t>
      </w:r>
      <w:r w:rsidRPr="00CF336B">
        <w:rPr>
          <w:lang w:val="tr-TR"/>
        </w:rPr>
        <w:t xml:space="preserve">Temel amacı arz güvenliğinin sağlanması ve nihai tüketicilerinin artan elektrik fiyatlarından korunması olan uygulama piyasa risklerini dikkate alarak üretim planlamaları yapan üreticiler için ilave bir regülasyon riski yaratmıştır. Yürürlüğe koyulduğu ilk dönemde 6 aylık uygulanacağı açıklanan Kaynak Bazlı Tavan Fiyat Uygulaması 2 kez daha uzatılmış ve Ekim 2023 </w:t>
      </w:r>
      <w:r w:rsidR="00463548">
        <w:rPr>
          <w:lang w:val="tr-TR"/>
        </w:rPr>
        <w:t>itibarıyla</w:t>
      </w:r>
      <w:r w:rsidRPr="00CF336B">
        <w:rPr>
          <w:lang w:val="tr-TR"/>
        </w:rPr>
        <w:t xml:space="preserve"> sonlanmıştır. 18 aylık uygulama süreci boyunca</w:t>
      </w:r>
      <w:r w:rsidR="005718E2" w:rsidRPr="00CF336B">
        <w:rPr>
          <w:lang w:val="tr-TR"/>
        </w:rPr>
        <w:t xml:space="preserve"> toplam 13.128 saatte</w:t>
      </w:r>
      <w:r w:rsidRPr="00CF336B">
        <w:rPr>
          <w:lang w:val="tr-TR"/>
        </w:rPr>
        <w:t>:</w:t>
      </w:r>
    </w:p>
    <w:p w14:paraId="2BC3E19D" w14:textId="6BDBC411" w:rsidR="0066476E" w:rsidRPr="00CF336B" w:rsidRDefault="00FD68E1" w:rsidP="004D4361">
      <w:pPr>
        <w:pStyle w:val="ListParagraph"/>
        <w:numPr>
          <w:ilvl w:val="0"/>
          <w:numId w:val="5"/>
        </w:numPr>
        <w:spacing w:line="360" w:lineRule="auto"/>
        <w:jc w:val="both"/>
        <w:rPr>
          <w:lang w:val="tr-TR"/>
        </w:rPr>
      </w:pPr>
      <w:r w:rsidRPr="00CF336B">
        <w:rPr>
          <w:lang w:val="tr-TR"/>
        </w:rPr>
        <w:t xml:space="preserve">Doğal gaz santralleri için </w:t>
      </w:r>
      <w:r w:rsidR="005718E2" w:rsidRPr="00CF336B">
        <w:rPr>
          <w:lang w:val="tr-TR"/>
        </w:rPr>
        <w:t>AUF ile kısıtlanan saat sayısı 2.113 saat,</w:t>
      </w:r>
    </w:p>
    <w:p w14:paraId="38B546EB" w14:textId="136CC647" w:rsidR="005718E2" w:rsidRPr="00CF336B" w:rsidRDefault="005718E2" w:rsidP="004D4361">
      <w:pPr>
        <w:pStyle w:val="ListParagraph"/>
        <w:numPr>
          <w:ilvl w:val="0"/>
          <w:numId w:val="5"/>
        </w:numPr>
        <w:spacing w:line="360" w:lineRule="auto"/>
        <w:jc w:val="both"/>
        <w:rPr>
          <w:lang w:val="tr-TR"/>
        </w:rPr>
      </w:pPr>
      <w:r w:rsidRPr="00CF336B">
        <w:rPr>
          <w:lang w:val="tr-TR"/>
        </w:rPr>
        <w:t>İthal kömür santralleri için AUF ile kısıtlanan saat sayısı 6.891 saat,</w:t>
      </w:r>
    </w:p>
    <w:p w14:paraId="1EAF9869" w14:textId="52B4AB3B" w:rsidR="005718E2" w:rsidRPr="00CF336B" w:rsidRDefault="005718E2" w:rsidP="004D4361">
      <w:pPr>
        <w:pStyle w:val="ListParagraph"/>
        <w:numPr>
          <w:ilvl w:val="0"/>
          <w:numId w:val="5"/>
        </w:numPr>
        <w:spacing w:line="360" w:lineRule="auto"/>
        <w:jc w:val="both"/>
        <w:rPr>
          <w:lang w:val="tr-TR"/>
        </w:rPr>
      </w:pPr>
      <w:r w:rsidRPr="00CF336B">
        <w:rPr>
          <w:lang w:val="tr-TR"/>
        </w:rPr>
        <w:t>Yerli kömür santralleri için AUF ile kısıtlanan saat sayısı 9.036 saat,</w:t>
      </w:r>
    </w:p>
    <w:p w14:paraId="7B63813C" w14:textId="4F03BEE4" w:rsidR="005718E2" w:rsidRPr="00CF336B" w:rsidRDefault="005718E2" w:rsidP="004D4361">
      <w:pPr>
        <w:pStyle w:val="ListParagraph"/>
        <w:numPr>
          <w:ilvl w:val="0"/>
          <w:numId w:val="5"/>
        </w:numPr>
        <w:spacing w:line="360" w:lineRule="auto"/>
        <w:jc w:val="both"/>
        <w:rPr>
          <w:lang w:val="tr-TR"/>
        </w:rPr>
      </w:pPr>
      <w:r w:rsidRPr="00CF336B">
        <w:rPr>
          <w:lang w:val="tr-TR"/>
        </w:rPr>
        <w:t>Yenilenebilir enerji santralleri için AUF ile kısıtlanan saat sayısı 9.870 saat olarak gerçekleşmiştir</w:t>
      </w:r>
      <w:r w:rsidR="00515DB9" w:rsidRPr="00CF336B">
        <w:rPr>
          <w:lang w:val="tr-TR"/>
        </w:rPr>
        <w:t xml:space="preserve"> </w:t>
      </w:r>
      <w:sdt>
        <w:sdtPr>
          <w:rPr>
            <w:lang w:val="tr-TR"/>
          </w:rPr>
          <w:id w:val="322478655"/>
          <w:citation/>
        </w:sdtPr>
        <w:sdtEndPr/>
        <w:sdtContent>
          <w:r w:rsidR="00515DB9" w:rsidRPr="00CF336B">
            <w:rPr>
              <w:lang w:val="tr-TR"/>
            </w:rPr>
            <w:fldChar w:fldCharType="begin"/>
          </w:r>
          <w:r w:rsidR="00515DB9" w:rsidRPr="00CF336B">
            <w:rPr>
              <w:lang w:val="tr-TR"/>
            </w:rPr>
            <w:instrText xml:space="preserve"> CITATION EPİ23 \l 1055 </w:instrText>
          </w:r>
          <w:r w:rsidR="00515DB9" w:rsidRPr="00CF336B">
            <w:rPr>
              <w:lang w:val="tr-TR"/>
            </w:rPr>
            <w:fldChar w:fldCharType="separate"/>
          </w:r>
          <w:r w:rsidR="00D95FF7">
            <w:rPr>
              <w:noProof/>
              <w:lang w:val="tr-TR"/>
            </w:rPr>
            <w:t>(EPİAŞ, 2023)</w:t>
          </w:r>
          <w:r w:rsidR="00515DB9" w:rsidRPr="00CF336B">
            <w:rPr>
              <w:lang w:val="tr-TR"/>
            </w:rPr>
            <w:fldChar w:fldCharType="end"/>
          </w:r>
        </w:sdtContent>
      </w:sdt>
      <w:r w:rsidRPr="00CF336B">
        <w:rPr>
          <w:lang w:val="tr-TR"/>
        </w:rPr>
        <w:t>.</w:t>
      </w:r>
    </w:p>
    <w:p w14:paraId="055C1604" w14:textId="4B743460" w:rsidR="005718E2" w:rsidRPr="00CF336B" w:rsidRDefault="005718E2" w:rsidP="004D4361">
      <w:pPr>
        <w:spacing w:line="360" w:lineRule="auto"/>
        <w:jc w:val="both"/>
        <w:rPr>
          <w:lang w:val="tr-TR"/>
        </w:rPr>
      </w:pPr>
      <w:r w:rsidRPr="00CF336B">
        <w:rPr>
          <w:lang w:val="tr-TR"/>
        </w:rPr>
        <w:t xml:space="preserve">Gün Öncesi Piyasası’nda oluşan piyasa takas fiyatı için herhangi bir kısıtlama uygulanmasaydı santrallerin elde edeceği gelir daha yüksek olacaktı. Fakat </w:t>
      </w:r>
      <w:r w:rsidR="001C49F8" w:rsidRPr="00CF336B">
        <w:rPr>
          <w:lang w:val="tr-TR"/>
        </w:rPr>
        <w:fldChar w:fldCharType="begin"/>
      </w:r>
      <w:r w:rsidR="001C49F8" w:rsidRPr="00CF336B">
        <w:rPr>
          <w:lang w:val="tr-TR"/>
        </w:rPr>
        <w:instrText xml:space="preserve"> REF _Ref149138739 \h </w:instrText>
      </w:r>
      <w:r w:rsidR="004D4361">
        <w:rPr>
          <w:lang w:val="tr-TR"/>
        </w:rPr>
        <w:instrText xml:space="preserve"> \* MERGEFORMAT </w:instrText>
      </w:r>
      <w:r w:rsidR="001C49F8" w:rsidRPr="00CF336B">
        <w:rPr>
          <w:lang w:val="tr-TR"/>
        </w:rPr>
      </w:r>
      <w:r w:rsidR="001C49F8" w:rsidRPr="00CF336B">
        <w:rPr>
          <w:lang w:val="tr-TR"/>
        </w:rPr>
        <w:fldChar w:fldCharType="separate"/>
      </w:r>
      <w:r w:rsidR="001D6180" w:rsidRPr="008A77BA">
        <w:rPr>
          <w:lang w:val="tr-TR"/>
        </w:rPr>
        <w:t xml:space="preserve">Şekil </w:t>
      </w:r>
      <w:r w:rsidR="001D6180">
        <w:rPr>
          <w:noProof/>
          <w:lang w:val="tr-TR"/>
        </w:rPr>
        <w:t>35</w:t>
      </w:r>
      <w:r w:rsidR="001C49F8" w:rsidRPr="00CF336B">
        <w:rPr>
          <w:lang w:val="tr-TR"/>
        </w:rPr>
        <w:fldChar w:fldCharType="end"/>
      </w:r>
      <w:r w:rsidR="001C49F8" w:rsidRPr="00CF336B">
        <w:rPr>
          <w:lang w:val="tr-TR"/>
        </w:rPr>
        <w:t>’</w:t>
      </w:r>
      <w:r w:rsidR="001D6180">
        <w:rPr>
          <w:lang w:val="tr-TR"/>
        </w:rPr>
        <w:t>t</w:t>
      </w:r>
      <w:r w:rsidR="00990247">
        <w:rPr>
          <w:lang w:val="tr-TR"/>
        </w:rPr>
        <w:t>e</w:t>
      </w:r>
      <w:r w:rsidR="001C49F8" w:rsidRPr="00CF336B">
        <w:rPr>
          <w:lang w:val="tr-TR"/>
        </w:rPr>
        <w:t xml:space="preserve">n de görülebileceği üzere Kaynak Bazlı Tavan Fiyat </w:t>
      </w:r>
      <w:proofErr w:type="spellStart"/>
      <w:r w:rsidR="001C49F8" w:rsidRPr="00CF336B">
        <w:rPr>
          <w:lang w:val="tr-TR"/>
        </w:rPr>
        <w:t>Uygulaması’ndan</w:t>
      </w:r>
      <w:proofErr w:type="spellEnd"/>
      <w:r w:rsidR="001C49F8" w:rsidRPr="00CF336B">
        <w:rPr>
          <w:lang w:val="tr-TR"/>
        </w:rPr>
        <w:t xml:space="preserve"> muaf olan santraller hariç tüm santraller önemli bir gelir kaybıyla karşı karşıya kalmıştır. </w:t>
      </w:r>
    </w:p>
    <w:p w14:paraId="4EB786F2" w14:textId="77777777" w:rsidR="001C49F8" w:rsidRPr="008A77BA" w:rsidRDefault="001C49F8" w:rsidP="004D4361">
      <w:pPr>
        <w:keepNext/>
        <w:spacing w:line="360" w:lineRule="auto"/>
        <w:jc w:val="both"/>
        <w:rPr>
          <w:lang w:val="tr-TR"/>
        </w:rPr>
      </w:pPr>
      <w:r w:rsidRPr="008A77BA">
        <w:rPr>
          <w:noProof/>
          <w:lang w:val="tr-TR"/>
        </w:rPr>
        <w:drawing>
          <wp:inline distT="0" distB="0" distL="0" distR="0" wp14:anchorId="08B7837D" wp14:editId="4DFB927C">
            <wp:extent cx="5961707" cy="3241140"/>
            <wp:effectExtent l="0" t="0" r="1270" b="0"/>
            <wp:docPr id="2093091661" name="Chart 1">
              <a:extLst xmlns:a="http://schemas.openxmlformats.org/drawingml/2006/main">
                <a:ext uri="{FF2B5EF4-FFF2-40B4-BE49-F238E27FC236}">
                  <a16:creationId xmlns:a16="http://schemas.microsoft.com/office/drawing/2014/main" id="{31C98B1E-7393-8217-BC8A-720151E5B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3A452B6" w14:textId="440A328C" w:rsidR="005718E2" w:rsidRPr="008A77BA" w:rsidRDefault="001C49F8" w:rsidP="004D4361">
      <w:pPr>
        <w:pStyle w:val="Caption"/>
        <w:spacing w:line="360" w:lineRule="auto"/>
        <w:jc w:val="center"/>
        <w:rPr>
          <w:color w:val="auto"/>
          <w:sz w:val="22"/>
          <w:szCs w:val="22"/>
          <w:lang w:val="tr-TR"/>
        </w:rPr>
      </w:pPr>
      <w:bookmarkStart w:id="156" w:name="_Ref149138739"/>
      <w:bookmarkStart w:id="157" w:name="_Toc156210489"/>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35</w:t>
      </w:r>
      <w:r w:rsidRPr="008A77BA">
        <w:rPr>
          <w:color w:val="auto"/>
          <w:sz w:val="22"/>
          <w:szCs w:val="22"/>
          <w:lang w:val="tr-TR"/>
        </w:rPr>
        <w:fldChar w:fldCharType="end"/>
      </w:r>
      <w:bookmarkEnd w:id="156"/>
      <w:r w:rsidRPr="008A77BA">
        <w:rPr>
          <w:color w:val="auto"/>
          <w:sz w:val="22"/>
          <w:szCs w:val="22"/>
          <w:lang w:val="tr-TR"/>
        </w:rPr>
        <w:t>. Kaynak Bazında Belirlenen Azami Uzlaştırma Fiyatı ve PTF Arasındaki İlişki</w:t>
      </w:r>
      <w:bookmarkEnd w:id="157"/>
    </w:p>
    <w:p w14:paraId="3CDFB4AF" w14:textId="600B5FD4" w:rsidR="00515DB9" w:rsidRPr="00CF336B" w:rsidRDefault="00515DB9" w:rsidP="004D4361">
      <w:pPr>
        <w:spacing w:line="360" w:lineRule="auto"/>
        <w:jc w:val="both"/>
        <w:rPr>
          <w:lang w:val="tr-TR"/>
        </w:rPr>
      </w:pPr>
      <w:r w:rsidRPr="00CF336B">
        <w:rPr>
          <w:lang w:val="tr-TR"/>
        </w:rPr>
        <w:t xml:space="preserve">Üretim tarafında faaliyet yürüten ve gelirlerini piyasa üzerinden elde eden santraller için </w:t>
      </w:r>
      <w:r w:rsidR="00990247">
        <w:rPr>
          <w:lang w:val="tr-TR"/>
        </w:rPr>
        <w:t>azami fiyat</w:t>
      </w:r>
      <w:r w:rsidRPr="00CF336B">
        <w:rPr>
          <w:lang w:val="tr-TR"/>
        </w:rPr>
        <w:t xml:space="preserve"> uygulaması da maddi zorlukları da beraberinde getirmektedir. Bu uygulama kayıp para sorununu artıran en önemli unsurlar arasında sayılmaktadır. </w:t>
      </w:r>
      <w:r w:rsidRPr="00CF336B">
        <w:rPr>
          <w:lang w:val="tr-TR"/>
        </w:rPr>
        <w:fldChar w:fldCharType="begin"/>
      </w:r>
      <w:r w:rsidRPr="00CF336B">
        <w:rPr>
          <w:lang w:val="tr-TR"/>
        </w:rPr>
        <w:instrText xml:space="preserve"> REF _Ref149137059 \h </w:instrText>
      </w:r>
      <w:r w:rsidR="004D4361">
        <w:rPr>
          <w:lang w:val="tr-TR"/>
        </w:rPr>
        <w:instrText xml:space="preserve"> \* MERGEFORMAT </w:instrText>
      </w:r>
      <w:r w:rsidRPr="00CF336B">
        <w:rPr>
          <w:lang w:val="tr-TR"/>
        </w:rPr>
      </w:r>
      <w:r w:rsidRPr="00CF336B">
        <w:rPr>
          <w:lang w:val="tr-TR"/>
        </w:rPr>
        <w:fldChar w:fldCharType="separate"/>
      </w:r>
      <w:r w:rsidR="001D6180" w:rsidRPr="008A77BA">
        <w:rPr>
          <w:lang w:val="tr-TR"/>
        </w:rPr>
        <w:t xml:space="preserve">Şekil </w:t>
      </w:r>
      <w:r w:rsidR="001D6180">
        <w:rPr>
          <w:noProof/>
          <w:lang w:val="tr-TR"/>
        </w:rPr>
        <w:t>36</w:t>
      </w:r>
      <w:r w:rsidRPr="00CF336B">
        <w:rPr>
          <w:lang w:val="tr-TR"/>
        </w:rPr>
        <w:fldChar w:fldCharType="end"/>
      </w:r>
      <w:r w:rsidRPr="00CF336B">
        <w:rPr>
          <w:lang w:val="tr-TR"/>
        </w:rPr>
        <w:t xml:space="preserve">, 2020 yılı </w:t>
      </w:r>
      <w:r w:rsidR="00463548">
        <w:rPr>
          <w:lang w:val="tr-TR"/>
        </w:rPr>
        <w:t>itibarıyla</w:t>
      </w:r>
      <w:r w:rsidRPr="00CF336B">
        <w:rPr>
          <w:lang w:val="tr-TR"/>
        </w:rPr>
        <w:t xml:space="preserve"> Gün Öncesi Piyasası’nda uygulanan azami limit ve bu limite takılan saat sayısını göstermektedir</w:t>
      </w:r>
      <w:sdt>
        <w:sdtPr>
          <w:rPr>
            <w:lang w:val="tr-TR"/>
          </w:rPr>
          <w:id w:val="-399598422"/>
          <w:citation/>
        </w:sdtPr>
        <w:sdtEndPr/>
        <w:sdtContent>
          <w:r w:rsidRPr="00CF336B">
            <w:rPr>
              <w:lang w:val="tr-TR"/>
            </w:rPr>
            <w:fldChar w:fldCharType="begin"/>
          </w:r>
          <w:r w:rsidRPr="00CF336B">
            <w:rPr>
              <w:lang w:val="tr-TR"/>
            </w:rPr>
            <w:instrText xml:space="preserve"> CITATION EPİ23 \l 1055 </w:instrText>
          </w:r>
          <w:r w:rsidRPr="00CF336B">
            <w:rPr>
              <w:lang w:val="tr-TR"/>
            </w:rPr>
            <w:fldChar w:fldCharType="separate"/>
          </w:r>
          <w:r w:rsidR="00D95FF7">
            <w:rPr>
              <w:noProof/>
              <w:lang w:val="tr-TR"/>
            </w:rPr>
            <w:t xml:space="preserve"> (EPİAŞ, 2023)</w:t>
          </w:r>
          <w:r w:rsidRPr="00CF336B">
            <w:rPr>
              <w:lang w:val="tr-TR"/>
            </w:rPr>
            <w:fldChar w:fldCharType="end"/>
          </w:r>
        </w:sdtContent>
      </w:sdt>
      <w:r w:rsidRPr="00CF336B">
        <w:rPr>
          <w:lang w:val="tr-TR"/>
        </w:rPr>
        <w:t>. Buna göre:</w:t>
      </w:r>
    </w:p>
    <w:p w14:paraId="6D2365A7" w14:textId="61D444AB" w:rsidR="00515DB9" w:rsidRPr="00CF336B" w:rsidRDefault="00515DB9" w:rsidP="004D4361">
      <w:pPr>
        <w:pStyle w:val="ListParagraph"/>
        <w:numPr>
          <w:ilvl w:val="0"/>
          <w:numId w:val="5"/>
        </w:numPr>
        <w:spacing w:line="360" w:lineRule="auto"/>
        <w:jc w:val="both"/>
        <w:rPr>
          <w:lang w:val="tr-TR"/>
        </w:rPr>
      </w:pPr>
      <w:r w:rsidRPr="00CF336B">
        <w:rPr>
          <w:lang w:val="tr-TR"/>
        </w:rPr>
        <w:t>2021 yılında 8.760 saatin 1.</w:t>
      </w:r>
      <w:r w:rsidR="00B54C41">
        <w:rPr>
          <w:lang w:val="tr-TR"/>
        </w:rPr>
        <w:t>308</w:t>
      </w:r>
      <w:r w:rsidRPr="00CF336B">
        <w:rPr>
          <w:lang w:val="tr-TR"/>
        </w:rPr>
        <w:t xml:space="preserve"> saatinde,</w:t>
      </w:r>
    </w:p>
    <w:p w14:paraId="01FFADD6" w14:textId="77777777" w:rsidR="00515DB9" w:rsidRPr="00CF336B" w:rsidRDefault="00515DB9" w:rsidP="004D4361">
      <w:pPr>
        <w:pStyle w:val="ListParagraph"/>
        <w:numPr>
          <w:ilvl w:val="0"/>
          <w:numId w:val="5"/>
        </w:numPr>
        <w:spacing w:line="360" w:lineRule="auto"/>
        <w:jc w:val="both"/>
        <w:rPr>
          <w:lang w:val="tr-TR"/>
        </w:rPr>
      </w:pPr>
      <w:r w:rsidRPr="00CF336B">
        <w:rPr>
          <w:lang w:val="tr-TR"/>
        </w:rPr>
        <w:t xml:space="preserve">2022 yılında 8.760 saatin 1.966 saatinde ve </w:t>
      </w:r>
    </w:p>
    <w:p w14:paraId="48BC8917" w14:textId="02496989" w:rsidR="00515DB9" w:rsidRPr="00CF336B" w:rsidRDefault="00515DB9" w:rsidP="004D4361">
      <w:pPr>
        <w:pStyle w:val="ListParagraph"/>
        <w:numPr>
          <w:ilvl w:val="0"/>
          <w:numId w:val="5"/>
        </w:numPr>
        <w:spacing w:line="360" w:lineRule="auto"/>
        <w:jc w:val="both"/>
        <w:rPr>
          <w:lang w:val="tr-TR"/>
        </w:rPr>
      </w:pPr>
      <w:r w:rsidRPr="00CF336B">
        <w:rPr>
          <w:lang w:val="tr-TR"/>
        </w:rPr>
        <w:t xml:space="preserve">2023 yılındaki ilk 9 aya ait 6.552 saatin </w:t>
      </w:r>
      <w:r w:rsidR="00B54C41">
        <w:rPr>
          <w:lang w:val="tr-TR"/>
        </w:rPr>
        <w:t>693</w:t>
      </w:r>
      <w:r w:rsidRPr="00CF336B">
        <w:rPr>
          <w:lang w:val="tr-TR"/>
        </w:rPr>
        <w:t xml:space="preserve"> saatinde azami limit değeri oluşmuştur. </w:t>
      </w:r>
    </w:p>
    <w:p w14:paraId="03E4007E" w14:textId="77777777" w:rsidR="00515DB9" w:rsidRPr="00CF336B" w:rsidRDefault="00515DB9" w:rsidP="004D4361">
      <w:pPr>
        <w:spacing w:line="360" w:lineRule="auto"/>
        <w:jc w:val="both"/>
        <w:rPr>
          <w:lang w:val="tr-TR"/>
        </w:rPr>
      </w:pPr>
      <w:r w:rsidRPr="00CF336B">
        <w:rPr>
          <w:lang w:val="tr-TR"/>
        </w:rPr>
        <w:t xml:space="preserve">Rusya’nın Ukrayna’yı işgali ile başlayan emtia fiyatları artışı, 2022 yılının Şubat ve </w:t>
      </w:r>
      <w:proofErr w:type="gramStart"/>
      <w:r w:rsidRPr="00CF336B">
        <w:rPr>
          <w:lang w:val="tr-TR"/>
        </w:rPr>
        <w:t>Mart</w:t>
      </w:r>
      <w:proofErr w:type="gramEnd"/>
      <w:r w:rsidRPr="00CF336B">
        <w:rPr>
          <w:lang w:val="tr-TR"/>
        </w:rPr>
        <w:t xml:space="preserve"> aylarında sırasıyla toplamda 361 ve 481 saat piyasa takas fiyatının azami fiyat limiti seviyesinde oluşmasına neden olmuştur. Uygulanan azami limit ile marjinal maliyetleri artan santrallerin kısıtlanmış ve serbest piyasadan elde ettikleri gelir üretim maliyetlerini karşılayamaz duruma gelmiştir.</w:t>
      </w:r>
    </w:p>
    <w:p w14:paraId="5CF390AD" w14:textId="77777777" w:rsidR="00515DB9" w:rsidRPr="008A77BA" w:rsidRDefault="00515DB9" w:rsidP="004D4361">
      <w:pPr>
        <w:keepNext/>
        <w:spacing w:line="360" w:lineRule="auto"/>
        <w:jc w:val="both"/>
        <w:rPr>
          <w:lang w:val="tr-TR"/>
        </w:rPr>
      </w:pPr>
      <w:r w:rsidRPr="008A77BA">
        <w:rPr>
          <w:noProof/>
          <w:lang w:val="tr-TR"/>
        </w:rPr>
        <w:drawing>
          <wp:inline distT="0" distB="0" distL="0" distR="0" wp14:anchorId="7A3DC0CA" wp14:editId="4E28DFBE">
            <wp:extent cx="5930020" cy="2797521"/>
            <wp:effectExtent l="0" t="0" r="0" b="3175"/>
            <wp:docPr id="1852183120" name="Chart 1">
              <a:extLst xmlns:a="http://schemas.openxmlformats.org/drawingml/2006/main">
                <a:ext uri="{FF2B5EF4-FFF2-40B4-BE49-F238E27FC236}">
                  <a16:creationId xmlns:a16="http://schemas.microsoft.com/office/drawing/2014/main" id="{113A1143-6CD1-F318-C257-9BD05BCF1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70231D1" w14:textId="73D98526" w:rsidR="00515DB9" w:rsidRDefault="00515DB9" w:rsidP="004D4361">
      <w:pPr>
        <w:pStyle w:val="Caption"/>
        <w:spacing w:line="360" w:lineRule="auto"/>
        <w:jc w:val="center"/>
        <w:rPr>
          <w:color w:val="auto"/>
          <w:sz w:val="22"/>
          <w:szCs w:val="22"/>
          <w:lang w:val="tr-TR"/>
        </w:rPr>
      </w:pPr>
      <w:bookmarkStart w:id="158" w:name="_Ref149137059"/>
      <w:bookmarkStart w:id="159" w:name="_Toc156210490"/>
      <w:r w:rsidRPr="008A77BA">
        <w:rPr>
          <w:color w:val="auto"/>
          <w:sz w:val="22"/>
          <w:szCs w:val="22"/>
          <w:lang w:val="tr-TR"/>
        </w:rPr>
        <w:t xml:space="preserve">Şekil </w:t>
      </w:r>
      <w:r w:rsidRPr="008A77BA">
        <w:rPr>
          <w:color w:val="auto"/>
          <w:sz w:val="22"/>
          <w:szCs w:val="22"/>
          <w:lang w:val="tr-TR"/>
        </w:rPr>
        <w:fldChar w:fldCharType="begin"/>
      </w:r>
      <w:r w:rsidRPr="008A77BA">
        <w:rPr>
          <w:color w:val="auto"/>
          <w:sz w:val="22"/>
          <w:szCs w:val="22"/>
          <w:lang w:val="tr-TR"/>
        </w:rPr>
        <w:instrText xml:space="preserve"> SEQ Şekil \* ARABIC </w:instrText>
      </w:r>
      <w:r w:rsidRPr="008A77BA">
        <w:rPr>
          <w:color w:val="auto"/>
          <w:sz w:val="22"/>
          <w:szCs w:val="22"/>
          <w:lang w:val="tr-TR"/>
        </w:rPr>
        <w:fldChar w:fldCharType="separate"/>
      </w:r>
      <w:r w:rsidR="0052290F">
        <w:rPr>
          <w:noProof/>
          <w:color w:val="auto"/>
          <w:sz w:val="22"/>
          <w:szCs w:val="22"/>
          <w:lang w:val="tr-TR"/>
        </w:rPr>
        <w:t>36</w:t>
      </w:r>
      <w:r w:rsidRPr="008A77BA">
        <w:rPr>
          <w:color w:val="auto"/>
          <w:sz w:val="22"/>
          <w:szCs w:val="22"/>
          <w:lang w:val="tr-TR"/>
        </w:rPr>
        <w:fldChar w:fldCharType="end"/>
      </w:r>
      <w:bookmarkEnd w:id="158"/>
      <w:r w:rsidRPr="008A77BA">
        <w:rPr>
          <w:color w:val="auto"/>
          <w:sz w:val="22"/>
          <w:szCs w:val="22"/>
          <w:lang w:val="tr-TR"/>
        </w:rPr>
        <w:t>. Gün Öncesi Piyasası Azami Limit ve Limite Takılan Saat Sayısı</w:t>
      </w:r>
      <w:bookmarkEnd w:id="159"/>
    </w:p>
    <w:p w14:paraId="12A943BA" w14:textId="77777777" w:rsidR="00990247" w:rsidRPr="008A77BA" w:rsidRDefault="00990247" w:rsidP="004D4361">
      <w:pPr>
        <w:spacing w:line="360" w:lineRule="auto"/>
        <w:rPr>
          <w:lang w:val="tr-TR"/>
        </w:rPr>
      </w:pPr>
    </w:p>
    <w:p w14:paraId="28EF997A" w14:textId="32EEB156" w:rsidR="00515DB9" w:rsidRDefault="00CB3856" w:rsidP="004D4361">
      <w:pPr>
        <w:pStyle w:val="Heading2"/>
        <w:numPr>
          <w:ilvl w:val="1"/>
          <w:numId w:val="12"/>
        </w:numPr>
        <w:spacing w:line="360" w:lineRule="auto"/>
        <w:rPr>
          <w:lang w:val="tr-TR"/>
        </w:rPr>
      </w:pPr>
      <w:bookmarkStart w:id="160" w:name="_Toc156210451"/>
      <w:r w:rsidRPr="00CB3856">
        <w:rPr>
          <w:lang w:val="tr-TR"/>
        </w:rPr>
        <w:t>Yerli Kömür Santrallerine Uygulanan Teşvikler</w:t>
      </w:r>
      <w:bookmarkEnd w:id="160"/>
    </w:p>
    <w:p w14:paraId="267A29B8" w14:textId="77777777" w:rsidR="00CB3856" w:rsidRDefault="00CB3856" w:rsidP="004D4361">
      <w:pPr>
        <w:spacing w:line="360" w:lineRule="auto"/>
        <w:rPr>
          <w:lang w:val="tr-TR"/>
        </w:rPr>
      </w:pPr>
    </w:p>
    <w:p w14:paraId="28B2F1D3" w14:textId="77777777" w:rsidR="00CB3856" w:rsidRPr="00CF336B" w:rsidRDefault="00CB3856" w:rsidP="004D4361">
      <w:pPr>
        <w:spacing w:before="120" w:line="360" w:lineRule="auto"/>
        <w:jc w:val="both"/>
        <w:rPr>
          <w:lang w:val="tr-TR"/>
        </w:rPr>
      </w:pPr>
      <w:r w:rsidRPr="00CF336B">
        <w:rPr>
          <w:lang w:val="tr-TR"/>
        </w:rPr>
        <w:t>Yerli kömür alım garantisi, ithal kaynaklara karşı yerli kaynakların teşvik edilmesi için Türkiye’de 2016 yılında alınan kararla uygulanmaya başlayan bir programdır</w:t>
      </w:r>
      <w:r w:rsidRPr="00CF336B">
        <w:rPr>
          <w:rStyle w:val="FootnoteReference"/>
          <w:lang w:val="tr-TR"/>
        </w:rPr>
        <w:footnoteReference w:id="12"/>
      </w:r>
      <w:r w:rsidRPr="00CF336B">
        <w:rPr>
          <w:lang w:val="tr-TR"/>
        </w:rPr>
        <w:t>. Buna göre TETAŞ (2018 sonrası EÜAŞ) yerli kömür elektrik santrallerine yerli kömür kaynaklarından her sene belirlenecek elektrik miktarını sabit bir fiyatla satın alma garantisi sunmaktadır</w:t>
      </w:r>
      <w:r w:rsidRPr="00CF336B">
        <w:rPr>
          <w:rStyle w:val="FootnoteReference"/>
          <w:lang w:val="tr-TR"/>
        </w:rPr>
        <w:footnoteReference w:id="13"/>
      </w:r>
      <w:r w:rsidRPr="00CF336B">
        <w:rPr>
          <w:lang w:val="tr-TR"/>
        </w:rPr>
        <w:t>. 2016 ve 2017 yıllarında 185 TL/</w:t>
      </w:r>
      <w:proofErr w:type="spellStart"/>
      <w:r w:rsidRPr="00CF336B">
        <w:rPr>
          <w:lang w:val="tr-TR"/>
        </w:rPr>
        <w:t>MWh</w:t>
      </w:r>
      <w:proofErr w:type="spellEnd"/>
      <w:r w:rsidRPr="00CF336B">
        <w:rPr>
          <w:lang w:val="tr-TR"/>
        </w:rPr>
        <w:t xml:space="preserve"> birim fiyatıyla toplamda 24 Milyar kWh elektrik TETAŞ tarafından satın alınmıştır. 2018 yılından sonra düzenlemede değişiklikler yapılmış ve her santral için satın alınacak elektrik miktarı toplam üretimin yarısı olarak belirlenmiştir. Aynı zamanda alım birim fiyatının da enflasyonla </w:t>
      </w:r>
      <w:proofErr w:type="spellStart"/>
      <w:r w:rsidRPr="00CF336B">
        <w:rPr>
          <w:lang w:val="tr-TR"/>
        </w:rPr>
        <w:t>eskale</w:t>
      </w:r>
      <w:proofErr w:type="spellEnd"/>
      <w:r w:rsidRPr="00CF336B">
        <w:rPr>
          <w:lang w:val="tr-TR"/>
        </w:rPr>
        <w:t xml:space="preserve"> edilmesi kararlaştırılmıştır. 2018 yılından sonra ödenecek birim fiyatın her 3 ayda bir ÜFE ve TÜFE artış miktarıyla paralel artışına karar verilmiştir. 2018 yılından itibaren yapılan bir diğer değişiklik de yerli kömür ve ithal kömürü birlikte kullanan santrallerin de bu teşvik programının kapsamına alınması olmuştur. 2019 yılında ise formülasyon değiştirilmiş ve ÜFE ve TÜFE’ye ilave olarak dolar kuru da hesaplamaya dahil edilmeye başlanmıştır. 2019 yılında kararla birlikte bu alım garantisinin en fazla 55 USD/</w:t>
      </w:r>
      <w:proofErr w:type="spellStart"/>
      <w:r w:rsidRPr="00CF336B">
        <w:rPr>
          <w:lang w:val="tr-TR"/>
        </w:rPr>
        <w:t>MWh</w:t>
      </w:r>
      <w:proofErr w:type="spellEnd"/>
      <w:r w:rsidRPr="00CF336B">
        <w:rPr>
          <w:lang w:val="tr-TR"/>
        </w:rPr>
        <w:t>, en az da 50 ABD USD/</w:t>
      </w:r>
      <w:proofErr w:type="spellStart"/>
      <w:r w:rsidRPr="00CF336B">
        <w:rPr>
          <w:lang w:val="tr-TR"/>
        </w:rPr>
        <w:t>MWh</w:t>
      </w:r>
      <w:proofErr w:type="spellEnd"/>
      <w:r w:rsidRPr="00CF336B">
        <w:rPr>
          <w:lang w:val="tr-TR"/>
        </w:rPr>
        <w:t xml:space="preserve"> olarak uygulanması kararlaştırılmıştır. </w:t>
      </w:r>
    </w:p>
    <w:p w14:paraId="73F3E618" w14:textId="68D7A930" w:rsidR="00CB3856" w:rsidRPr="00CF336B" w:rsidRDefault="00CB3856" w:rsidP="004D4361">
      <w:pPr>
        <w:spacing w:before="120" w:line="360" w:lineRule="auto"/>
        <w:jc w:val="both"/>
        <w:rPr>
          <w:lang w:val="tr-TR"/>
        </w:rPr>
      </w:pPr>
      <w:r w:rsidRPr="00CF336B">
        <w:rPr>
          <w:lang w:val="tr-TR"/>
        </w:rPr>
        <w:t>Alım garantisi uygulamasının devam ettiği kimi dönemlerde fiyatların 40 USD/</w:t>
      </w:r>
      <w:proofErr w:type="spellStart"/>
      <w:r w:rsidRPr="00CF336B">
        <w:rPr>
          <w:lang w:val="tr-TR"/>
        </w:rPr>
        <w:t>MWh</w:t>
      </w:r>
      <w:proofErr w:type="spellEnd"/>
      <w:r w:rsidRPr="00CF336B">
        <w:rPr>
          <w:lang w:val="tr-TR"/>
        </w:rPr>
        <w:t xml:space="preserve"> civarında olduğu düşünüldüğünde uygulanmakta olan teşvikin boyutu daha iyi anlaşılmaktadır. 2017 yılı ve 2018 yılının ilk yarısında PTF, yerli kömür santrallerine uygulanan alım garantisinin altında gerçekleşmiştir. 2019 yılında ise uygulamaya koyulan asgari ve azami limitler ile alım garantisi fiyatının belli seviyede korunması amaçlanmıştır. 2019 yılının özellikle ikinci çeyreğinde gerçekleşen olağanüstü </w:t>
      </w:r>
      <w:proofErr w:type="spellStart"/>
      <w:r w:rsidRPr="00CF336B">
        <w:rPr>
          <w:lang w:val="tr-TR"/>
        </w:rPr>
        <w:t>hidro</w:t>
      </w:r>
      <w:proofErr w:type="spellEnd"/>
      <w:r w:rsidRPr="00CF336B">
        <w:rPr>
          <w:lang w:val="tr-TR"/>
        </w:rPr>
        <w:t xml:space="preserve"> üretimi ile düşen </w:t>
      </w:r>
      <w:proofErr w:type="spellStart"/>
      <w:r w:rsidRPr="00CF336B">
        <w:rPr>
          <w:lang w:val="tr-TR"/>
        </w:rPr>
        <w:t>PTF’ye</w:t>
      </w:r>
      <w:proofErr w:type="spellEnd"/>
      <w:r w:rsidRPr="00CF336B">
        <w:rPr>
          <w:lang w:val="tr-TR"/>
        </w:rPr>
        <w:t xml:space="preserve"> kıyasla alım garantisi fiyatı oldukça yukarıda kalmıştır. 2020 yılında ise pandemi sürecinde düşen </w:t>
      </w:r>
      <w:proofErr w:type="spellStart"/>
      <w:r w:rsidRPr="00CF336B">
        <w:rPr>
          <w:lang w:val="tr-TR"/>
        </w:rPr>
        <w:t>PTF’ye</w:t>
      </w:r>
      <w:proofErr w:type="spellEnd"/>
      <w:r w:rsidRPr="00CF336B">
        <w:rPr>
          <w:lang w:val="tr-TR"/>
        </w:rPr>
        <w:t xml:space="preserve"> rağmen yerli kömür santralleriyle yapılan anlaşma gereği alım fiyatı 50 USD/</w:t>
      </w:r>
      <w:proofErr w:type="spellStart"/>
      <w:r w:rsidRPr="00CF336B">
        <w:rPr>
          <w:lang w:val="tr-TR"/>
        </w:rPr>
        <w:t>MWh</w:t>
      </w:r>
      <w:proofErr w:type="spellEnd"/>
      <w:r w:rsidRPr="00CF336B">
        <w:rPr>
          <w:lang w:val="tr-TR"/>
        </w:rPr>
        <w:t xml:space="preserve"> seviyesinde korunmuştur. 2021 yılında ise özellikle yılın ikinci yarısından itibaren PTF oldukça hızlı bir şekilde artmış ve alım garantisi ile arasındaki fark aylık ortalamada </w:t>
      </w:r>
      <w:proofErr w:type="gramStart"/>
      <w:r w:rsidRPr="00CF336B">
        <w:rPr>
          <w:lang w:val="tr-TR"/>
        </w:rPr>
        <w:t>%60</w:t>
      </w:r>
      <w:proofErr w:type="gramEnd"/>
      <w:r w:rsidRPr="00CF336B">
        <w:rPr>
          <w:lang w:val="tr-TR"/>
        </w:rPr>
        <w:t xml:space="preserve">’lara kadar çıkmıştır. Bunun sonucu olarak da 2022 ve 2023 yıllarında yerli kömür santralleri EÜAŞ ile ikili anlaşma yapmamayı tercih etmişlerdir. Yerli kömür santrallerine uygulanan alım garantisi kapsamında santrallere ödenecek birim elektrik fiyatı ile PTF arasındaki ilişki </w:t>
      </w:r>
      <w:r w:rsidR="007F037E">
        <w:rPr>
          <w:lang w:val="tr-TR"/>
        </w:rPr>
        <w:fldChar w:fldCharType="begin"/>
      </w:r>
      <w:r w:rsidR="007F037E">
        <w:rPr>
          <w:lang w:val="tr-TR"/>
        </w:rPr>
        <w:instrText xml:space="preserve"> REF _Ref149140891 \h </w:instrText>
      </w:r>
      <w:r w:rsidR="004D4361">
        <w:rPr>
          <w:lang w:val="tr-TR"/>
        </w:rPr>
        <w:instrText xml:space="preserve"> \* MERGEFORMAT </w:instrText>
      </w:r>
      <w:r w:rsidR="007F037E">
        <w:rPr>
          <w:lang w:val="tr-TR"/>
        </w:rPr>
      </w:r>
      <w:r w:rsidR="007F037E">
        <w:rPr>
          <w:lang w:val="tr-TR"/>
        </w:rPr>
        <w:fldChar w:fldCharType="separate"/>
      </w:r>
      <w:r w:rsidR="001D6180" w:rsidRPr="00CF336B">
        <w:rPr>
          <w:lang w:val="tr-TR"/>
        </w:rPr>
        <w:t xml:space="preserve">Şekil </w:t>
      </w:r>
      <w:r w:rsidR="001D6180">
        <w:rPr>
          <w:noProof/>
          <w:lang w:val="tr-TR"/>
        </w:rPr>
        <w:t>37</w:t>
      </w:r>
      <w:r w:rsidR="007F037E">
        <w:rPr>
          <w:lang w:val="tr-TR"/>
        </w:rPr>
        <w:fldChar w:fldCharType="end"/>
      </w:r>
      <w:r w:rsidRPr="00CF336B">
        <w:rPr>
          <w:lang w:val="tr-TR"/>
        </w:rPr>
        <w:fldChar w:fldCharType="begin"/>
      </w:r>
      <w:r w:rsidRPr="00CF336B">
        <w:rPr>
          <w:lang w:val="tr-TR"/>
        </w:rPr>
        <w:instrText xml:space="preserve"> REF _Ref148629100 \h  \* MERGEFORMAT </w:instrText>
      </w:r>
      <w:r w:rsidRPr="00CF336B">
        <w:rPr>
          <w:lang w:val="tr-TR"/>
        </w:rPr>
      </w:r>
      <w:r w:rsidRPr="00CF336B">
        <w:rPr>
          <w:lang w:val="tr-TR"/>
        </w:rPr>
        <w:fldChar w:fldCharType="end"/>
      </w:r>
      <w:r w:rsidRPr="00CF336B">
        <w:rPr>
          <w:lang w:val="tr-TR"/>
        </w:rPr>
        <w:t>’</w:t>
      </w:r>
      <w:r w:rsidR="001D6180">
        <w:rPr>
          <w:lang w:val="tr-TR"/>
        </w:rPr>
        <w:t>d</w:t>
      </w:r>
      <w:r w:rsidR="007F037E">
        <w:rPr>
          <w:lang w:val="tr-TR"/>
        </w:rPr>
        <w:t>e</w:t>
      </w:r>
      <w:r w:rsidRPr="00CF336B">
        <w:rPr>
          <w:lang w:val="tr-TR"/>
        </w:rPr>
        <w:t xml:space="preserve"> gösterilmektedir</w:t>
      </w:r>
      <w:r w:rsidRPr="00CF336B">
        <w:rPr>
          <w:rStyle w:val="FootnoteReference"/>
          <w:lang w:val="tr-TR"/>
        </w:rPr>
        <w:footnoteReference w:id="14"/>
      </w:r>
      <w:r w:rsidRPr="00CF336B">
        <w:rPr>
          <w:lang w:val="tr-TR"/>
        </w:rPr>
        <w:t>.</w:t>
      </w:r>
    </w:p>
    <w:p w14:paraId="6ECF1AA1" w14:textId="77777777" w:rsidR="00CB3856" w:rsidRPr="00CF336B" w:rsidRDefault="00CB3856" w:rsidP="004D4361">
      <w:pPr>
        <w:spacing w:line="360" w:lineRule="auto"/>
        <w:jc w:val="both"/>
        <w:rPr>
          <w:lang w:val="tr-TR"/>
        </w:rPr>
      </w:pPr>
    </w:p>
    <w:p w14:paraId="1A3D92B1" w14:textId="77777777" w:rsidR="00CB3856" w:rsidRPr="00CF336B" w:rsidRDefault="00CB3856" w:rsidP="004D4361">
      <w:pPr>
        <w:keepNext/>
        <w:spacing w:line="360" w:lineRule="auto"/>
        <w:jc w:val="both"/>
        <w:rPr>
          <w:lang w:val="tr-TR"/>
        </w:rPr>
      </w:pPr>
      <w:r w:rsidRPr="00CF336B">
        <w:rPr>
          <w:noProof/>
          <w:lang w:val="tr-TR"/>
        </w:rPr>
        <mc:AlternateContent>
          <mc:Choice Requires="wps">
            <w:drawing>
              <wp:anchor distT="0" distB="0" distL="114300" distR="114300" simplePos="0" relativeHeight="251658255" behindDoc="0" locked="0" layoutInCell="1" allowOverlap="1" wp14:anchorId="4C8B46B7" wp14:editId="1624CAF3">
                <wp:simplePos x="0" y="0"/>
                <wp:positionH relativeFrom="column">
                  <wp:posOffset>3671423</wp:posOffset>
                </wp:positionH>
                <wp:positionV relativeFrom="paragraph">
                  <wp:posOffset>0</wp:posOffset>
                </wp:positionV>
                <wp:extent cx="1602154" cy="389792"/>
                <wp:effectExtent l="0" t="0" r="0" b="0"/>
                <wp:wrapNone/>
                <wp:docPr id="1067267416" name="Text Box 1067267416"/>
                <wp:cNvGraphicFramePr/>
                <a:graphic xmlns:a="http://schemas.openxmlformats.org/drawingml/2006/main">
                  <a:graphicData uri="http://schemas.microsoft.com/office/word/2010/wordprocessingShape">
                    <wps:wsp>
                      <wps:cNvSpPr txBox="1"/>
                      <wps:spPr>
                        <a:xfrm>
                          <a:off x="0" y="0"/>
                          <a:ext cx="1602154" cy="389792"/>
                        </a:xfrm>
                        <a:prstGeom prst="rect">
                          <a:avLst/>
                        </a:prstGeom>
                        <a:solidFill>
                          <a:schemeClr val="lt1"/>
                        </a:solidFill>
                        <a:ln w="6350">
                          <a:noFill/>
                        </a:ln>
                      </wps:spPr>
                      <wps:txbx>
                        <w:txbxContent>
                          <w:p w14:paraId="2F31D8ED" w14:textId="77777777" w:rsidR="00CB3856" w:rsidRPr="00E71EFC" w:rsidRDefault="00CB3856" w:rsidP="00CB3856">
                            <w:pPr>
                              <w:jc w:val="both"/>
                              <w:rPr>
                                <w:sz w:val="18"/>
                                <w:szCs w:val="18"/>
                              </w:rPr>
                            </w:pPr>
                            <w:r>
                              <w:rPr>
                                <w:sz w:val="18"/>
                                <w:szCs w:val="18"/>
                              </w:rPr>
                              <w:t>Pandemi sonrası artan talep ve emtiaların PTF’yi de artırması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B46B7" id="Text Box 1067267416" o:spid="_x0000_s1031" type="#_x0000_t202" style="position:absolute;left:0;text-align:left;margin-left:289.1pt;margin-top:0;width:126.15pt;height:30.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V7MQIAAFs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" fillcolor="white [3201]" stroked="f" strokeweight=".5pt">
                <v:textbox>
                  <w:txbxContent>
                    <w:p w14:paraId="2F31D8ED" w14:textId="77777777" w:rsidR="00CB3856" w:rsidRPr="00E71EFC" w:rsidRDefault="00CB3856" w:rsidP="00CB3856">
                      <w:pPr>
                        <w:jc w:val="both"/>
                        <w:rPr>
                          <w:sz w:val="18"/>
                          <w:szCs w:val="18"/>
                        </w:rPr>
                      </w:pPr>
                      <w:r>
                        <w:rPr>
                          <w:sz w:val="18"/>
                          <w:szCs w:val="18"/>
                        </w:rPr>
                        <w:t>Pandemi sonrası artan talep ve emtiaların PTF’yi de artırması</w:t>
                      </w:r>
                    </w:p>
                  </w:txbxContent>
                </v:textbox>
              </v:shape>
            </w:pict>
          </mc:Fallback>
        </mc:AlternateContent>
      </w:r>
      <w:r w:rsidRPr="00CF336B">
        <w:rPr>
          <w:noProof/>
          <w:lang w:val="tr-TR"/>
        </w:rPr>
        <mc:AlternateContent>
          <mc:Choice Requires="wps">
            <w:drawing>
              <wp:anchor distT="0" distB="0" distL="114300" distR="114300" simplePos="0" relativeHeight="251658254" behindDoc="0" locked="0" layoutInCell="1" allowOverlap="1" wp14:anchorId="1C8A9868" wp14:editId="0C05963E">
                <wp:simplePos x="0" y="0"/>
                <wp:positionH relativeFrom="column">
                  <wp:posOffset>2345789</wp:posOffset>
                </wp:positionH>
                <wp:positionV relativeFrom="paragraph">
                  <wp:posOffset>386862</wp:posOffset>
                </wp:positionV>
                <wp:extent cx="45719" cy="168323"/>
                <wp:effectExtent l="57150" t="38100" r="50165" b="22225"/>
                <wp:wrapNone/>
                <wp:docPr id="1774578958" name="Straight Arrow Connector 1774578958"/>
                <wp:cNvGraphicFramePr/>
                <a:graphic xmlns:a="http://schemas.openxmlformats.org/drawingml/2006/main">
                  <a:graphicData uri="http://schemas.microsoft.com/office/word/2010/wordprocessingShape">
                    <wps:wsp>
                      <wps:cNvCnPr/>
                      <wps:spPr>
                        <a:xfrm flipH="1" flipV="1">
                          <a:off x="0" y="0"/>
                          <a:ext cx="45719" cy="1683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857A8" id="Straight Arrow Connector 1774578958" o:spid="_x0000_s1026" type="#_x0000_t32" style="position:absolute;margin-left:184.7pt;margin-top:30.45pt;width:3.6pt;height:13.2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" strokecolor="black [3213]" strokeweight=".5pt">
                <v:stroke endarrow="block" joinstyle="miter"/>
              </v:shape>
            </w:pict>
          </mc:Fallback>
        </mc:AlternateContent>
      </w:r>
      <w:r w:rsidRPr="00CF336B">
        <w:rPr>
          <w:noProof/>
          <w:lang w:val="tr-TR"/>
        </w:rPr>
        <mc:AlternateContent>
          <mc:Choice Requires="wps">
            <w:drawing>
              <wp:anchor distT="0" distB="0" distL="114300" distR="114300" simplePos="0" relativeHeight="251658253" behindDoc="0" locked="0" layoutInCell="1" allowOverlap="1" wp14:anchorId="4D616E70" wp14:editId="2DD69515">
                <wp:simplePos x="0" y="0"/>
                <wp:positionH relativeFrom="column">
                  <wp:posOffset>1484142</wp:posOffset>
                </wp:positionH>
                <wp:positionV relativeFrom="paragraph">
                  <wp:posOffset>35169</wp:posOffset>
                </wp:positionV>
                <wp:extent cx="1744393" cy="421640"/>
                <wp:effectExtent l="0" t="0" r="8255" b="0"/>
                <wp:wrapNone/>
                <wp:docPr id="2079905198" name="Text Box 2079905198"/>
                <wp:cNvGraphicFramePr/>
                <a:graphic xmlns:a="http://schemas.openxmlformats.org/drawingml/2006/main">
                  <a:graphicData uri="http://schemas.microsoft.com/office/word/2010/wordprocessingShape">
                    <wps:wsp>
                      <wps:cNvSpPr txBox="1"/>
                      <wps:spPr>
                        <a:xfrm>
                          <a:off x="0" y="0"/>
                          <a:ext cx="1744393" cy="421640"/>
                        </a:xfrm>
                        <a:prstGeom prst="rect">
                          <a:avLst/>
                        </a:prstGeom>
                        <a:solidFill>
                          <a:schemeClr val="lt1"/>
                        </a:solidFill>
                        <a:ln w="6350">
                          <a:noFill/>
                        </a:ln>
                      </wps:spPr>
                      <wps:txbx>
                        <w:txbxContent>
                          <w:p w14:paraId="265BBEC9" w14:textId="77777777" w:rsidR="00CB3856" w:rsidRPr="00E71EFC" w:rsidRDefault="00CB3856" w:rsidP="00CB3856">
                            <w:pPr>
                              <w:jc w:val="both"/>
                              <w:rPr>
                                <w:sz w:val="18"/>
                                <w:szCs w:val="18"/>
                              </w:rPr>
                            </w:pPr>
                            <w:r w:rsidRPr="00E71EFC">
                              <w:rPr>
                                <w:sz w:val="18"/>
                                <w:szCs w:val="18"/>
                              </w:rPr>
                              <w:t xml:space="preserve">Kur krizi ve doğal gaz tarifesindeki </w:t>
                            </w:r>
                            <w:r>
                              <w:rPr>
                                <w:sz w:val="18"/>
                                <w:szCs w:val="18"/>
                              </w:rPr>
                              <w:t>artış ile yükselen PTF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6E70" id="Text Box 2079905198" o:spid="_x0000_s1032" type="#_x0000_t202" style="position:absolute;left:0;text-align:left;margin-left:116.85pt;margin-top:2.75pt;width:137.35pt;height:33.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" fillcolor="white [3201]" stroked="f" strokeweight=".5pt">
                <v:textbox>
                  <w:txbxContent>
                    <w:p w14:paraId="265BBEC9" w14:textId="77777777" w:rsidR="00CB3856" w:rsidRPr="00E71EFC" w:rsidRDefault="00CB3856" w:rsidP="00CB3856">
                      <w:pPr>
                        <w:jc w:val="both"/>
                        <w:rPr>
                          <w:sz w:val="18"/>
                          <w:szCs w:val="18"/>
                        </w:rPr>
                      </w:pPr>
                      <w:r w:rsidRPr="00E71EFC">
                        <w:rPr>
                          <w:sz w:val="18"/>
                          <w:szCs w:val="18"/>
                        </w:rPr>
                        <w:t xml:space="preserve">Kur krizi ve doğal gaz tarifesindeki </w:t>
                      </w:r>
                      <w:r>
                        <w:rPr>
                          <w:sz w:val="18"/>
                          <w:szCs w:val="18"/>
                        </w:rPr>
                        <w:t>artış ile yükselen PTF</w:t>
                      </w:r>
                    </w:p>
                  </w:txbxContent>
                </v:textbox>
              </v:shape>
            </w:pict>
          </mc:Fallback>
        </mc:AlternateContent>
      </w:r>
      <w:r w:rsidRPr="00CF336B">
        <w:rPr>
          <w:noProof/>
          <w:lang w:val="tr-TR"/>
        </w:rPr>
        <mc:AlternateContent>
          <mc:Choice Requires="wps">
            <w:drawing>
              <wp:anchor distT="0" distB="0" distL="114300" distR="114300" simplePos="0" relativeHeight="251658256" behindDoc="0" locked="0" layoutInCell="1" allowOverlap="1" wp14:anchorId="1C220AAB" wp14:editId="60FFF2E6">
                <wp:simplePos x="0" y="0"/>
                <wp:positionH relativeFrom="column">
                  <wp:posOffset>4937760</wp:posOffset>
                </wp:positionH>
                <wp:positionV relativeFrom="paragraph">
                  <wp:posOffset>288388</wp:posOffset>
                </wp:positionV>
                <wp:extent cx="541606" cy="752279"/>
                <wp:effectExtent l="0" t="0" r="0" b="0"/>
                <wp:wrapNone/>
                <wp:docPr id="1598948877" name="Oval 1598948877"/>
                <wp:cNvGraphicFramePr/>
                <a:graphic xmlns:a="http://schemas.openxmlformats.org/drawingml/2006/main">
                  <a:graphicData uri="http://schemas.microsoft.com/office/word/2010/wordprocessingShape">
                    <wps:wsp>
                      <wps:cNvSpPr/>
                      <wps:spPr>
                        <a:xfrm>
                          <a:off x="0" y="0"/>
                          <a:ext cx="541606" cy="752279"/>
                        </a:xfrm>
                        <a:prstGeom prst="ellipse">
                          <a:avLst/>
                        </a:prstGeom>
                        <a:solidFill>
                          <a:srgbClr val="FF0000">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C4A18" id="Oval 1598948877" o:spid="_x0000_s1026" style="position:absolute;margin-left:388.8pt;margin-top:22.7pt;width:42.65pt;height:5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" fillcolor="red" stroked="f" strokeweight="1pt">
                <v:fill opacity="9766f"/>
                <v:stroke joinstyle="miter"/>
              </v:oval>
            </w:pict>
          </mc:Fallback>
        </mc:AlternateContent>
      </w:r>
      <w:r w:rsidRPr="00CF336B">
        <w:rPr>
          <w:noProof/>
          <w:lang w:val="tr-TR"/>
        </w:rPr>
        <mc:AlternateContent>
          <mc:Choice Requires="wps">
            <w:drawing>
              <wp:anchor distT="0" distB="0" distL="114300" distR="114300" simplePos="0" relativeHeight="251658252" behindDoc="0" locked="0" layoutInCell="1" allowOverlap="1" wp14:anchorId="561644E9" wp14:editId="2F5E72F1">
                <wp:simplePos x="0" y="0"/>
                <wp:positionH relativeFrom="column">
                  <wp:posOffset>2180492</wp:posOffset>
                </wp:positionH>
                <wp:positionV relativeFrom="paragraph">
                  <wp:posOffset>548640</wp:posOffset>
                </wp:positionV>
                <wp:extent cx="400930" cy="597877"/>
                <wp:effectExtent l="0" t="0" r="0" b="0"/>
                <wp:wrapNone/>
                <wp:docPr id="1039963195" name="Oval 1039963195"/>
                <wp:cNvGraphicFramePr/>
                <a:graphic xmlns:a="http://schemas.openxmlformats.org/drawingml/2006/main">
                  <a:graphicData uri="http://schemas.microsoft.com/office/word/2010/wordprocessingShape">
                    <wps:wsp>
                      <wps:cNvSpPr/>
                      <wps:spPr>
                        <a:xfrm>
                          <a:off x="0" y="0"/>
                          <a:ext cx="400930" cy="597877"/>
                        </a:xfrm>
                        <a:prstGeom prst="ellipse">
                          <a:avLst/>
                        </a:prstGeom>
                        <a:solidFill>
                          <a:srgbClr val="FF0000">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3EBDA4" id="Oval 1039963195" o:spid="_x0000_s1026" style="position:absolute;margin-left:171.7pt;margin-top:43.2pt;width:31.55pt;height:47.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" fillcolor="red" stroked="f" strokeweight="1pt">
                <v:fill opacity="9766f"/>
                <v:stroke joinstyle="miter"/>
              </v:oval>
            </w:pict>
          </mc:Fallback>
        </mc:AlternateContent>
      </w:r>
      <w:r w:rsidRPr="00CF336B">
        <w:rPr>
          <w:noProof/>
          <w:lang w:val="tr-TR"/>
        </w:rPr>
        <w:drawing>
          <wp:inline distT="0" distB="0" distL="0" distR="0" wp14:anchorId="556C484A" wp14:editId="3451D82F">
            <wp:extent cx="6057900" cy="2616200"/>
            <wp:effectExtent l="0" t="0" r="0" b="0"/>
            <wp:docPr id="1058098776" name="Chart 1058098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31620C" w14:textId="34828C13" w:rsidR="00CB3856" w:rsidRDefault="00CB3856" w:rsidP="004D4361">
      <w:pPr>
        <w:pStyle w:val="Caption"/>
        <w:spacing w:line="360" w:lineRule="auto"/>
        <w:jc w:val="center"/>
        <w:rPr>
          <w:color w:val="auto"/>
          <w:sz w:val="22"/>
          <w:szCs w:val="22"/>
          <w:lang w:val="tr-TR"/>
        </w:rPr>
      </w:pPr>
      <w:bookmarkStart w:id="161" w:name="_Ref149140891"/>
      <w:bookmarkStart w:id="162" w:name="_Toc156210491"/>
      <w:r w:rsidRPr="00CF336B">
        <w:rPr>
          <w:color w:val="auto"/>
          <w:sz w:val="22"/>
          <w:szCs w:val="22"/>
          <w:lang w:val="tr-TR"/>
        </w:rPr>
        <w:t xml:space="preserve">Şekil </w:t>
      </w:r>
      <w:r w:rsidRPr="00CF336B">
        <w:rPr>
          <w:color w:val="auto"/>
          <w:sz w:val="22"/>
          <w:szCs w:val="22"/>
          <w:lang w:val="tr-TR"/>
        </w:rPr>
        <w:fldChar w:fldCharType="begin"/>
      </w:r>
      <w:r w:rsidRPr="00CF336B">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37</w:t>
      </w:r>
      <w:r w:rsidRPr="00CF336B">
        <w:rPr>
          <w:noProof/>
          <w:color w:val="auto"/>
          <w:sz w:val="22"/>
          <w:szCs w:val="22"/>
          <w:lang w:val="tr-TR"/>
        </w:rPr>
        <w:fldChar w:fldCharType="end"/>
      </w:r>
      <w:bookmarkEnd w:id="161"/>
      <w:r w:rsidRPr="00CF336B">
        <w:rPr>
          <w:color w:val="auto"/>
          <w:sz w:val="22"/>
          <w:szCs w:val="22"/>
          <w:lang w:val="tr-TR"/>
        </w:rPr>
        <w:t>. Yerli Kömür Alım Garantisi Fiyatı ve PTF</w:t>
      </w:r>
      <w:bookmarkEnd w:id="162"/>
    </w:p>
    <w:p w14:paraId="7D1070EF" w14:textId="247DFEB3" w:rsidR="00446710" w:rsidRPr="00446710" w:rsidRDefault="000D613E" w:rsidP="009C4C8B">
      <w:pPr>
        <w:spacing w:line="360" w:lineRule="auto"/>
        <w:jc w:val="both"/>
        <w:rPr>
          <w:lang w:val="tr-TR"/>
        </w:rPr>
      </w:pPr>
      <w:r w:rsidRPr="000D613E">
        <w:rPr>
          <w:lang w:val="tr-TR"/>
        </w:rPr>
        <w:t xml:space="preserve">Kömür santrallerine uygulanan alım garantilerinin temel amaçlarından bir tanesi bu santrallerin sistemde kalmaları için gerekli finansal desteğin sağlanmasıdır. Kömür santrallerinin özelleştirme ihalelerinin yapıldığı dönemlerde gelecek dönem için fiyat beklentileri oldukça yüksek seviyelerdeydi. Bu seviyelerin yüksek oluşu dolar bazında yapılan özelleştirme ihalelerinin geri ödemesi süresince avantaj olarak değerlendirilmekteydi. Piyasada değişen koşullar ve fiyatların çeşitli yöntemlerle baskılanması sonucu bu santrallerin gelirleri beklendiği kadar yüksek gerçekleşmemiştir. Kömür santrallerinin borçlanmalarını yeniden finanse edebilmeleri ve finansal istikrarı yakalayabilmeleri için bu santrallere sağlanan alım garantileri hayati önem arz etmektedir. Diğer yandan bu yapı sayesinde santraller daha fazla üretim yapmakta ve üretimlerinin yarısını fiyat garantisi altında doğrudan </w:t>
      </w:r>
      <w:proofErr w:type="spellStart"/>
      <w:r w:rsidRPr="000D613E">
        <w:rPr>
          <w:lang w:val="tr-TR"/>
        </w:rPr>
        <w:t>EÜAŞ’a</w:t>
      </w:r>
      <w:proofErr w:type="spellEnd"/>
      <w:r w:rsidRPr="000D613E">
        <w:rPr>
          <w:lang w:val="tr-TR"/>
        </w:rPr>
        <w:t xml:space="preserve"> satabilmektedirler. Bu durum elektrik üretimindeki sera gazı emisyonunun yükselmesine sebep olmaktadır. Kömür santrallerinin sistemde kalarak arz güvenliğine hizmet sağlaması için alternatif yollardan birisi de bu santrallere sağlanacak yeni bir kapasite mekanizması uygulamasına geçilmesidir. Böylelikle arz güvenliği için sistemde gerekli emre amade kapasite sağlanırken, kömür üretiminin ve buna bağlı olarak sera gazı emisyonlarının artmasının önüne geçilecektir.</w:t>
      </w:r>
    </w:p>
    <w:p w14:paraId="2ED4DF81" w14:textId="60619559" w:rsidR="00CB3856" w:rsidRPr="00FC0FE3" w:rsidRDefault="00CB3856" w:rsidP="009C4C8B">
      <w:pPr>
        <w:pStyle w:val="Heading2"/>
        <w:numPr>
          <w:ilvl w:val="1"/>
          <w:numId w:val="12"/>
        </w:numPr>
        <w:spacing w:line="360" w:lineRule="auto"/>
        <w:rPr>
          <w:lang w:val="tr-TR"/>
        </w:rPr>
      </w:pPr>
      <w:bookmarkStart w:id="163" w:name="_Toc156210452"/>
      <w:r w:rsidRPr="00AC2CE2">
        <w:rPr>
          <w:lang w:val="tr-TR"/>
        </w:rPr>
        <w:t>Ulusal Enerji Eylem Planı ve Gelecek Dönem Beklentileri</w:t>
      </w:r>
      <w:bookmarkEnd w:id="163"/>
    </w:p>
    <w:p w14:paraId="46CE2A0E" w14:textId="77777777" w:rsidR="00FC0FE3" w:rsidRDefault="00FC0FE3" w:rsidP="004D4361">
      <w:pPr>
        <w:spacing w:line="360" w:lineRule="auto"/>
        <w:jc w:val="both"/>
        <w:rPr>
          <w:lang w:val="tr-TR"/>
        </w:rPr>
      </w:pPr>
    </w:p>
    <w:p w14:paraId="2F711837" w14:textId="4016D3F5" w:rsidR="003E0E7F" w:rsidRPr="00CF336B" w:rsidRDefault="00C33F69" w:rsidP="004D4361">
      <w:pPr>
        <w:spacing w:line="360" w:lineRule="auto"/>
        <w:jc w:val="both"/>
        <w:rPr>
          <w:rFonts w:ascii="Calibri" w:eastAsia="Calibri" w:hAnsi="Calibri" w:cs="Arial"/>
          <w:color w:val="000000"/>
          <w:lang w:val="tr-TR"/>
        </w:rPr>
      </w:pPr>
      <w:r w:rsidRPr="00CF336B">
        <w:rPr>
          <w:lang w:val="tr-TR"/>
        </w:rPr>
        <w:t xml:space="preserve">Türkiye'nin 2053 yılına kadar net sıfır emisyonlu bir ekonomiye ulaşma hedefi doğrultusunda orta vadeye (2035) kadar izlenecek yol haritasının detaylarını veren Türkiye Ulusal Enerji Planı’nda </w:t>
      </w:r>
      <w:r w:rsidRPr="00CF336B">
        <w:rPr>
          <w:rFonts w:ascii="Calibri" w:eastAsia="Calibri" w:hAnsi="Calibri" w:cs="Arial"/>
          <w:color w:val="000000"/>
          <w:lang w:val="tr-TR"/>
        </w:rPr>
        <w:t xml:space="preserve">Türkiye'nin doğal gaz enerjisi kurulu kapasitesini artırmayı planladığı, fakat doğal gaz ve kömür santrallerinde üretilen toplam elektrik miktarının azaldığı dikkat çekmektedir. Orta vade olarak kabul edilen 2035 yılı projeksiyonları düşünüldüğünde elektrik üretiminde fosil yakıtların (kömür ve doğal gaz) toplam içindeki payının 2020 yılındaki </w:t>
      </w:r>
      <w:proofErr w:type="gramStart"/>
      <w:r w:rsidRPr="00CF336B">
        <w:rPr>
          <w:rFonts w:ascii="Calibri" w:eastAsia="Calibri" w:hAnsi="Calibri" w:cs="Arial"/>
          <w:color w:val="000000"/>
          <w:lang w:val="tr-TR"/>
        </w:rPr>
        <w:t>%57,6</w:t>
      </w:r>
      <w:proofErr w:type="gramEnd"/>
      <w:r w:rsidRPr="00CF336B">
        <w:rPr>
          <w:rFonts w:ascii="Calibri" w:eastAsia="Calibri" w:hAnsi="Calibri" w:cs="Arial"/>
          <w:color w:val="000000"/>
          <w:lang w:val="tr-TR"/>
        </w:rPr>
        <w:t xml:space="preserve"> seviyesinden %34,2'</w:t>
      </w:r>
      <w:r w:rsidR="00A6297A">
        <w:rPr>
          <w:rFonts w:ascii="Calibri" w:eastAsia="Calibri" w:hAnsi="Calibri" w:cs="Arial"/>
          <w:color w:val="000000"/>
          <w:lang w:val="tr-TR"/>
        </w:rPr>
        <w:t>y</w:t>
      </w:r>
      <w:r w:rsidRPr="00CF336B">
        <w:rPr>
          <w:rFonts w:ascii="Calibri" w:eastAsia="Calibri" w:hAnsi="Calibri" w:cs="Arial"/>
          <w:color w:val="000000"/>
          <w:lang w:val="tr-TR"/>
        </w:rPr>
        <w:t xml:space="preserve">e düşeceği anlaşılmaktadır </w:t>
      </w:r>
      <w:sdt>
        <w:sdtPr>
          <w:rPr>
            <w:rFonts w:ascii="Calibri" w:eastAsia="Calibri" w:hAnsi="Calibri" w:cs="Arial"/>
            <w:color w:val="000000"/>
            <w:lang w:val="tr-TR"/>
          </w:rPr>
          <w:id w:val="-270709244"/>
          <w:citation/>
        </w:sdtPr>
        <w:sdtEndPr/>
        <w:sdtContent>
          <w:r w:rsidRPr="00CF336B">
            <w:rPr>
              <w:rFonts w:ascii="Calibri" w:eastAsia="Calibri" w:hAnsi="Calibri" w:cs="Arial"/>
              <w:color w:val="000000"/>
              <w:lang w:val="tr-TR"/>
            </w:rPr>
            <w:fldChar w:fldCharType="begin"/>
          </w:r>
          <w:r w:rsidRPr="00CF336B">
            <w:rPr>
              <w:rFonts w:ascii="Calibri" w:eastAsia="Calibri" w:hAnsi="Calibri" w:cs="Arial"/>
              <w:color w:val="000000"/>
              <w:lang w:val="tr-TR"/>
            </w:rPr>
            <w:instrText xml:space="preserve"> CITATION Ene23 \l 1055 </w:instrText>
          </w:r>
          <w:r w:rsidRPr="00CF336B">
            <w:rPr>
              <w:rFonts w:ascii="Calibri" w:eastAsia="Calibri" w:hAnsi="Calibri" w:cs="Arial"/>
              <w:color w:val="000000"/>
              <w:lang w:val="tr-TR"/>
            </w:rPr>
            <w:fldChar w:fldCharType="separate"/>
          </w:r>
          <w:r w:rsidR="00D95FF7" w:rsidRPr="00D95FF7">
            <w:rPr>
              <w:rFonts w:ascii="Calibri" w:eastAsia="Calibri" w:hAnsi="Calibri" w:cs="Arial"/>
              <w:noProof/>
              <w:color w:val="000000"/>
              <w:lang w:val="tr-TR"/>
            </w:rPr>
            <w:t>(Enerji ve Tabii Kaynaklar Bakanlığı, 2023)</w:t>
          </w:r>
          <w:r w:rsidRPr="00CF336B">
            <w:rPr>
              <w:rFonts w:ascii="Calibri" w:eastAsia="Calibri" w:hAnsi="Calibri" w:cs="Arial"/>
              <w:color w:val="000000"/>
              <w:lang w:val="tr-TR"/>
            </w:rPr>
            <w:fldChar w:fldCharType="end"/>
          </w:r>
        </w:sdtContent>
      </w:sdt>
      <w:r w:rsidRPr="00CF336B">
        <w:rPr>
          <w:rFonts w:ascii="Calibri" w:eastAsia="Calibri" w:hAnsi="Calibri" w:cs="Arial"/>
          <w:color w:val="000000"/>
          <w:lang w:val="tr-TR"/>
        </w:rPr>
        <w:t xml:space="preserve">. Türkiye’nin 2053 yılında net sıfır sera gazı emisyonlu bir ekonomiye sahip olması hedefi düşünüldüğünde, Enerji Planı’nda 2035 yılı için öngörülen elektrik üretiminde fosil yakıt oranının oldukça yüksek olduğu çıkarımı yapılabilir. Bununla birlikte, Plan’da 2035 yılına kadar rüzgâr kurulu gücünde yaklaşık 2,4 kat, güneş enerjisi kurulu kapasitesinde ise yaklaşık 8,9 kat artışın öngörüldüğü de belirtilmelidir. 2035 yılına kadar karasal rüzgâr kapasitesindeki artışın yanı sıra 5 GW kapasiteli deniz üstü rüzgâr enerjisi kapasitesinin kurulmasının planlandığı anlaşılmaktadır. Yenilenebilir enerji kaynaklı elektrik üretimindeki artışla birlikte, sistem esnekliğinin bataryalar, talep tarafı katılımı ve elektrolizörler yoluyla sağlanması planlanmaktadır. </w:t>
      </w:r>
    </w:p>
    <w:p w14:paraId="5896DDF7" w14:textId="75600818" w:rsidR="003E0E7F" w:rsidRPr="00CF336B" w:rsidRDefault="00C33F69" w:rsidP="004D4361">
      <w:pPr>
        <w:spacing w:line="360" w:lineRule="auto"/>
        <w:jc w:val="both"/>
        <w:rPr>
          <w:lang w:val="tr-TR"/>
        </w:rPr>
      </w:pPr>
      <w:r w:rsidRPr="00CF336B">
        <w:rPr>
          <w:rFonts w:ascii="Calibri" w:eastAsia="Calibri" w:hAnsi="Calibri" w:cs="Arial"/>
          <w:color w:val="000000"/>
          <w:lang w:val="tr-TR"/>
        </w:rPr>
        <w:t xml:space="preserve">Plan dahilinde 2035 yılına kadar arz, talep ve kapasite gelişimi belli bir detayda sunulmakla birlikte, 2053 yılı için kısa bir öngörü sunulmuştur. Plan’da uzun dönemde (2053) kömür santrallerinden elektrik üretiminin azalmasına rağmen devam edeceği belirtilmektedir. Bununla birlikte, kömür santrallerinin işletme ömürleri dolmadan devreden çıkmayacağı, üretime katkılarının azalsa da rezerv kapasite olarak devrede kalmalarının planlandığı belirtilmektedir. Kömür santrallerinin üretime katkısındaki bir diğer önemli faktörün ise karbon fiyatı olduğu açıklanmaktadır. </w:t>
      </w:r>
      <w:r w:rsidRPr="00CF336B">
        <w:rPr>
          <w:lang w:val="tr-TR"/>
        </w:rPr>
        <w:t xml:space="preserve">Türkiye’nin 2053 Net Sıfır Hedefi ve Avrupa Birliği’nin planladığı Sınırda Karbon Düzenleme Mekanizması </w:t>
      </w:r>
      <w:r w:rsidR="00115300">
        <w:rPr>
          <w:lang w:val="tr-TR"/>
        </w:rPr>
        <w:t xml:space="preserve">(SKDM) </w:t>
      </w:r>
      <w:r w:rsidRPr="00CF336B">
        <w:rPr>
          <w:lang w:val="tr-TR"/>
        </w:rPr>
        <w:t xml:space="preserve">kapsamında ülkede karbon fiyatlandırma mekanizması için çalışmalar devam etmektedir. </w:t>
      </w:r>
    </w:p>
    <w:p w14:paraId="2FC8BCC2" w14:textId="283D73F9" w:rsidR="00C33F69" w:rsidRDefault="00C33F69" w:rsidP="004D4361">
      <w:pPr>
        <w:spacing w:line="360" w:lineRule="auto"/>
        <w:jc w:val="both"/>
        <w:rPr>
          <w:lang w:val="tr-TR"/>
        </w:rPr>
      </w:pPr>
      <w:r w:rsidRPr="00CF336B">
        <w:rPr>
          <w:lang w:val="tr-TR"/>
        </w:rPr>
        <w:t>Karbon fiyatlandırma uygulamasının yürürlüğe alınması ardından elektrik üreticileri ürettikleri birim CO</w:t>
      </w:r>
      <w:r w:rsidRPr="00CF336B">
        <w:rPr>
          <w:vertAlign w:val="subscript"/>
          <w:lang w:val="tr-TR"/>
        </w:rPr>
        <w:t>2</w:t>
      </w:r>
      <w:r w:rsidRPr="00CF336B">
        <w:rPr>
          <w:lang w:val="tr-TR"/>
        </w:rPr>
        <w:t xml:space="preserve"> emisyonu için ilave bir maliyete tabi olacaklardır. Santrallerin ürettikleri birim CO</w:t>
      </w:r>
      <w:r w:rsidRPr="00CF336B">
        <w:rPr>
          <w:vertAlign w:val="subscript"/>
          <w:lang w:val="tr-TR"/>
        </w:rPr>
        <w:t>2</w:t>
      </w:r>
      <w:r w:rsidRPr="00CF336B">
        <w:rPr>
          <w:lang w:val="tr-TR"/>
        </w:rPr>
        <w:t xml:space="preserve"> emisyonu için ödemekle yükümlü olduğu maliyeti tekliflerine yansıtması beklenmektedir. Serbest piyasa koşullarının yaratıldığı bir ortamda, yüksek emisyona neden olan termik santrallerin aksine daha temiz olarak nitelendirilen kaynakların kurulu güç ve üretimdeki paylarının artması yadsınamaz bir gerçekliktir. </w:t>
      </w:r>
    </w:p>
    <w:p w14:paraId="41E68D91" w14:textId="28ADE53E" w:rsidR="001D7178" w:rsidRPr="0023194F" w:rsidRDefault="001D7178" w:rsidP="004D4361">
      <w:pPr>
        <w:spacing w:line="360" w:lineRule="auto"/>
        <w:jc w:val="both"/>
        <w:rPr>
          <w:rFonts w:ascii="Calibri" w:eastAsia="Calibri" w:hAnsi="Calibri" w:cs="Arial"/>
          <w:color w:val="000000"/>
          <w:lang w:val="tr-TR"/>
        </w:rPr>
      </w:pPr>
      <w:r w:rsidRPr="004E4D3C">
        <w:rPr>
          <w:rFonts w:ascii="Calibri" w:eastAsia="Calibri" w:hAnsi="Calibri" w:cs="Arial"/>
          <w:color w:val="000000"/>
          <w:lang w:val="tr-TR"/>
        </w:rPr>
        <w:t xml:space="preserve">19 Kasım 2022 tarihinde yayımlanan </w:t>
      </w:r>
      <w:proofErr w:type="gramStart"/>
      <w:r w:rsidRPr="004E4D3C">
        <w:rPr>
          <w:rFonts w:ascii="Calibri" w:eastAsia="Calibri" w:hAnsi="Calibri" w:cs="Arial"/>
          <w:color w:val="000000"/>
          <w:lang w:val="tr-TR"/>
        </w:rPr>
        <w:t>Resmi</w:t>
      </w:r>
      <w:proofErr w:type="gramEnd"/>
      <w:r w:rsidRPr="004E4D3C">
        <w:rPr>
          <w:rFonts w:ascii="Calibri" w:eastAsia="Calibri" w:hAnsi="Calibri" w:cs="Arial"/>
          <w:color w:val="000000"/>
          <w:lang w:val="tr-TR"/>
        </w:rPr>
        <w:t xml:space="preserve"> </w:t>
      </w:r>
      <w:proofErr w:type="spellStart"/>
      <w:r w:rsidRPr="004E4D3C">
        <w:rPr>
          <w:rFonts w:ascii="Calibri" w:eastAsia="Calibri" w:hAnsi="Calibri" w:cs="Arial"/>
          <w:color w:val="000000"/>
          <w:lang w:val="tr-TR"/>
        </w:rPr>
        <w:t>Gazete’de</w:t>
      </w:r>
      <w:proofErr w:type="spellEnd"/>
      <w:r w:rsidRPr="004E4D3C">
        <w:rPr>
          <w:rFonts w:ascii="Calibri" w:eastAsia="Calibri" w:hAnsi="Calibri" w:cs="Arial"/>
          <w:color w:val="000000"/>
          <w:lang w:val="tr-TR"/>
        </w:rPr>
        <w:t xml:space="preserve"> Elektrik Piyasasında Depolama Faaliyetleri Yönetmeliği’nde yapılan değişikliklerle depolamalı RES ve </w:t>
      </w:r>
      <w:proofErr w:type="spellStart"/>
      <w:r w:rsidRPr="004E4D3C">
        <w:rPr>
          <w:rFonts w:ascii="Calibri" w:eastAsia="Calibri" w:hAnsi="Calibri" w:cs="Arial"/>
          <w:color w:val="000000"/>
          <w:lang w:val="tr-TR"/>
        </w:rPr>
        <w:t>GES’lerin</w:t>
      </w:r>
      <w:proofErr w:type="spellEnd"/>
      <w:r w:rsidRPr="004E4D3C">
        <w:rPr>
          <w:rFonts w:ascii="Calibri" w:eastAsia="Calibri" w:hAnsi="Calibri" w:cs="Arial"/>
          <w:color w:val="000000"/>
          <w:lang w:val="tr-TR"/>
        </w:rPr>
        <w:t xml:space="preserve"> herhangi bir yarışma olmaksızın </w:t>
      </w:r>
      <w:proofErr w:type="spellStart"/>
      <w:r w:rsidRPr="004E4D3C">
        <w:rPr>
          <w:rFonts w:ascii="Calibri" w:eastAsia="Calibri" w:hAnsi="Calibri" w:cs="Arial"/>
          <w:color w:val="000000"/>
          <w:lang w:val="tr-TR"/>
        </w:rPr>
        <w:t>önlisans</w:t>
      </w:r>
      <w:proofErr w:type="spellEnd"/>
      <w:r w:rsidRPr="004E4D3C">
        <w:rPr>
          <w:rFonts w:ascii="Calibri" w:eastAsia="Calibri" w:hAnsi="Calibri" w:cs="Arial"/>
          <w:color w:val="000000"/>
          <w:lang w:val="tr-TR"/>
        </w:rPr>
        <w:t xml:space="preserve"> almasının önü açılmıştır</w:t>
      </w:r>
      <w:r>
        <w:rPr>
          <w:rFonts w:ascii="Calibri" w:eastAsia="Calibri" w:hAnsi="Calibri" w:cs="Arial"/>
          <w:color w:val="000000"/>
          <w:lang w:val="tr-TR"/>
        </w:rPr>
        <w:t xml:space="preserve"> </w:t>
      </w:r>
      <w:sdt>
        <w:sdtPr>
          <w:rPr>
            <w:rFonts w:ascii="Calibri" w:eastAsia="Calibri" w:hAnsi="Calibri" w:cs="Arial"/>
            <w:color w:val="000000"/>
            <w:lang w:val="tr-TR"/>
          </w:rPr>
          <w:id w:val="1338196714"/>
          <w:citation/>
        </w:sdtPr>
        <w:sdtEndPr/>
        <w:sdtContent>
          <w:r>
            <w:rPr>
              <w:rFonts w:ascii="Calibri" w:eastAsia="Calibri" w:hAnsi="Calibri" w:cs="Arial"/>
              <w:color w:val="000000"/>
              <w:lang w:val="tr-TR"/>
            </w:rPr>
            <w:fldChar w:fldCharType="begin"/>
          </w:r>
          <w:r>
            <w:rPr>
              <w:rFonts w:ascii="Calibri" w:eastAsia="Calibri" w:hAnsi="Calibri" w:cs="Arial"/>
              <w:color w:val="000000"/>
            </w:rPr>
            <w:instrText xml:space="preserve"> CITATION Res22 \l 1033 </w:instrText>
          </w:r>
          <w:r>
            <w:rPr>
              <w:rFonts w:ascii="Calibri" w:eastAsia="Calibri" w:hAnsi="Calibri" w:cs="Arial"/>
              <w:color w:val="000000"/>
              <w:lang w:val="tr-TR"/>
            </w:rPr>
            <w:fldChar w:fldCharType="separate"/>
          </w:r>
          <w:r w:rsidR="00D95FF7" w:rsidRPr="00D95FF7">
            <w:rPr>
              <w:rFonts w:ascii="Calibri" w:eastAsia="Calibri" w:hAnsi="Calibri" w:cs="Arial"/>
              <w:noProof/>
              <w:color w:val="000000"/>
            </w:rPr>
            <w:t>(Resmi Gazete, 2022)</w:t>
          </w:r>
          <w:r>
            <w:rPr>
              <w:rFonts w:ascii="Calibri" w:eastAsia="Calibri" w:hAnsi="Calibri" w:cs="Arial"/>
              <w:color w:val="000000"/>
              <w:lang w:val="tr-TR"/>
            </w:rPr>
            <w:fldChar w:fldCharType="end"/>
          </w:r>
        </w:sdtContent>
      </w:sdt>
      <w:r w:rsidRPr="004E4D3C">
        <w:rPr>
          <w:rFonts w:ascii="Calibri" w:eastAsia="Calibri" w:hAnsi="Calibri" w:cs="Arial"/>
          <w:color w:val="000000"/>
          <w:lang w:val="tr-TR"/>
        </w:rPr>
        <w:t>.</w:t>
      </w:r>
      <w:r w:rsidRPr="0023194F">
        <w:t xml:space="preserve"> </w:t>
      </w:r>
      <w:r w:rsidRPr="0023194F">
        <w:rPr>
          <w:rFonts w:ascii="Calibri" w:eastAsia="Calibri" w:hAnsi="Calibri" w:cs="Arial"/>
          <w:color w:val="000000"/>
          <w:lang w:val="tr-TR"/>
        </w:rPr>
        <w:t xml:space="preserve">Depolamalı elektrik santrallerine sağlanan </w:t>
      </w:r>
      <w:proofErr w:type="spellStart"/>
      <w:r w:rsidRPr="0023194F">
        <w:rPr>
          <w:rFonts w:ascii="Calibri" w:eastAsia="Calibri" w:hAnsi="Calibri" w:cs="Arial"/>
          <w:color w:val="000000"/>
          <w:lang w:val="tr-TR"/>
        </w:rPr>
        <w:t>önlisans</w:t>
      </w:r>
      <w:proofErr w:type="spellEnd"/>
      <w:r w:rsidRPr="0023194F">
        <w:rPr>
          <w:rFonts w:ascii="Calibri" w:eastAsia="Calibri" w:hAnsi="Calibri" w:cs="Arial"/>
          <w:color w:val="000000"/>
          <w:lang w:val="tr-TR"/>
        </w:rPr>
        <w:t xml:space="preserve"> yarışması olmaksızın lisans alma hakkı, bu alanda çok sayıda başvuru yapılmasına neden olmuştur. </w:t>
      </w:r>
    </w:p>
    <w:p w14:paraId="4FB5F643" w14:textId="0C2CB7AE" w:rsidR="001D7178" w:rsidRPr="008A77BA" w:rsidRDefault="001D7178" w:rsidP="004D4361">
      <w:pPr>
        <w:spacing w:line="360" w:lineRule="auto"/>
        <w:jc w:val="both"/>
        <w:rPr>
          <w:rFonts w:ascii="Calibri" w:eastAsia="Calibri" w:hAnsi="Calibri" w:cs="Arial"/>
          <w:color w:val="000000"/>
          <w:lang w:val="tr-TR"/>
        </w:rPr>
      </w:pPr>
      <w:r>
        <w:rPr>
          <w:rFonts w:ascii="Calibri" w:eastAsia="Calibri" w:hAnsi="Calibri" w:cs="Arial"/>
          <w:color w:val="000000"/>
          <w:lang w:val="tr-TR"/>
        </w:rPr>
        <w:t>Ekim 2023 sonu</w:t>
      </w:r>
      <w:r w:rsidRPr="0023194F">
        <w:rPr>
          <w:rFonts w:ascii="Calibri" w:eastAsia="Calibri" w:hAnsi="Calibri" w:cs="Arial"/>
          <w:color w:val="000000"/>
          <w:lang w:val="tr-TR"/>
        </w:rPr>
        <w:t xml:space="preserve"> itibarıyla toplamda 25</w:t>
      </w:r>
      <w:r w:rsidR="00E9712F">
        <w:rPr>
          <w:rFonts w:ascii="Calibri" w:eastAsia="Calibri" w:hAnsi="Calibri" w:cs="Arial"/>
          <w:color w:val="000000"/>
          <w:lang w:val="tr-TR"/>
        </w:rPr>
        <w:t>3</w:t>
      </w:r>
      <w:r w:rsidRPr="0023194F">
        <w:rPr>
          <w:rFonts w:ascii="Calibri" w:eastAsia="Calibri" w:hAnsi="Calibri" w:cs="Arial"/>
          <w:color w:val="000000"/>
          <w:lang w:val="tr-TR"/>
        </w:rPr>
        <w:t xml:space="preserve">.000 </w:t>
      </w:r>
      <w:proofErr w:type="spellStart"/>
      <w:r w:rsidRPr="0023194F">
        <w:rPr>
          <w:rFonts w:ascii="Calibri" w:eastAsia="Calibri" w:hAnsi="Calibri" w:cs="Arial"/>
          <w:color w:val="000000"/>
          <w:lang w:val="tr-TR"/>
        </w:rPr>
        <w:t>MW’ı</w:t>
      </w:r>
      <w:proofErr w:type="spellEnd"/>
      <w:r w:rsidRPr="0023194F">
        <w:rPr>
          <w:rFonts w:ascii="Calibri" w:eastAsia="Calibri" w:hAnsi="Calibri" w:cs="Arial"/>
          <w:color w:val="000000"/>
          <w:lang w:val="tr-TR"/>
        </w:rPr>
        <w:t xml:space="preserve"> aşan </w:t>
      </w:r>
      <w:r>
        <w:rPr>
          <w:rFonts w:ascii="Calibri" w:eastAsia="Calibri" w:hAnsi="Calibri" w:cs="Arial"/>
          <w:color w:val="000000"/>
          <w:lang w:val="tr-TR"/>
        </w:rPr>
        <w:t xml:space="preserve">kapasitede </w:t>
      </w:r>
      <w:r w:rsidRPr="0023194F">
        <w:rPr>
          <w:rFonts w:ascii="Calibri" w:eastAsia="Calibri" w:hAnsi="Calibri" w:cs="Arial"/>
          <w:color w:val="000000"/>
          <w:lang w:val="tr-TR"/>
        </w:rPr>
        <w:t xml:space="preserve">depolamalı güneş ve </w:t>
      </w:r>
      <w:proofErr w:type="gramStart"/>
      <w:r w:rsidRPr="0023194F">
        <w:rPr>
          <w:rFonts w:ascii="Calibri" w:eastAsia="Calibri" w:hAnsi="Calibri" w:cs="Arial"/>
          <w:color w:val="000000"/>
          <w:lang w:val="tr-TR"/>
        </w:rPr>
        <w:t>rüzgar</w:t>
      </w:r>
      <w:proofErr w:type="gramEnd"/>
      <w:r w:rsidRPr="0023194F">
        <w:rPr>
          <w:rFonts w:ascii="Calibri" w:eastAsia="Calibri" w:hAnsi="Calibri" w:cs="Arial"/>
          <w:color w:val="000000"/>
          <w:lang w:val="tr-TR"/>
        </w:rPr>
        <w:t xml:space="preserve"> santrali için </w:t>
      </w:r>
      <w:proofErr w:type="spellStart"/>
      <w:r w:rsidRPr="0023194F">
        <w:rPr>
          <w:rFonts w:ascii="Calibri" w:eastAsia="Calibri" w:hAnsi="Calibri" w:cs="Arial"/>
          <w:color w:val="000000"/>
          <w:lang w:val="tr-TR"/>
        </w:rPr>
        <w:t>önlisans</w:t>
      </w:r>
      <w:proofErr w:type="spellEnd"/>
      <w:r w:rsidRPr="0023194F">
        <w:rPr>
          <w:rFonts w:ascii="Calibri" w:eastAsia="Calibri" w:hAnsi="Calibri" w:cs="Arial"/>
          <w:color w:val="000000"/>
          <w:lang w:val="tr-TR"/>
        </w:rPr>
        <w:t xml:space="preserve"> başvurusu </w:t>
      </w:r>
      <w:r>
        <w:rPr>
          <w:rFonts w:ascii="Calibri" w:eastAsia="Calibri" w:hAnsi="Calibri" w:cs="Arial"/>
          <w:color w:val="000000"/>
          <w:lang w:val="tr-TR"/>
        </w:rPr>
        <w:t xml:space="preserve">yapılmıştır. Bu başvurulardan </w:t>
      </w:r>
      <w:r w:rsidR="0060704A">
        <w:rPr>
          <w:rFonts w:ascii="Calibri" w:eastAsia="Calibri" w:hAnsi="Calibri" w:cs="Arial"/>
          <w:color w:val="000000"/>
          <w:lang w:val="tr-TR"/>
        </w:rPr>
        <w:t xml:space="preserve">yaklaşık </w:t>
      </w:r>
      <w:r w:rsidR="00431207">
        <w:rPr>
          <w:rFonts w:ascii="Calibri" w:eastAsia="Calibri" w:hAnsi="Calibri" w:cs="Arial"/>
          <w:color w:val="000000"/>
          <w:lang w:val="tr-TR"/>
        </w:rPr>
        <w:t xml:space="preserve">10.800 </w:t>
      </w:r>
      <w:r w:rsidR="00B6604E">
        <w:rPr>
          <w:rFonts w:ascii="Calibri" w:eastAsia="Calibri" w:hAnsi="Calibri" w:cs="Arial"/>
          <w:color w:val="000000"/>
          <w:lang w:val="tr-TR"/>
        </w:rPr>
        <w:t>MW güneş ve</w:t>
      </w:r>
      <w:r w:rsidR="00431207">
        <w:rPr>
          <w:rFonts w:ascii="Calibri" w:eastAsia="Calibri" w:hAnsi="Calibri" w:cs="Arial"/>
          <w:color w:val="000000"/>
          <w:lang w:val="tr-TR"/>
        </w:rPr>
        <w:t xml:space="preserve"> 12.200</w:t>
      </w:r>
      <w:r w:rsidR="00B6604E">
        <w:rPr>
          <w:rFonts w:ascii="Calibri" w:eastAsia="Calibri" w:hAnsi="Calibri" w:cs="Arial"/>
          <w:color w:val="000000"/>
          <w:lang w:val="tr-TR"/>
        </w:rPr>
        <w:t xml:space="preserve"> MW </w:t>
      </w:r>
      <w:proofErr w:type="gramStart"/>
      <w:r w:rsidR="00B6604E">
        <w:rPr>
          <w:rFonts w:ascii="Calibri" w:eastAsia="Calibri" w:hAnsi="Calibri" w:cs="Arial"/>
          <w:color w:val="000000"/>
          <w:lang w:val="tr-TR"/>
        </w:rPr>
        <w:t>rüzgar</w:t>
      </w:r>
      <w:proofErr w:type="gramEnd"/>
      <w:r w:rsidR="00B6604E">
        <w:rPr>
          <w:rFonts w:ascii="Calibri" w:eastAsia="Calibri" w:hAnsi="Calibri" w:cs="Arial"/>
          <w:color w:val="000000"/>
          <w:lang w:val="tr-TR"/>
        </w:rPr>
        <w:t xml:space="preserve"> olmak üzere toplam</w:t>
      </w:r>
      <w:r w:rsidR="00D124D4">
        <w:rPr>
          <w:rFonts w:ascii="Calibri" w:eastAsia="Calibri" w:hAnsi="Calibri" w:cs="Arial"/>
          <w:color w:val="000000"/>
          <w:lang w:val="tr-TR"/>
        </w:rPr>
        <w:t xml:space="preserve"> 23.000</w:t>
      </w:r>
      <w:r w:rsidR="00B6604E">
        <w:rPr>
          <w:rFonts w:ascii="Calibri" w:eastAsia="Calibri" w:hAnsi="Calibri" w:cs="Arial"/>
          <w:color w:val="000000"/>
          <w:lang w:val="tr-TR"/>
        </w:rPr>
        <w:t xml:space="preserve"> MW kapasite için </w:t>
      </w:r>
      <w:proofErr w:type="spellStart"/>
      <w:r w:rsidR="00B6604E">
        <w:rPr>
          <w:rFonts w:ascii="Calibri" w:eastAsia="Calibri" w:hAnsi="Calibri" w:cs="Arial"/>
          <w:color w:val="000000"/>
          <w:lang w:val="tr-TR"/>
        </w:rPr>
        <w:t>önlisans</w:t>
      </w:r>
      <w:proofErr w:type="spellEnd"/>
      <w:r w:rsidR="00B6604E">
        <w:rPr>
          <w:rFonts w:ascii="Calibri" w:eastAsia="Calibri" w:hAnsi="Calibri" w:cs="Arial"/>
          <w:color w:val="000000"/>
          <w:lang w:val="tr-TR"/>
        </w:rPr>
        <w:t xml:space="preserve"> verilmiştir</w:t>
      </w:r>
      <w:sdt>
        <w:sdtPr>
          <w:rPr>
            <w:rFonts w:ascii="Calibri" w:eastAsia="Calibri" w:hAnsi="Calibri" w:cs="Arial"/>
            <w:color w:val="000000"/>
            <w:lang w:val="tr-TR"/>
          </w:rPr>
          <w:id w:val="-1824649482"/>
          <w:citation/>
        </w:sdtPr>
        <w:sdtEndPr/>
        <w:sdtContent>
          <w:r w:rsidR="003B5E8D">
            <w:rPr>
              <w:rFonts w:ascii="Calibri" w:eastAsia="Calibri" w:hAnsi="Calibri" w:cs="Arial"/>
              <w:color w:val="000000"/>
              <w:lang w:val="tr-TR"/>
            </w:rPr>
            <w:fldChar w:fldCharType="begin"/>
          </w:r>
          <w:r w:rsidR="003B5E8D">
            <w:rPr>
              <w:rFonts w:ascii="Calibri" w:eastAsia="Calibri" w:hAnsi="Calibri" w:cs="Arial"/>
              <w:color w:val="000000"/>
            </w:rPr>
            <w:instrText xml:space="preserve"> CITATION EPD23 \l 1033 </w:instrText>
          </w:r>
          <w:r w:rsidR="003B5E8D">
            <w:rPr>
              <w:rFonts w:ascii="Calibri" w:eastAsia="Calibri" w:hAnsi="Calibri" w:cs="Arial"/>
              <w:color w:val="000000"/>
              <w:lang w:val="tr-TR"/>
            </w:rPr>
            <w:fldChar w:fldCharType="separate"/>
          </w:r>
          <w:r w:rsidR="00D95FF7">
            <w:rPr>
              <w:rFonts w:ascii="Calibri" w:eastAsia="Calibri" w:hAnsi="Calibri" w:cs="Arial"/>
              <w:noProof/>
              <w:color w:val="000000"/>
            </w:rPr>
            <w:t xml:space="preserve"> </w:t>
          </w:r>
          <w:r w:rsidR="00D95FF7" w:rsidRPr="00D95FF7">
            <w:rPr>
              <w:rFonts w:ascii="Calibri" w:eastAsia="Calibri" w:hAnsi="Calibri" w:cs="Arial"/>
              <w:noProof/>
              <w:color w:val="000000"/>
            </w:rPr>
            <w:t>(EPDK, 2023)</w:t>
          </w:r>
          <w:r w:rsidR="003B5E8D">
            <w:rPr>
              <w:rFonts w:ascii="Calibri" w:eastAsia="Calibri" w:hAnsi="Calibri" w:cs="Arial"/>
              <w:color w:val="000000"/>
              <w:lang w:val="tr-TR"/>
            </w:rPr>
            <w:fldChar w:fldCharType="end"/>
          </w:r>
        </w:sdtContent>
      </w:sdt>
      <w:r w:rsidR="00B6604E">
        <w:rPr>
          <w:rFonts w:ascii="Calibri" w:eastAsia="Calibri" w:hAnsi="Calibri" w:cs="Arial"/>
          <w:color w:val="000000"/>
          <w:lang w:val="tr-TR"/>
        </w:rPr>
        <w:t>.</w:t>
      </w:r>
      <w:r w:rsidR="003B5E8D">
        <w:rPr>
          <w:rFonts w:ascii="Calibri" w:eastAsia="Calibri" w:hAnsi="Calibri" w:cs="Arial"/>
          <w:color w:val="000000"/>
          <w:lang w:val="tr-TR"/>
        </w:rPr>
        <w:t xml:space="preserve"> </w:t>
      </w:r>
      <w:r w:rsidRPr="0023194F">
        <w:rPr>
          <w:rFonts w:ascii="Calibri" w:eastAsia="Calibri" w:hAnsi="Calibri" w:cs="Arial"/>
          <w:color w:val="000000"/>
          <w:lang w:val="tr-TR"/>
        </w:rPr>
        <w:t>Yapılan bu başvuruların ne kadarlık bir kısmının devreye alınacağı henüz belli değildir.</w:t>
      </w:r>
      <w:r w:rsidR="003B5E8D">
        <w:rPr>
          <w:rFonts w:ascii="Calibri" w:eastAsia="Calibri" w:hAnsi="Calibri" w:cs="Arial"/>
          <w:color w:val="000000"/>
          <w:lang w:val="tr-TR"/>
        </w:rPr>
        <w:t xml:space="preserve"> Ancak depolamalı santral yatırımlarının</w:t>
      </w:r>
      <w:r w:rsidR="00FE7719">
        <w:rPr>
          <w:rFonts w:ascii="Calibri" w:eastAsia="Calibri" w:hAnsi="Calibri" w:cs="Arial"/>
          <w:color w:val="000000"/>
          <w:lang w:val="tr-TR"/>
        </w:rPr>
        <w:t xml:space="preserve"> da</w:t>
      </w:r>
      <w:r w:rsidR="003B5E8D">
        <w:rPr>
          <w:rFonts w:ascii="Calibri" w:eastAsia="Calibri" w:hAnsi="Calibri" w:cs="Arial"/>
          <w:color w:val="000000"/>
          <w:lang w:val="tr-TR"/>
        </w:rPr>
        <w:t xml:space="preserve"> </w:t>
      </w:r>
      <w:r w:rsidR="00966B71">
        <w:rPr>
          <w:rFonts w:ascii="Calibri" w:eastAsia="Calibri" w:hAnsi="Calibri" w:cs="Arial"/>
          <w:color w:val="000000"/>
          <w:lang w:val="tr-TR"/>
        </w:rPr>
        <w:t>devreye alınmasıyla</w:t>
      </w:r>
      <w:r w:rsidR="00884542">
        <w:rPr>
          <w:rFonts w:ascii="Calibri" w:eastAsia="Calibri" w:hAnsi="Calibri" w:cs="Arial"/>
          <w:color w:val="000000"/>
          <w:lang w:val="tr-TR"/>
        </w:rPr>
        <w:t>,</w:t>
      </w:r>
      <w:r w:rsidR="00966B71">
        <w:rPr>
          <w:rFonts w:ascii="Calibri" w:eastAsia="Calibri" w:hAnsi="Calibri" w:cs="Arial"/>
          <w:color w:val="000000"/>
          <w:lang w:val="tr-TR"/>
        </w:rPr>
        <w:t xml:space="preserve"> </w:t>
      </w:r>
      <w:r w:rsidR="0060704A">
        <w:rPr>
          <w:rFonts w:ascii="Calibri" w:eastAsia="Calibri" w:hAnsi="Calibri" w:cs="Arial"/>
          <w:color w:val="000000"/>
          <w:lang w:val="tr-TR"/>
        </w:rPr>
        <w:t>depolama</w:t>
      </w:r>
      <w:r w:rsidR="00884542">
        <w:rPr>
          <w:rFonts w:ascii="Calibri" w:eastAsia="Calibri" w:hAnsi="Calibri" w:cs="Arial"/>
          <w:color w:val="000000"/>
          <w:lang w:val="tr-TR"/>
        </w:rPr>
        <w:t xml:space="preserve">lı tesisler </w:t>
      </w:r>
      <w:r w:rsidR="0060704A">
        <w:rPr>
          <w:rFonts w:ascii="Calibri" w:eastAsia="Calibri" w:hAnsi="Calibri" w:cs="Arial"/>
          <w:color w:val="000000"/>
          <w:lang w:val="tr-TR"/>
        </w:rPr>
        <w:t xml:space="preserve">düzenlemesi öncesi hazırlanan </w:t>
      </w:r>
      <w:r w:rsidR="003B5E8D">
        <w:rPr>
          <w:rFonts w:ascii="Calibri" w:eastAsia="Calibri" w:hAnsi="Calibri" w:cs="Arial"/>
          <w:color w:val="000000"/>
          <w:lang w:val="tr-TR"/>
        </w:rPr>
        <w:t>Ulusal Enerji Planı’nd</w:t>
      </w:r>
      <w:r w:rsidR="00966B71">
        <w:rPr>
          <w:rFonts w:ascii="Calibri" w:eastAsia="Calibri" w:hAnsi="Calibri" w:cs="Arial"/>
          <w:color w:val="000000"/>
          <w:lang w:val="tr-TR"/>
        </w:rPr>
        <w:t>aki yenilenebilir enerji kurulu güç hedeflerin</w:t>
      </w:r>
      <w:r w:rsidR="00884542">
        <w:rPr>
          <w:rFonts w:ascii="Calibri" w:eastAsia="Calibri" w:hAnsi="Calibri" w:cs="Arial"/>
          <w:color w:val="000000"/>
          <w:lang w:val="tr-TR"/>
        </w:rPr>
        <w:t>in</w:t>
      </w:r>
      <w:r w:rsidR="00966B71">
        <w:rPr>
          <w:rFonts w:ascii="Calibri" w:eastAsia="Calibri" w:hAnsi="Calibri" w:cs="Arial"/>
          <w:color w:val="000000"/>
          <w:lang w:val="tr-TR"/>
        </w:rPr>
        <w:t xml:space="preserve"> üzerine çıkacağı tahmin edilmektedir. </w:t>
      </w:r>
    </w:p>
    <w:p w14:paraId="6277E481" w14:textId="5CF7AEAA" w:rsidR="002B4A86" w:rsidRPr="00CF336B" w:rsidRDefault="003E0E7F" w:rsidP="004D4361">
      <w:pPr>
        <w:spacing w:line="360" w:lineRule="auto"/>
        <w:jc w:val="both"/>
        <w:rPr>
          <w:lang w:val="tr-TR"/>
        </w:rPr>
      </w:pPr>
      <w:r w:rsidRPr="00CF336B">
        <w:rPr>
          <w:lang w:val="tr-TR"/>
        </w:rPr>
        <w:t xml:space="preserve">APLUS Enerji tarafından </w:t>
      </w:r>
      <w:r w:rsidR="002B4A86" w:rsidRPr="00CF336B">
        <w:rPr>
          <w:lang w:val="tr-TR"/>
        </w:rPr>
        <w:t xml:space="preserve">Türkiye’nin 2053 Net Sıfır hedefi doğrultusunda açıkladığı Ulusal Enerji Planı varsayımları dikkate alınarak yapılan tahmin çalışmasında, 2040 yılına ait seçili günlerin saatlik yenilenebilir ve nükleer üretimi detaylı olarak incelenmiştir. Bu analize göre artan yenilenebilir enerji üretiminin günün bazı saatlerinde arz fazlasına neden olduğu görülmektedir. </w:t>
      </w:r>
      <w:r w:rsidRPr="00CF336B">
        <w:rPr>
          <w:lang w:val="tr-TR"/>
        </w:rPr>
        <w:fldChar w:fldCharType="begin"/>
      </w:r>
      <w:r w:rsidRPr="00CF336B">
        <w:rPr>
          <w:lang w:val="tr-TR"/>
        </w:rPr>
        <w:instrText xml:space="preserve"> REF _Ref149135263 \h </w:instrText>
      </w:r>
      <w:r w:rsidR="004D4361">
        <w:rPr>
          <w:lang w:val="tr-TR"/>
        </w:rPr>
        <w:instrText xml:space="preserve"> \* MERGEFORMAT </w:instrText>
      </w:r>
      <w:r w:rsidRPr="00CF336B">
        <w:rPr>
          <w:lang w:val="tr-TR"/>
        </w:rPr>
      </w:r>
      <w:r w:rsidRPr="00CF336B">
        <w:rPr>
          <w:lang w:val="tr-TR"/>
        </w:rPr>
        <w:fldChar w:fldCharType="separate"/>
      </w:r>
      <w:r w:rsidR="001D6180" w:rsidRPr="00CF336B">
        <w:rPr>
          <w:lang w:val="tr-TR"/>
        </w:rPr>
        <w:t xml:space="preserve">Şekil </w:t>
      </w:r>
      <w:r w:rsidR="001D6180">
        <w:rPr>
          <w:noProof/>
          <w:lang w:val="tr-TR"/>
        </w:rPr>
        <w:t>38</w:t>
      </w:r>
      <w:r w:rsidRPr="00CF336B">
        <w:rPr>
          <w:lang w:val="tr-TR"/>
        </w:rPr>
        <w:fldChar w:fldCharType="end"/>
      </w:r>
      <w:r w:rsidR="002B4A86" w:rsidRPr="00CF336B">
        <w:rPr>
          <w:lang w:val="tr-TR"/>
        </w:rPr>
        <w:fldChar w:fldCharType="begin"/>
      </w:r>
      <w:r w:rsidR="002B4A86" w:rsidRPr="00CF336B">
        <w:rPr>
          <w:lang w:val="tr-TR"/>
        </w:rPr>
        <w:instrText xml:space="preserve"> REF _Ref148631287 \h  \* MERGEFORMAT </w:instrText>
      </w:r>
      <w:r w:rsidR="002B4A86" w:rsidRPr="00CF336B">
        <w:rPr>
          <w:lang w:val="tr-TR"/>
        </w:rPr>
      </w:r>
      <w:r w:rsidR="002B4A86" w:rsidRPr="00CF336B">
        <w:rPr>
          <w:lang w:val="tr-TR"/>
        </w:rPr>
        <w:fldChar w:fldCharType="end"/>
      </w:r>
      <w:r w:rsidR="002B4A86" w:rsidRPr="00CF336B">
        <w:rPr>
          <w:lang w:val="tr-TR"/>
        </w:rPr>
        <w:t>, 15 Nisan 2040 için saatlik bazda üretimin kırılımını ve talebi göstermektedir. Buna göre, özellikle güneş üretiminin yoğunlaştığı sabah ve öğlen saatlerinde fiyata bağımlı üretim yapan termik santrallere sistemde çok kısıtlı bir alan kalmaktadır. Özellikle açma-</w:t>
      </w:r>
      <w:r w:rsidR="00115300">
        <w:rPr>
          <w:lang w:val="tr-TR"/>
        </w:rPr>
        <w:t xml:space="preserve"> </w:t>
      </w:r>
      <w:r w:rsidR="002B4A86" w:rsidRPr="00CF336B">
        <w:rPr>
          <w:lang w:val="tr-TR"/>
        </w:rPr>
        <w:t xml:space="preserve">kapama süreleri ve maliyetleri yüksek olan kömür santralleri için ardışık saatlerde çalışamamanın yarattığı maliyetin, bu santrallerin sistemde kalmalarını zorlaştıracağı düşünülmektedir. </w:t>
      </w:r>
      <w:r w:rsidRPr="00CF336B">
        <w:rPr>
          <w:lang w:val="tr-TR"/>
        </w:rPr>
        <w:fldChar w:fldCharType="begin"/>
      </w:r>
      <w:r w:rsidRPr="00CF336B">
        <w:rPr>
          <w:lang w:val="tr-TR"/>
        </w:rPr>
        <w:instrText xml:space="preserve"> REF _Ref149135273 \h </w:instrText>
      </w:r>
      <w:r w:rsidR="004D4361">
        <w:rPr>
          <w:lang w:val="tr-TR"/>
        </w:rPr>
        <w:instrText xml:space="preserve"> \* MERGEFORMAT </w:instrText>
      </w:r>
      <w:r w:rsidRPr="00CF336B">
        <w:rPr>
          <w:lang w:val="tr-TR"/>
        </w:rPr>
      </w:r>
      <w:r w:rsidRPr="00CF336B">
        <w:rPr>
          <w:lang w:val="tr-TR"/>
        </w:rPr>
        <w:fldChar w:fldCharType="separate"/>
      </w:r>
      <w:r w:rsidR="001D6180" w:rsidRPr="00CF336B">
        <w:rPr>
          <w:lang w:val="tr-TR"/>
        </w:rPr>
        <w:t xml:space="preserve">Şekil </w:t>
      </w:r>
      <w:r w:rsidR="001D6180">
        <w:rPr>
          <w:noProof/>
          <w:lang w:val="tr-TR"/>
        </w:rPr>
        <w:t>39</w:t>
      </w:r>
      <w:r w:rsidRPr="00CF336B">
        <w:rPr>
          <w:lang w:val="tr-TR"/>
        </w:rPr>
        <w:fldChar w:fldCharType="end"/>
      </w:r>
      <w:r w:rsidR="002B4A86" w:rsidRPr="00CF336B">
        <w:rPr>
          <w:lang w:val="tr-TR"/>
        </w:rPr>
        <w:fldChar w:fldCharType="begin"/>
      </w:r>
      <w:r w:rsidR="002B4A86" w:rsidRPr="00CF336B">
        <w:rPr>
          <w:lang w:val="tr-TR"/>
        </w:rPr>
        <w:instrText xml:space="preserve"> REF _Ref148633029 \h  \* MERGEFORMAT </w:instrText>
      </w:r>
      <w:r w:rsidR="002B4A86" w:rsidRPr="00CF336B">
        <w:rPr>
          <w:lang w:val="tr-TR"/>
        </w:rPr>
      </w:r>
      <w:r w:rsidR="002B4A86" w:rsidRPr="00CF336B">
        <w:rPr>
          <w:lang w:val="tr-TR"/>
        </w:rPr>
        <w:fldChar w:fldCharType="end"/>
      </w:r>
      <w:r w:rsidR="002B4A86" w:rsidRPr="00CF336B">
        <w:rPr>
          <w:lang w:val="tr-TR"/>
        </w:rPr>
        <w:t xml:space="preserve">, </w:t>
      </w:r>
      <w:r w:rsidRPr="00CF336B">
        <w:rPr>
          <w:lang w:val="tr-TR"/>
        </w:rPr>
        <w:fldChar w:fldCharType="begin"/>
      </w:r>
      <w:r w:rsidRPr="00CF336B">
        <w:rPr>
          <w:lang w:val="tr-TR"/>
        </w:rPr>
        <w:instrText xml:space="preserve"> REF _Ref149135281 \h </w:instrText>
      </w:r>
      <w:r w:rsidR="004D4361">
        <w:rPr>
          <w:lang w:val="tr-TR"/>
        </w:rPr>
        <w:instrText xml:space="preserve"> \* MERGEFORMAT </w:instrText>
      </w:r>
      <w:r w:rsidRPr="00CF336B">
        <w:rPr>
          <w:lang w:val="tr-TR"/>
        </w:rPr>
      </w:r>
      <w:r w:rsidRPr="00CF336B">
        <w:rPr>
          <w:lang w:val="tr-TR"/>
        </w:rPr>
        <w:fldChar w:fldCharType="separate"/>
      </w:r>
      <w:r w:rsidR="001D6180" w:rsidRPr="00CF336B">
        <w:rPr>
          <w:lang w:val="tr-TR"/>
        </w:rPr>
        <w:t xml:space="preserve">Şekil </w:t>
      </w:r>
      <w:r w:rsidR="001D6180">
        <w:rPr>
          <w:noProof/>
          <w:lang w:val="tr-TR"/>
        </w:rPr>
        <w:t>40</w:t>
      </w:r>
      <w:r w:rsidRPr="00CF336B">
        <w:rPr>
          <w:lang w:val="tr-TR"/>
        </w:rPr>
        <w:fldChar w:fldCharType="end"/>
      </w:r>
      <w:r w:rsidRPr="00CF336B">
        <w:rPr>
          <w:lang w:val="tr-TR"/>
        </w:rPr>
        <w:t xml:space="preserve"> </w:t>
      </w:r>
      <w:r w:rsidR="002B4A86" w:rsidRPr="00CF336B">
        <w:rPr>
          <w:lang w:val="tr-TR"/>
        </w:rPr>
        <w:t xml:space="preserve">ve </w:t>
      </w:r>
      <w:r w:rsidRPr="00CF336B">
        <w:rPr>
          <w:lang w:val="tr-TR"/>
        </w:rPr>
        <w:fldChar w:fldCharType="begin"/>
      </w:r>
      <w:r w:rsidRPr="00CF336B">
        <w:rPr>
          <w:lang w:val="tr-TR"/>
        </w:rPr>
        <w:instrText xml:space="preserve"> REF _Ref149135290 \h </w:instrText>
      </w:r>
      <w:r w:rsidR="004D4361">
        <w:rPr>
          <w:lang w:val="tr-TR"/>
        </w:rPr>
        <w:instrText xml:space="preserve"> \* MERGEFORMAT </w:instrText>
      </w:r>
      <w:r w:rsidRPr="00CF336B">
        <w:rPr>
          <w:lang w:val="tr-TR"/>
        </w:rPr>
      </w:r>
      <w:r w:rsidRPr="00CF336B">
        <w:rPr>
          <w:lang w:val="tr-TR"/>
        </w:rPr>
        <w:fldChar w:fldCharType="separate"/>
      </w:r>
      <w:r w:rsidR="001D6180" w:rsidRPr="00CF336B">
        <w:rPr>
          <w:lang w:val="tr-TR"/>
        </w:rPr>
        <w:t xml:space="preserve">Şekil </w:t>
      </w:r>
      <w:r w:rsidR="001D6180">
        <w:rPr>
          <w:noProof/>
          <w:lang w:val="tr-TR"/>
        </w:rPr>
        <w:t>41</w:t>
      </w:r>
      <w:r w:rsidRPr="00CF336B">
        <w:rPr>
          <w:lang w:val="tr-TR"/>
        </w:rPr>
        <w:fldChar w:fldCharType="end"/>
      </w:r>
      <w:r w:rsidRPr="00CF336B">
        <w:rPr>
          <w:lang w:val="tr-TR"/>
        </w:rPr>
        <w:t xml:space="preserve"> </w:t>
      </w:r>
      <w:r w:rsidR="002B4A86" w:rsidRPr="00CF336B">
        <w:rPr>
          <w:lang w:val="tr-TR"/>
        </w:rPr>
        <w:t>2040 yılları içinde seçilmiş diğer günlere ait yenilenebilir üretim ve talep verilerini göstermektedir</w:t>
      </w:r>
      <w:r w:rsidR="002B4A86" w:rsidRPr="00CF336B">
        <w:rPr>
          <w:rStyle w:val="FootnoteReference"/>
          <w:lang w:val="tr-TR"/>
        </w:rPr>
        <w:footnoteReference w:id="15"/>
      </w:r>
      <w:r w:rsidR="002B4A86" w:rsidRPr="00CF336B">
        <w:rPr>
          <w:lang w:val="tr-TR"/>
        </w:rPr>
        <w:t>.</w:t>
      </w:r>
    </w:p>
    <w:p w14:paraId="2C86252C" w14:textId="77777777" w:rsidR="002B4A86" w:rsidRPr="00CF336B" w:rsidRDefault="002B4A86" w:rsidP="004D4361">
      <w:pPr>
        <w:keepNext/>
        <w:spacing w:line="360" w:lineRule="auto"/>
        <w:jc w:val="both"/>
        <w:rPr>
          <w:lang w:val="tr-TR"/>
        </w:rPr>
      </w:pPr>
      <w:r w:rsidRPr="00CF336B">
        <w:rPr>
          <w:noProof/>
          <w:lang w:val="tr-TR"/>
        </w:rPr>
        <w:drawing>
          <wp:inline distT="0" distB="0" distL="0" distR="0" wp14:anchorId="2B78C8A0" wp14:editId="4624C504">
            <wp:extent cx="6115050" cy="2654300"/>
            <wp:effectExtent l="0" t="0" r="0" b="0"/>
            <wp:docPr id="282771940" name="Chart 282771940">
              <a:extLst xmlns:a="http://schemas.openxmlformats.org/drawingml/2006/main">
                <a:ext uri="{FF2B5EF4-FFF2-40B4-BE49-F238E27FC236}">
                  <a16:creationId xmlns:a16="http://schemas.microsoft.com/office/drawing/2014/main" id="{AFD23587-6AFB-F426-7F67-47050AC8B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4CC993" w14:textId="24F498E2" w:rsidR="002B4A86" w:rsidRDefault="002B4A86" w:rsidP="004D4361">
      <w:pPr>
        <w:pStyle w:val="Caption"/>
        <w:spacing w:line="360" w:lineRule="auto"/>
        <w:jc w:val="center"/>
        <w:rPr>
          <w:color w:val="auto"/>
          <w:sz w:val="22"/>
          <w:szCs w:val="22"/>
          <w:lang w:val="tr-TR"/>
        </w:rPr>
      </w:pPr>
      <w:bookmarkStart w:id="164" w:name="_Ref149135263"/>
      <w:bookmarkStart w:id="165" w:name="_Toc156210492"/>
      <w:r w:rsidRPr="00CF336B">
        <w:rPr>
          <w:color w:val="auto"/>
          <w:sz w:val="22"/>
          <w:szCs w:val="22"/>
          <w:lang w:val="tr-TR"/>
        </w:rPr>
        <w:t xml:space="preserve">Şekil </w:t>
      </w:r>
      <w:r w:rsidRPr="00CF336B">
        <w:rPr>
          <w:color w:val="auto"/>
          <w:sz w:val="22"/>
          <w:szCs w:val="22"/>
          <w:lang w:val="tr-TR"/>
        </w:rPr>
        <w:fldChar w:fldCharType="begin"/>
      </w:r>
      <w:r w:rsidRPr="008A77BA">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38</w:t>
      </w:r>
      <w:r w:rsidRPr="00CF336B">
        <w:rPr>
          <w:color w:val="auto"/>
          <w:sz w:val="22"/>
          <w:szCs w:val="22"/>
          <w:lang w:val="tr-TR"/>
        </w:rPr>
        <w:fldChar w:fldCharType="end"/>
      </w:r>
      <w:bookmarkEnd w:id="164"/>
      <w:r w:rsidRPr="00CF336B">
        <w:rPr>
          <w:color w:val="auto"/>
          <w:sz w:val="22"/>
          <w:szCs w:val="22"/>
          <w:lang w:val="tr-TR"/>
        </w:rPr>
        <w:t>. 15 Nisan 2040 Saatlik Üretim ve Talep</w:t>
      </w:r>
      <w:bookmarkEnd w:id="165"/>
    </w:p>
    <w:p w14:paraId="5A93337E" w14:textId="77777777" w:rsidR="006F09EB" w:rsidRPr="006F09EB" w:rsidRDefault="006F09EB" w:rsidP="009C4C8B">
      <w:pPr>
        <w:spacing w:line="360" w:lineRule="auto"/>
        <w:rPr>
          <w:lang w:val="tr-TR"/>
        </w:rPr>
      </w:pPr>
    </w:p>
    <w:p w14:paraId="69DDD5E8" w14:textId="77777777" w:rsidR="002B4A86" w:rsidRPr="00CF336B" w:rsidRDefault="002B4A86" w:rsidP="004D4361">
      <w:pPr>
        <w:keepNext/>
        <w:spacing w:line="360" w:lineRule="auto"/>
        <w:jc w:val="both"/>
        <w:rPr>
          <w:lang w:val="tr-TR"/>
        </w:rPr>
      </w:pPr>
      <w:r w:rsidRPr="00CF336B">
        <w:rPr>
          <w:noProof/>
          <w:lang w:val="tr-TR"/>
        </w:rPr>
        <w:drawing>
          <wp:inline distT="0" distB="0" distL="0" distR="0" wp14:anchorId="733F3176" wp14:editId="5B1C4BE5">
            <wp:extent cx="6127750" cy="2575560"/>
            <wp:effectExtent l="0" t="0" r="6350" b="0"/>
            <wp:docPr id="1931036928" name="Chart 1931036928">
              <a:extLst xmlns:a="http://schemas.openxmlformats.org/drawingml/2006/main">
                <a:ext uri="{FF2B5EF4-FFF2-40B4-BE49-F238E27FC236}">
                  <a16:creationId xmlns:a16="http://schemas.microsoft.com/office/drawing/2014/main" id="{01D05D86-4829-2A36-1B07-A252F45CE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640663" w14:textId="3FD3B68E" w:rsidR="002B4A86" w:rsidRPr="00CF336B" w:rsidRDefault="002B4A86" w:rsidP="004D4361">
      <w:pPr>
        <w:pStyle w:val="Caption"/>
        <w:spacing w:line="360" w:lineRule="auto"/>
        <w:jc w:val="center"/>
        <w:rPr>
          <w:color w:val="auto"/>
          <w:sz w:val="22"/>
          <w:szCs w:val="22"/>
          <w:lang w:val="tr-TR"/>
        </w:rPr>
      </w:pPr>
      <w:bookmarkStart w:id="166" w:name="_Ref149135273"/>
      <w:bookmarkStart w:id="167" w:name="_Toc156210493"/>
      <w:r w:rsidRPr="00CF336B">
        <w:rPr>
          <w:color w:val="auto"/>
          <w:sz w:val="22"/>
          <w:szCs w:val="22"/>
          <w:lang w:val="tr-TR"/>
        </w:rPr>
        <w:t xml:space="preserve">Şekil </w:t>
      </w:r>
      <w:r w:rsidRPr="00CF336B">
        <w:rPr>
          <w:color w:val="auto"/>
          <w:sz w:val="22"/>
          <w:szCs w:val="22"/>
          <w:lang w:val="tr-TR"/>
        </w:rPr>
        <w:fldChar w:fldCharType="begin"/>
      </w:r>
      <w:r w:rsidRPr="008A77BA">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39</w:t>
      </w:r>
      <w:r w:rsidRPr="00CF336B">
        <w:rPr>
          <w:color w:val="auto"/>
          <w:sz w:val="22"/>
          <w:szCs w:val="22"/>
          <w:lang w:val="tr-TR"/>
        </w:rPr>
        <w:fldChar w:fldCharType="end"/>
      </w:r>
      <w:bookmarkEnd w:id="166"/>
      <w:r w:rsidRPr="00CF336B">
        <w:rPr>
          <w:color w:val="auto"/>
          <w:sz w:val="22"/>
          <w:szCs w:val="22"/>
          <w:lang w:val="tr-TR"/>
        </w:rPr>
        <w:t>. 15 Temmuz 2040 Saatlik Üretim ve Talep</w:t>
      </w:r>
      <w:bookmarkEnd w:id="167"/>
    </w:p>
    <w:p w14:paraId="5E55ED63" w14:textId="77777777" w:rsidR="002B4A86" w:rsidRPr="00CF336B" w:rsidRDefault="002B4A86" w:rsidP="004D4361">
      <w:pPr>
        <w:keepNext/>
        <w:spacing w:line="360" w:lineRule="auto"/>
        <w:jc w:val="both"/>
        <w:rPr>
          <w:lang w:val="tr-TR"/>
        </w:rPr>
      </w:pPr>
      <w:r w:rsidRPr="00CF336B">
        <w:rPr>
          <w:noProof/>
          <w:lang w:val="tr-TR"/>
        </w:rPr>
        <w:drawing>
          <wp:inline distT="0" distB="0" distL="0" distR="0" wp14:anchorId="350AFAF2" wp14:editId="4BDFD20D">
            <wp:extent cx="6127750" cy="2575560"/>
            <wp:effectExtent l="0" t="0" r="6350" b="0"/>
            <wp:docPr id="2082485701" name="Chart 2082485701">
              <a:extLst xmlns:a="http://schemas.openxmlformats.org/drawingml/2006/main">
                <a:ext uri="{FF2B5EF4-FFF2-40B4-BE49-F238E27FC236}">
                  <a16:creationId xmlns:a16="http://schemas.microsoft.com/office/drawing/2014/main" id="{9D289EFF-D9DF-FB57-1802-10A3C6B38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180DEAF" w14:textId="36001699" w:rsidR="002B4A86" w:rsidRPr="00CF336B" w:rsidRDefault="002B4A86" w:rsidP="004D4361">
      <w:pPr>
        <w:pStyle w:val="Caption"/>
        <w:spacing w:line="360" w:lineRule="auto"/>
        <w:jc w:val="center"/>
        <w:rPr>
          <w:color w:val="auto"/>
          <w:sz w:val="22"/>
          <w:szCs w:val="22"/>
          <w:lang w:val="tr-TR"/>
        </w:rPr>
      </w:pPr>
      <w:bookmarkStart w:id="168" w:name="_Ref149135281"/>
      <w:bookmarkStart w:id="169" w:name="_Toc156210494"/>
      <w:r w:rsidRPr="00CF336B">
        <w:rPr>
          <w:color w:val="auto"/>
          <w:sz w:val="22"/>
          <w:szCs w:val="22"/>
          <w:lang w:val="tr-TR"/>
        </w:rPr>
        <w:t xml:space="preserve">Şekil </w:t>
      </w:r>
      <w:r w:rsidRPr="00CF336B">
        <w:rPr>
          <w:color w:val="auto"/>
          <w:sz w:val="22"/>
          <w:szCs w:val="22"/>
          <w:lang w:val="tr-TR"/>
        </w:rPr>
        <w:fldChar w:fldCharType="begin"/>
      </w:r>
      <w:r w:rsidRPr="008A77BA">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40</w:t>
      </w:r>
      <w:r w:rsidRPr="00CF336B">
        <w:rPr>
          <w:color w:val="auto"/>
          <w:sz w:val="22"/>
          <w:szCs w:val="22"/>
          <w:lang w:val="tr-TR"/>
        </w:rPr>
        <w:fldChar w:fldCharType="end"/>
      </w:r>
      <w:bookmarkEnd w:id="168"/>
      <w:r w:rsidRPr="00CF336B">
        <w:rPr>
          <w:color w:val="auto"/>
          <w:sz w:val="22"/>
          <w:szCs w:val="22"/>
          <w:lang w:val="tr-TR"/>
        </w:rPr>
        <w:t>. 15 Ekim 2040 Saatlik Üretim ve Talep</w:t>
      </w:r>
      <w:bookmarkEnd w:id="169"/>
    </w:p>
    <w:p w14:paraId="67EBB2BE" w14:textId="77777777" w:rsidR="002B4A86" w:rsidRPr="00CF336B" w:rsidRDefault="002B4A86" w:rsidP="004D4361">
      <w:pPr>
        <w:keepNext/>
        <w:spacing w:line="360" w:lineRule="auto"/>
        <w:jc w:val="both"/>
        <w:rPr>
          <w:lang w:val="tr-TR"/>
        </w:rPr>
      </w:pPr>
      <w:r w:rsidRPr="00CF336B">
        <w:rPr>
          <w:noProof/>
          <w:lang w:val="tr-TR"/>
        </w:rPr>
        <w:drawing>
          <wp:inline distT="0" distB="0" distL="0" distR="0" wp14:anchorId="0BF2B720" wp14:editId="6DBBACB2">
            <wp:extent cx="6127750" cy="2575560"/>
            <wp:effectExtent l="0" t="0" r="6350" b="0"/>
            <wp:docPr id="1736740799" name="Chart 1736740799">
              <a:extLst xmlns:a="http://schemas.openxmlformats.org/drawingml/2006/main">
                <a:ext uri="{FF2B5EF4-FFF2-40B4-BE49-F238E27FC236}">
                  <a16:creationId xmlns:a16="http://schemas.microsoft.com/office/drawing/2014/main" id="{C7CB73CC-727F-CF93-7840-946BDE6FB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83514B0" w14:textId="48EF9BE2" w:rsidR="002B4A86" w:rsidRPr="00CF336B" w:rsidRDefault="002B4A86" w:rsidP="004D4361">
      <w:pPr>
        <w:pStyle w:val="Caption"/>
        <w:spacing w:line="360" w:lineRule="auto"/>
        <w:jc w:val="center"/>
        <w:rPr>
          <w:color w:val="auto"/>
          <w:sz w:val="22"/>
          <w:szCs w:val="22"/>
          <w:lang w:val="tr-TR"/>
        </w:rPr>
      </w:pPr>
      <w:bookmarkStart w:id="170" w:name="_Ref149135290"/>
      <w:bookmarkStart w:id="171" w:name="_Toc156210495"/>
      <w:r w:rsidRPr="00CF336B">
        <w:rPr>
          <w:color w:val="auto"/>
          <w:sz w:val="22"/>
          <w:szCs w:val="22"/>
          <w:lang w:val="tr-TR"/>
        </w:rPr>
        <w:t xml:space="preserve">Şekil </w:t>
      </w:r>
      <w:r w:rsidRPr="00CF336B">
        <w:rPr>
          <w:color w:val="auto"/>
          <w:sz w:val="22"/>
          <w:szCs w:val="22"/>
          <w:lang w:val="tr-TR"/>
        </w:rPr>
        <w:fldChar w:fldCharType="begin"/>
      </w:r>
      <w:r w:rsidRPr="008A77BA">
        <w:rPr>
          <w:color w:val="auto"/>
          <w:sz w:val="22"/>
          <w:szCs w:val="22"/>
          <w:lang w:val="tr-TR"/>
        </w:rPr>
        <w:instrText xml:space="preserve"> SEQ Şekil \* ARABIC </w:instrText>
      </w:r>
      <w:r w:rsidRPr="00CF336B">
        <w:rPr>
          <w:color w:val="auto"/>
          <w:sz w:val="22"/>
          <w:szCs w:val="22"/>
          <w:lang w:val="tr-TR"/>
        </w:rPr>
        <w:fldChar w:fldCharType="separate"/>
      </w:r>
      <w:r w:rsidR="0052290F">
        <w:rPr>
          <w:noProof/>
          <w:color w:val="auto"/>
          <w:sz w:val="22"/>
          <w:szCs w:val="22"/>
          <w:lang w:val="tr-TR"/>
        </w:rPr>
        <w:t>41</w:t>
      </w:r>
      <w:r w:rsidRPr="00CF336B">
        <w:rPr>
          <w:color w:val="auto"/>
          <w:sz w:val="22"/>
          <w:szCs w:val="22"/>
          <w:lang w:val="tr-TR"/>
        </w:rPr>
        <w:fldChar w:fldCharType="end"/>
      </w:r>
      <w:bookmarkEnd w:id="170"/>
      <w:r w:rsidRPr="00CF336B">
        <w:rPr>
          <w:color w:val="auto"/>
          <w:sz w:val="22"/>
          <w:szCs w:val="22"/>
          <w:lang w:val="tr-TR"/>
        </w:rPr>
        <w:t>. 15 Aralık 2040 Saatlik Üretim ve Talep</w:t>
      </w:r>
      <w:bookmarkEnd w:id="171"/>
    </w:p>
    <w:p w14:paraId="4210D78A" w14:textId="152CC571" w:rsidR="002B4A86" w:rsidRPr="00CF336B" w:rsidRDefault="002B4A86" w:rsidP="004D4361">
      <w:pPr>
        <w:spacing w:line="360" w:lineRule="auto"/>
        <w:jc w:val="both"/>
        <w:rPr>
          <w:lang w:val="tr-TR"/>
        </w:rPr>
      </w:pPr>
      <w:r w:rsidRPr="00CF336B">
        <w:rPr>
          <w:lang w:val="tr-TR"/>
        </w:rPr>
        <w:t>Seçilen tarihler yalnızca kısıtlı zamanı gösterse de yıl içinde birçok saatte termik santrallere kalan arz ihtiyacı oldukça düşüktür.</w:t>
      </w:r>
      <w:r w:rsidR="0075217D" w:rsidRPr="00CF336B">
        <w:rPr>
          <w:lang w:val="tr-TR"/>
        </w:rPr>
        <w:t xml:space="preserve"> Termik santrallerin çalışma saatlerindeki bu düşüş bu santrallerin sistemde kalmalarının önünde büyük bir engel oluşturmaktadır. </w:t>
      </w:r>
    </w:p>
    <w:p w14:paraId="1E60C6CB" w14:textId="17E96DDE" w:rsidR="0075217D" w:rsidRPr="00CF336B" w:rsidRDefault="00515DB9" w:rsidP="004D4361">
      <w:pPr>
        <w:spacing w:line="360" w:lineRule="auto"/>
        <w:jc w:val="both"/>
        <w:rPr>
          <w:lang w:val="tr-TR"/>
        </w:rPr>
      </w:pPr>
      <w:r w:rsidRPr="00CF336B">
        <w:rPr>
          <w:lang w:val="tr-TR"/>
        </w:rPr>
        <w:t>Güvenilir bir enerji altyapısı ve sistemi için en öncelikli konulardan birisi arz güvenliğinin sağlanmasıdır. Bu noktada yetkili otoritenin arz güvenliğini sağlayacak önlemleri önceden alması ve yeni teknolojiler</w:t>
      </w:r>
      <w:r w:rsidR="0075217D" w:rsidRPr="00CF336B">
        <w:rPr>
          <w:lang w:val="tr-TR"/>
        </w:rPr>
        <w:t>i de</w:t>
      </w:r>
      <w:r w:rsidRPr="00CF336B">
        <w:rPr>
          <w:lang w:val="tr-TR"/>
        </w:rPr>
        <w:t xml:space="preserve"> d</w:t>
      </w:r>
      <w:r w:rsidR="0075217D" w:rsidRPr="00CF336B">
        <w:rPr>
          <w:lang w:val="tr-TR"/>
        </w:rPr>
        <w:t>ikkate alarak sistemi tasarlaması gerekmektedir. Özellikle kesintili yenilenebilir enerji kaynaklarının sistemdeki payının giderek artması</w:t>
      </w:r>
      <w:r w:rsidR="00BB6F16">
        <w:rPr>
          <w:lang w:val="tr-TR"/>
        </w:rPr>
        <w:t>nın</w:t>
      </w:r>
      <w:r w:rsidR="0075217D" w:rsidRPr="00CF336B">
        <w:rPr>
          <w:lang w:val="tr-TR"/>
        </w:rPr>
        <w:t xml:space="preserve"> beklendiği bir gelecekte arz güvenliği için güvenilir bir kapasite ihtiyacının gerektiği açıkça görülmektedir. Uluslararası örneklere bakıldığında arz güvenliğinin çeşitli yollarla yapıldığı ve bu yöntemlerde iklim değişikliği hedefinin gözetildiği dikkat çekmektedir. Diğer bir deyişle, güvenilir bir arz kaynağı yaratılırken net sıfır hedefleri de dikkate alınmakta ve bu yönde adımlar atılmaktadır. </w:t>
      </w:r>
    </w:p>
    <w:p w14:paraId="2AA9B0EE" w14:textId="2C736356" w:rsidR="003E0E7F" w:rsidRPr="00CF336B" w:rsidRDefault="0075217D" w:rsidP="004D4361">
      <w:pPr>
        <w:spacing w:line="360" w:lineRule="auto"/>
        <w:jc w:val="both"/>
        <w:rPr>
          <w:lang w:val="tr-TR"/>
        </w:rPr>
      </w:pPr>
      <w:r w:rsidRPr="00CF336B">
        <w:rPr>
          <w:lang w:val="tr-TR"/>
        </w:rPr>
        <w:t>Türkiye’de mevcut durumda serbest piyasa yapısını bozan teşvik ve müdahaleler bulunmakta ve üreticilerin piyasadan elde edebilecekleri gelir baskılanmaktadır. Bu durum santrallerin sistemde kalmalarını zorlaştırma</w:t>
      </w:r>
      <w:r w:rsidR="00990247">
        <w:rPr>
          <w:lang w:val="tr-TR"/>
        </w:rPr>
        <w:t>kta</w:t>
      </w:r>
      <w:r w:rsidRPr="00CF336B">
        <w:rPr>
          <w:lang w:val="tr-TR"/>
        </w:rPr>
        <w:t xml:space="preserve"> ve emre amade olmak için daha fazla kamu desteğine ihtiyaç duymalarına neden olmaktadır. </w:t>
      </w:r>
      <w:r w:rsidR="00830B1E" w:rsidRPr="00CF336B">
        <w:rPr>
          <w:lang w:val="tr-TR"/>
        </w:rPr>
        <w:t xml:space="preserve">Serbest piyasa koşullarının yaratıldığı bir ortamda santrallerin elde edeceği gelirlerin piyasa dinamiklerine bağlı olarak azalması ya da artması beklenmektedir. Böylelikle yeni yatırımlar için doğru fiyat sinyali oluşacak ve Türkiye’nin büyüme hedefleri sonucu artacak talebin karşılanması için gerekli yatırımların önü açılacaktır. </w:t>
      </w:r>
      <w:r w:rsidR="003E0E7F" w:rsidRPr="00CF336B">
        <w:rPr>
          <w:lang w:val="tr-TR"/>
        </w:rPr>
        <w:t xml:space="preserve">Piyasa dinamiklerinin fiyatı belirlediği tam rekabetçi bir ortamda, devlet tarafından verilecek ilave desteklere duyulacak ihtiyacın teorik olarak görece düşük olması beklenmektedir. Bu yapının oluştuğu bir sistemde karar verici otorite için önemli önem husus yalnızca arz güvenliğinin sağlanması olacaktır. </w:t>
      </w:r>
    </w:p>
    <w:p w14:paraId="0C0C987C" w14:textId="77777777" w:rsidR="003E0E7F" w:rsidRPr="00CF336B" w:rsidRDefault="003E0E7F" w:rsidP="004D4361">
      <w:pPr>
        <w:spacing w:line="360" w:lineRule="auto"/>
        <w:jc w:val="both"/>
        <w:rPr>
          <w:lang w:val="tr-TR"/>
        </w:rPr>
      </w:pPr>
    </w:p>
    <w:p w14:paraId="054D65DB" w14:textId="77777777" w:rsidR="003E0E7F" w:rsidRPr="00CF336B" w:rsidRDefault="003E0E7F" w:rsidP="004D4361">
      <w:pPr>
        <w:spacing w:line="360" w:lineRule="auto"/>
        <w:jc w:val="both"/>
        <w:rPr>
          <w:lang w:val="tr-TR"/>
        </w:rPr>
      </w:pPr>
    </w:p>
    <w:p w14:paraId="479B06E3" w14:textId="604CC369" w:rsidR="006C3914" w:rsidRPr="007F037E" w:rsidRDefault="00DD1AE0" w:rsidP="004D4361">
      <w:pPr>
        <w:pStyle w:val="Heading1"/>
        <w:numPr>
          <w:ilvl w:val="0"/>
          <w:numId w:val="12"/>
        </w:numPr>
        <w:spacing w:line="360" w:lineRule="auto"/>
        <w:rPr>
          <w:lang w:val="tr-TR"/>
        </w:rPr>
      </w:pPr>
      <w:r w:rsidRPr="00CF336B">
        <w:rPr>
          <w:lang w:val="tr-TR"/>
        </w:rPr>
        <w:br w:type="page"/>
      </w:r>
      <w:bookmarkStart w:id="172" w:name="_Toc149141062"/>
      <w:bookmarkStart w:id="173" w:name="_Toc149141063"/>
      <w:bookmarkStart w:id="174" w:name="_Toc149141064"/>
      <w:bookmarkStart w:id="175" w:name="_Toc149141065"/>
      <w:bookmarkStart w:id="176" w:name="_Toc149141066"/>
      <w:bookmarkStart w:id="177" w:name="_Toc149141067"/>
      <w:bookmarkStart w:id="178" w:name="_Toc149141068"/>
      <w:bookmarkStart w:id="179" w:name="_Toc149141069"/>
      <w:bookmarkStart w:id="180" w:name="_Toc149141070"/>
      <w:bookmarkStart w:id="181" w:name="_Toc149141071"/>
      <w:bookmarkStart w:id="182" w:name="_Toc149141072"/>
      <w:bookmarkStart w:id="183" w:name="_Toc149141073"/>
      <w:bookmarkStart w:id="184" w:name="_Toc149141074"/>
      <w:bookmarkStart w:id="185" w:name="_Toc149141075"/>
      <w:bookmarkStart w:id="186" w:name="_Toc149141076"/>
      <w:bookmarkStart w:id="187" w:name="_Toc149141077"/>
      <w:bookmarkStart w:id="188" w:name="_Toc149141078"/>
      <w:bookmarkStart w:id="189" w:name="_Toc156210453"/>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7F037E">
        <w:rPr>
          <w:lang w:val="tr-TR"/>
        </w:rPr>
        <w:t xml:space="preserve">Politika </w:t>
      </w:r>
      <w:r w:rsidR="006C3914" w:rsidRPr="007F037E">
        <w:rPr>
          <w:lang w:val="tr-TR"/>
        </w:rPr>
        <w:t>Öneriler</w:t>
      </w:r>
      <w:r w:rsidRPr="007F037E">
        <w:rPr>
          <w:lang w:val="tr-TR"/>
        </w:rPr>
        <w:t>i</w:t>
      </w:r>
      <w:bookmarkEnd w:id="189"/>
    </w:p>
    <w:p w14:paraId="47EDBB9F" w14:textId="05CC1D96" w:rsidR="00E17D09" w:rsidRPr="00CF336B" w:rsidRDefault="00E17D09" w:rsidP="004D4361">
      <w:pPr>
        <w:spacing w:line="360" w:lineRule="auto"/>
        <w:rPr>
          <w:lang w:val="tr-TR"/>
        </w:rPr>
      </w:pPr>
    </w:p>
    <w:p w14:paraId="7FBDF4EB" w14:textId="2BA909DD" w:rsidR="00CB1F82" w:rsidRDefault="00555BFB" w:rsidP="004D4361">
      <w:pPr>
        <w:spacing w:line="360" w:lineRule="auto"/>
        <w:jc w:val="both"/>
        <w:rPr>
          <w:lang w:val="tr-TR"/>
        </w:rPr>
      </w:pPr>
      <w:r w:rsidRPr="00CF336B">
        <w:rPr>
          <w:lang w:val="tr-TR"/>
        </w:rPr>
        <w:t xml:space="preserve">Rapor kapsamında incelenen ülkelerde arz güvenliğinin farklı yapılarla sağlanabileceği görülmüştür. Ülkelerin arz güvenliği kapsamında attığı adımlarda gelecek döneme dair </w:t>
      </w:r>
      <w:proofErr w:type="spellStart"/>
      <w:r w:rsidRPr="00CF336B">
        <w:rPr>
          <w:lang w:val="tr-TR"/>
        </w:rPr>
        <w:t>dekarbonizasyon</w:t>
      </w:r>
      <w:proofErr w:type="spellEnd"/>
      <w:r w:rsidRPr="00CF336B">
        <w:rPr>
          <w:lang w:val="tr-TR"/>
        </w:rPr>
        <w:t xml:space="preserve"> hedeflerini de gözettiği açıkça görülebilmektedir. Birçok ülke ve finansal kuruluş yeni kömür yatırımlarının yapılmayacağını </w:t>
      </w:r>
      <w:r w:rsidR="00174167" w:rsidRPr="00CF336B">
        <w:rPr>
          <w:lang w:val="tr-TR"/>
        </w:rPr>
        <w:t xml:space="preserve">ve bu yatırımların finanse edilmeyeceğini </w:t>
      </w:r>
      <w:r w:rsidRPr="00CF336B">
        <w:rPr>
          <w:lang w:val="tr-TR"/>
        </w:rPr>
        <w:t xml:space="preserve">açıkça beyan etmiştir. Özellikle iklim hedefleri doğrultusunda yenilenebilir enerji kaynaklarının sistemdeki payını artırmaya yönelik çabalar düşünüldüğünde arz güvenliğinin birçok açıdan değerlendirilmesi gerektiği sonucu ortaya çıkmaktadır. </w:t>
      </w:r>
      <w:r w:rsidR="00010AB5">
        <w:rPr>
          <w:lang w:val="tr-TR"/>
        </w:rPr>
        <w:t>Çalışma kapsamında Ulusal Enerji Eylem Planı’nda yer alan hedefler</w:t>
      </w:r>
      <w:r w:rsidR="00246773">
        <w:rPr>
          <w:lang w:val="tr-TR"/>
        </w:rPr>
        <w:t xml:space="preserve"> dikkate alınarak yapılan tahmin çalışmasında</w:t>
      </w:r>
      <w:r w:rsidR="00984CDC">
        <w:rPr>
          <w:lang w:val="tr-TR"/>
        </w:rPr>
        <w:t>,</w:t>
      </w:r>
      <w:r w:rsidR="00246773">
        <w:rPr>
          <w:lang w:val="tr-TR"/>
        </w:rPr>
        <w:t xml:space="preserve"> 2040 yılında 4 farklı gü</w:t>
      </w:r>
      <w:r w:rsidR="004344ED">
        <w:rPr>
          <w:lang w:val="tr-TR"/>
        </w:rPr>
        <w:t xml:space="preserve">n için </w:t>
      </w:r>
      <w:r w:rsidR="00246773">
        <w:rPr>
          <w:lang w:val="tr-TR"/>
        </w:rPr>
        <w:t>yenilenebilir ve nükleer üretim</w:t>
      </w:r>
      <w:r w:rsidR="008F47C7">
        <w:rPr>
          <w:lang w:val="tr-TR"/>
        </w:rPr>
        <w:t>in karşıladığı talepten kalan miktarın oldukça</w:t>
      </w:r>
      <w:r w:rsidR="0035096A">
        <w:rPr>
          <w:lang w:val="tr-TR"/>
        </w:rPr>
        <w:t xml:space="preserve"> düşük olduğu görülmektedir (</w:t>
      </w:r>
      <w:r w:rsidR="00D511E6">
        <w:rPr>
          <w:lang w:val="tr-TR"/>
        </w:rPr>
        <w:fldChar w:fldCharType="begin"/>
      </w:r>
      <w:r w:rsidR="00D511E6">
        <w:rPr>
          <w:lang w:val="tr-TR"/>
        </w:rPr>
        <w:instrText xml:space="preserve"> REF _Ref149135263 \h </w:instrText>
      </w:r>
      <w:r w:rsidR="00D511E6">
        <w:rPr>
          <w:lang w:val="tr-TR"/>
        </w:rPr>
      </w:r>
      <w:r w:rsidR="00D511E6">
        <w:rPr>
          <w:lang w:val="tr-TR"/>
        </w:rPr>
        <w:fldChar w:fldCharType="separate"/>
      </w:r>
      <w:r w:rsidR="00D511E6" w:rsidRPr="00CF336B">
        <w:rPr>
          <w:lang w:val="tr-TR"/>
        </w:rPr>
        <w:t xml:space="preserve">Şekil </w:t>
      </w:r>
      <w:r w:rsidR="00D511E6">
        <w:rPr>
          <w:noProof/>
          <w:lang w:val="tr-TR"/>
        </w:rPr>
        <w:t>38</w:t>
      </w:r>
      <w:r w:rsidR="00D511E6">
        <w:rPr>
          <w:lang w:val="tr-TR"/>
        </w:rPr>
        <w:fldChar w:fldCharType="end"/>
      </w:r>
      <w:r w:rsidR="00D511E6">
        <w:rPr>
          <w:lang w:val="tr-TR"/>
        </w:rPr>
        <w:t xml:space="preserve">, </w:t>
      </w:r>
      <w:r w:rsidR="00D511E6">
        <w:rPr>
          <w:lang w:val="tr-TR"/>
        </w:rPr>
        <w:fldChar w:fldCharType="begin"/>
      </w:r>
      <w:r w:rsidR="00D511E6">
        <w:rPr>
          <w:lang w:val="tr-TR"/>
        </w:rPr>
        <w:instrText xml:space="preserve"> REF _Ref149135273 \h </w:instrText>
      </w:r>
      <w:r w:rsidR="00D511E6">
        <w:rPr>
          <w:lang w:val="tr-TR"/>
        </w:rPr>
      </w:r>
      <w:r w:rsidR="00D511E6">
        <w:rPr>
          <w:lang w:val="tr-TR"/>
        </w:rPr>
        <w:fldChar w:fldCharType="separate"/>
      </w:r>
      <w:r w:rsidR="00D511E6" w:rsidRPr="00CF336B">
        <w:rPr>
          <w:lang w:val="tr-TR"/>
        </w:rPr>
        <w:t xml:space="preserve">Şekil </w:t>
      </w:r>
      <w:r w:rsidR="00D511E6">
        <w:rPr>
          <w:noProof/>
          <w:lang w:val="tr-TR"/>
        </w:rPr>
        <w:t>39</w:t>
      </w:r>
      <w:r w:rsidR="00D511E6">
        <w:rPr>
          <w:lang w:val="tr-TR"/>
        </w:rPr>
        <w:fldChar w:fldCharType="end"/>
      </w:r>
      <w:r w:rsidR="00D511E6">
        <w:rPr>
          <w:lang w:val="tr-TR"/>
        </w:rPr>
        <w:t xml:space="preserve">, </w:t>
      </w:r>
      <w:r w:rsidR="00D511E6">
        <w:rPr>
          <w:lang w:val="tr-TR"/>
        </w:rPr>
        <w:fldChar w:fldCharType="begin"/>
      </w:r>
      <w:r w:rsidR="00D511E6">
        <w:rPr>
          <w:lang w:val="tr-TR"/>
        </w:rPr>
        <w:instrText xml:space="preserve"> REF _Ref149135281 \h </w:instrText>
      </w:r>
      <w:r w:rsidR="00D511E6">
        <w:rPr>
          <w:lang w:val="tr-TR"/>
        </w:rPr>
      </w:r>
      <w:r w:rsidR="00D511E6">
        <w:rPr>
          <w:lang w:val="tr-TR"/>
        </w:rPr>
        <w:fldChar w:fldCharType="separate"/>
      </w:r>
      <w:r w:rsidR="00D511E6" w:rsidRPr="00CF336B">
        <w:rPr>
          <w:lang w:val="tr-TR"/>
        </w:rPr>
        <w:t xml:space="preserve">Şekil </w:t>
      </w:r>
      <w:r w:rsidR="00D511E6">
        <w:rPr>
          <w:noProof/>
          <w:lang w:val="tr-TR"/>
        </w:rPr>
        <w:t>40</w:t>
      </w:r>
      <w:r w:rsidR="00D511E6">
        <w:rPr>
          <w:lang w:val="tr-TR"/>
        </w:rPr>
        <w:fldChar w:fldCharType="end"/>
      </w:r>
      <w:r w:rsidR="00D511E6">
        <w:rPr>
          <w:lang w:val="tr-TR"/>
        </w:rPr>
        <w:t xml:space="preserve"> ve </w:t>
      </w:r>
      <w:r w:rsidR="00D511E6">
        <w:rPr>
          <w:lang w:val="tr-TR"/>
        </w:rPr>
        <w:fldChar w:fldCharType="begin"/>
      </w:r>
      <w:r w:rsidR="00D511E6">
        <w:rPr>
          <w:lang w:val="tr-TR"/>
        </w:rPr>
        <w:instrText xml:space="preserve"> REF _Ref149135290 \h </w:instrText>
      </w:r>
      <w:r w:rsidR="00D511E6">
        <w:rPr>
          <w:lang w:val="tr-TR"/>
        </w:rPr>
      </w:r>
      <w:r w:rsidR="00D511E6">
        <w:rPr>
          <w:lang w:val="tr-TR"/>
        </w:rPr>
        <w:fldChar w:fldCharType="separate"/>
      </w:r>
      <w:r w:rsidR="00D511E6" w:rsidRPr="00CF336B">
        <w:rPr>
          <w:lang w:val="tr-TR"/>
        </w:rPr>
        <w:t xml:space="preserve">Şekil </w:t>
      </w:r>
      <w:r w:rsidR="00D511E6">
        <w:rPr>
          <w:noProof/>
          <w:lang w:val="tr-TR"/>
        </w:rPr>
        <w:t>41</w:t>
      </w:r>
      <w:r w:rsidR="00D511E6">
        <w:rPr>
          <w:lang w:val="tr-TR"/>
        </w:rPr>
        <w:fldChar w:fldCharType="end"/>
      </w:r>
      <w:r w:rsidR="0035096A">
        <w:rPr>
          <w:lang w:val="tr-TR"/>
        </w:rPr>
        <w:t xml:space="preserve">). </w:t>
      </w:r>
      <w:r w:rsidR="002F6AB6">
        <w:rPr>
          <w:lang w:val="tr-TR"/>
        </w:rPr>
        <w:t xml:space="preserve">Gösterge niteliğinde seçilen bu dört gün içinde Nisan ayında </w:t>
      </w:r>
      <w:r w:rsidR="00DF397B">
        <w:rPr>
          <w:lang w:val="tr-TR"/>
        </w:rPr>
        <w:t xml:space="preserve">özellikle öğlen saatlerinde ardışık 6 saat boyunca arz fazlası durumu oluşmuştur. </w:t>
      </w:r>
      <w:r w:rsidR="00434301">
        <w:rPr>
          <w:lang w:val="tr-TR"/>
        </w:rPr>
        <w:t xml:space="preserve">Bu saatlerde toplam talebin </w:t>
      </w:r>
      <w:r w:rsidR="007213DC">
        <w:rPr>
          <w:lang w:val="tr-TR"/>
        </w:rPr>
        <w:t xml:space="preserve">%80 ile %100 arasında değişen kısmı yalnızca </w:t>
      </w:r>
      <w:proofErr w:type="gramStart"/>
      <w:r w:rsidR="007213DC">
        <w:rPr>
          <w:lang w:val="tr-TR"/>
        </w:rPr>
        <w:t>rüzgar</w:t>
      </w:r>
      <w:proofErr w:type="gramEnd"/>
      <w:r w:rsidR="007213DC">
        <w:rPr>
          <w:lang w:val="tr-TR"/>
        </w:rPr>
        <w:t xml:space="preserve"> ve güneş üretiminden karşılanmakta ve kimi saatlerde yalnızca bu kaynakların ürettiği toplam elektrik, toplam talebin üzerinde kalmaktadır. </w:t>
      </w:r>
      <w:r w:rsidR="00CD097E">
        <w:rPr>
          <w:lang w:val="tr-TR"/>
        </w:rPr>
        <w:t xml:space="preserve">Benzer durum </w:t>
      </w:r>
      <w:proofErr w:type="gramStart"/>
      <w:r w:rsidR="00CD097E">
        <w:rPr>
          <w:lang w:val="tr-TR"/>
        </w:rPr>
        <w:t>Temmuz</w:t>
      </w:r>
      <w:proofErr w:type="gramEnd"/>
      <w:r w:rsidR="00CD097E">
        <w:rPr>
          <w:lang w:val="tr-TR"/>
        </w:rPr>
        <w:t xml:space="preserve"> ayında da görülmekte ve yalnızca rüzgar ve güneş </w:t>
      </w:r>
      <w:r w:rsidR="00DC5872">
        <w:rPr>
          <w:lang w:val="tr-TR"/>
        </w:rPr>
        <w:t>enerjisi santrallerinde</w:t>
      </w:r>
      <w:r w:rsidR="00CD097E">
        <w:rPr>
          <w:lang w:val="tr-TR"/>
        </w:rPr>
        <w:t xml:space="preserve"> üretilen elektriğin toplam talebin üstünde kaldığı saat sayısı daha da fazla olmaktadır. </w:t>
      </w:r>
      <w:r w:rsidR="000772F0">
        <w:rPr>
          <w:lang w:val="tr-TR"/>
        </w:rPr>
        <w:t xml:space="preserve">Güneş </w:t>
      </w:r>
      <w:r w:rsidR="005A1C66">
        <w:rPr>
          <w:lang w:val="tr-TR"/>
        </w:rPr>
        <w:t>enerjisi üretiminin</w:t>
      </w:r>
      <w:r w:rsidR="000772F0">
        <w:rPr>
          <w:lang w:val="tr-TR"/>
        </w:rPr>
        <w:t xml:space="preserve"> nispeten düşük olduğu Ekim ve </w:t>
      </w:r>
      <w:proofErr w:type="gramStart"/>
      <w:r w:rsidR="000772F0">
        <w:rPr>
          <w:lang w:val="tr-TR"/>
        </w:rPr>
        <w:t>Aralık</w:t>
      </w:r>
      <w:proofErr w:type="gramEnd"/>
      <w:r w:rsidR="000772F0">
        <w:rPr>
          <w:lang w:val="tr-TR"/>
        </w:rPr>
        <w:t xml:space="preserve"> aylarında ise </w:t>
      </w:r>
      <w:r w:rsidR="008F4CC3">
        <w:rPr>
          <w:lang w:val="tr-TR"/>
        </w:rPr>
        <w:t xml:space="preserve">yenilenebilir enerji kaynaklarının toplam talebi karşılama oranı </w:t>
      </w:r>
      <w:r w:rsidR="001B3539">
        <w:rPr>
          <w:lang w:val="tr-TR"/>
        </w:rPr>
        <w:t xml:space="preserve">ardışık </w:t>
      </w:r>
      <w:r w:rsidR="005711AB">
        <w:rPr>
          <w:lang w:val="tr-TR"/>
        </w:rPr>
        <w:t xml:space="preserve">7 saat boyunca %70’in üzerindedir. Bu sayısal analize dayanarak, depolamalı </w:t>
      </w:r>
      <w:proofErr w:type="gramStart"/>
      <w:r w:rsidR="005711AB">
        <w:rPr>
          <w:lang w:val="tr-TR"/>
        </w:rPr>
        <w:t>rüzgar</w:t>
      </w:r>
      <w:proofErr w:type="gramEnd"/>
      <w:r w:rsidR="005711AB">
        <w:rPr>
          <w:lang w:val="tr-TR"/>
        </w:rPr>
        <w:t xml:space="preserve"> ve güneş yatırımları dışarıda bırakıldığında dahi, kesintili üretim kaynaklarının sistemdeki payının </w:t>
      </w:r>
      <w:r w:rsidR="003A2646">
        <w:rPr>
          <w:lang w:val="tr-TR"/>
        </w:rPr>
        <w:t xml:space="preserve">artması ile </w:t>
      </w:r>
      <w:r w:rsidR="00627D6A">
        <w:rPr>
          <w:lang w:val="tr-TR"/>
        </w:rPr>
        <w:t>uzun açma-kapama süresi</w:t>
      </w:r>
      <w:r w:rsidR="00B2101E">
        <w:rPr>
          <w:lang w:val="tr-TR"/>
        </w:rPr>
        <w:t>ne</w:t>
      </w:r>
      <w:r w:rsidR="00627D6A">
        <w:rPr>
          <w:lang w:val="tr-TR"/>
        </w:rPr>
        <w:t xml:space="preserve"> ve maliyetine sahip santrallerin</w:t>
      </w:r>
      <w:r w:rsidR="00DC5872">
        <w:rPr>
          <w:lang w:val="tr-TR"/>
        </w:rPr>
        <w:t xml:space="preserve">, bu arz-talep dengesinde sürekli üretim yapacak şekilde sistemde </w:t>
      </w:r>
      <w:r w:rsidR="00627D6A">
        <w:rPr>
          <w:lang w:val="tr-TR"/>
        </w:rPr>
        <w:t xml:space="preserve">kalmasının zorlaştığı sonucuna varılmaktadır. </w:t>
      </w:r>
    </w:p>
    <w:p w14:paraId="0F0A2B73" w14:textId="3BCA7F4C" w:rsidR="00555BFB" w:rsidRPr="00CF336B" w:rsidRDefault="00675C8D" w:rsidP="004D4361">
      <w:pPr>
        <w:spacing w:line="360" w:lineRule="auto"/>
        <w:jc w:val="both"/>
        <w:rPr>
          <w:lang w:val="tr-TR"/>
        </w:rPr>
      </w:pPr>
      <w:r>
        <w:rPr>
          <w:lang w:val="tr-TR"/>
        </w:rPr>
        <w:t>Y</w:t>
      </w:r>
      <w:r w:rsidR="00FD24F5">
        <w:rPr>
          <w:lang w:val="tr-TR"/>
        </w:rPr>
        <w:t xml:space="preserve">enilenebilir enerji santrallerinin </w:t>
      </w:r>
      <w:r w:rsidR="009F1B48">
        <w:rPr>
          <w:lang w:val="tr-TR"/>
        </w:rPr>
        <w:t>kurulmasındaki temel motivasyonun net sıfır hedeflerinin sağlanması olduğu düşünüldüğünde sistemde kalacak ve yeni kurulacak santraller için hangi teknolojilere ağırlık verileceği konusu oldukça önem arz etmektedir.</w:t>
      </w:r>
      <w:r w:rsidR="007522C2">
        <w:rPr>
          <w:lang w:val="tr-TR"/>
        </w:rPr>
        <w:t xml:space="preserve"> </w:t>
      </w:r>
      <w:r w:rsidR="00DC5872">
        <w:rPr>
          <w:lang w:val="tr-TR"/>
        </w:rPr>
        <w:t xml:space="preserve">Bu açıdan incelenen </w:t>
      </w:r>
      <w:r w:rsidR="005A1C66">
        <w:rPr>
          <w:lang w:val="tr-TR"/>
        </w:rPr>
        <w:t>farklı ülkeler</w:t>
      </w:r>
      <w:r w:rsidR="00E00FC1">
        <w:rPr>
          <w:lang w:val="tr-TR"/>
        </w:rPr>
        <w:t>de kapasite mekanizmasının</w:t>
      </w:r>
      <w:r w:rsidR="00B456E6">
        <w:rPr>
          <w:lang w:val="tr-TR"/>
        </w:rPr>
        <w:t>,</w:t>
      </w:r>
      <w:r w:rsidR="00E00FC1">
        <w:rPr>
          <w:lang w:val="tr-TR"/>
        </w:rPr>
        <w:t xml:space="preserve"> </w:t>
      </w:r>
      <w:r w:rsidR="00751094">
        <w:rPr>
          <w:lang w:val="tr-TR"/>
        </w:rPr>
        <w:t xml:space="preserve">esnek ve emre </w:t>
      </w:r>
      <w:proofErr w:type="spellStart"/>
      <w:r w:rsidR="00751094">
        <w:rPr>
          <w:lang w:val="tr-TR"/>
        </w:rPr>
        <w:t>amade</w:t>
      </w:r>
      <w:r w:rsidR="00DC5872">
        <w:rPr>
          <w:lang w:val="tr-TR"/>
        </w:rPr>
        <w:t>liği</w:t>
      </w:r>
      <w:proofErr w:type="spellEnd"/>
      <w:r w:rsidR="00DC5872">
        <w:rPr>
          <w:lang w:val="tr-TR"/>
        </w:rPr>
        <w:t xml:space="preserve"> yüksek</w:t>
      </w:r>
      <w:r w:rsidR="00751094">
        <w:rPr>
          <w:lang w:val="tr-TR"/>
        </w:rPr>
        <w:t xml:space="preserve"> </w:t>
      </w:r>
      <w:r w:rsidR="007522C2">
        <w:rPr>
          <w:lang w:val="tr-TR"/>
        </w:rPr>
        <w:t>santraller</w:t>
      </w:r>
      <w:r w:rsidR="00E00FC1">
        <w:rPr>
          <w:lang w:val="tr-TR"/>
        </w:rPr>
        <w:t>in sistemde kalması ve yeni santrallerin yapılması</w:t>
      </w:r>
      <w:r w:rsidR="007522C2">
        <w:rPr>
          <w:lang w:val="tr-TR"/>
        </w:rPr>
        <w:t xml:space="preserve"> için </w:t>
      </w:r>
      <w:r w:rsidR="00DC5872">
        <w:rPr>
          <w:lang w:val="tr-TR"/>
        </w:rPr>
        <w:t>verilen kapasite ödemelerinin bu santrallerin gelirlerinde önemli bir yer tuttuğu</w:t>
      </w:r>
      <w:r w:rsidR="00CB1F82">
        <w:rPr>
          <w:lang w:val="tr-TR"/>
        </w:rPr>
        <w:t xml:space="preserve"> görülmektedir. </w:t>
      </w:r>
      <w:r w:rsidR="00850715">
        <w:rPr>
          <w:lang w:val="tr-TR"/>
        </w:rPr>
        <w:t xml:space="preserve">Halihazırda 2018 yılından </w:t>
      </w:r>
      <w:r w:rsidR="00DC5872">
        <w:rPr>
          <w:lang w:val="tr-TR"/>
        </w:rPr>
        <w:t>bu yana</w:t>
      </w:r>
      <w:r w:rsidR="00850715">
        <w:rPr>
          <w:lang w:val="tr-TR"/>
        </w:rPr>
        <w:t xml:space="preserve"> Türkiye’de de uygulanan kapasite mekanizmasının </w:t>
      </w:r>
      <w:r w:rsidR="00850715" w:rsidRPr="00CF336B">
        <w:rPr>
          <w:lang w:val="tr-TR"/>
        </w:rPr>
        <w:t>yöntem</w:t>
      </w:r>
      <w:r w:rsidR="00555BFB" w:rsidRPr="00CF336B">
        <w:rPr>
          <w:lang w:val="tr-TR"/>
        </w:rPr>
        <w:t xml:space="preserve"> ve uygulama biçiminin</w:t>
      </w:r>
      <w:r w:rsidR="00850715">
        <w:rPr>
          <w:lang w:val="tr-TR"/>
        </w:rPr>
        <w:t xml:space="preserve"> bu doğrultuda</w:t>
      </w:r>
      <w:r w:rsidR="00555BFB" w:rsidRPr="00CF336B">
        <w:rPr>
          <w:lang w:val="tr-TR"/>
        </w:rPr>
        <w:t xml:space="preserve"> güncellenmesi </w:t>
      </w:r>
      <w:r w:rsidR="00DC5872">
        <w:rPr>
          <w:lang w:val="tr-TR"/>
        </w:rPr>
        <w:t>önerilmektedi</w:t>
      </w:r>
      <w:r w:rsidR="005A1C66">
        <w:rPr>
          <w:lang w:val="tr-TR"/>
        </w:rPr>
        <w:t>r</w:t>
      </w:r>
      <w:r w:rsidR="00555BFB" w:rsidRPr="00CF336B">
        <w:rPr>
          <w:lang w:val="tr-TR"/>
        </w:rPr>
        <w:t xml:space="preserve">. </w:t>
      </w:r>
    </w:p>
    <w:p w14:paraId="1431A4F6" w14:textId="0CC5F2ED" w:rsidR="00555BFB" w:rsidRPr="00CF336B" w:rsidRDefault="00DC5872" w:rsidP="004D4361">
      <w:pPr>
        <w:spacing w:line="360" w:lineRule="auto"/>
        <w:jc w:val="both"/>
        <w:rPr>
          <w:lang w:val="tr-TR"/>
        </w:rPr>
      </w:pPr>
      <w:r>
        <w:rPr>
          <w:lang w:val="tr-TR"/>
        </w:rPr>
        <w:t>Gelecek dönem için önerilen</w:t>
      </w:r>
      <w:r w:rsidR="005A1C66">
        <w:rPr>
          <w:lang w:val="tr-TR"/>
        </w:rPr>
        <w:t xml:space="preserve"> </w:t>
      </w:r>
      <w:r w:rsidR="00555BFB" w:rsidRPr="00CF336B">
        <w:rPr>
          <w:lang w:val="tr-TR"/>
        </w:rPr>
        <w:t>kapasite mekanizması yapısı</w:t>
      </w:r>
      <w:r>
        <w:rPr>
          <w:lang w:val="tr-TR"/>
        </w:rPr>
        <w:t>na ilişkin temel koşullar aşağıda detaylandırılmıştır.</w:t>
      </w:r>
    </w:p>
    <w:p w14:paraId="25253905" w14:textId="543E3435" w:rsidR="00DC5872" w:rsidRPr="00B6790D" w:rsidRDefault="00A447BE" w:rsidP="00DC5872">
      <w:pPr>
        <w:pStyle w:val="ListParagraph"/>
        <w:numPr>
          <w:ilvl w:val="0"/>
          <w:numId w:val="25"/>
        </w:numPr>
        <w:spacing w:line="360" w:lineRule="auto"/>
        <w:jc w:val="both"/>
        <w:rPr>
          <w:lang w:val="tr-TR"/>
        </w:rPr>
      </w:pPr>
      <w:r>
        <w:rPr>
          <w:b/>
          <w:bCs/>
          <w:lang w:val="tr-TR"/>
        </w:rPr>
        <w:t>G</w:t>
      </w:r>
      <w:r w:rsidR="00DC5872" w:rsidRPr="00CF336B">
        <w:rPr>
          <w:b/>
          <w:bCs/>
          <w:lang w:val="tr-TR"/>
        </w:rPr>
        <w:t>elecek dönem</w:t>
      </w:r>
      <w:r>
        <w:rPr>
          <w:b/>
          <w:bCs/>
          <w:lang w:val="tr-TR"/>
        </w:rPr>
        <w:t>lere ilişkin gereksinimler detaylıca belirlenmelidir:</w:t>
      </w:r>
      <w:r w:rsidR="00DC5872" w:rsidRPr="00CF336B">
        <w:rPr>
          <w:b/>
          <w:bCs/>
          <w:lang w:val="tr-TR"/>
        </w:rPr>
        <w:t xml:space="preserve"> </w:t>
      </w:r>
      <w:r w:rsidR="00270999">
        <w:rPr>
          <w:lang w:val="tr-TR"/>
        </w:rPr>
        <w:t>İhale edilecek k</w:t>
      </w:r>
      <w:r w:rsidR="00DC5872" w:rsidRPr="00CF336B">
        <w:rPr>
          <w:lang w:val="tr-TR"/>
        </w:rPr>
        <w:t>apasite</w:t>
      </w:r>
      <w:r w:rsidR="00270999">
        <w:rPr>
          <w:lang w:val="tr-TR"/>
        </w:rPr>
        <w:t xml:space="preserve"> için gereksinimler </w:t>
      </w:r>
      <w:r w:rsidR="00FA4A3E">
        <w:rPr>
          <w:lang w:val="tr-TR"/>
        </w:rPr>
        <w:t xml:space="preserve">belirlenmeli ve bu gereksinime göre ihale kapasitesi açıklanmalıdır. </w:t>
      </w:r>
      <w:r w:rsidR="00EB367A">
        <w:rPr>
          <w:lang w:val="tr-TR"/>
        </w:rPr>
        <w:t xml:space="preserve">Bu amaç doğrultusunda öncelikli olarak toplam elektrik talebi ihtiyacı </w:t>
      </w:r>
      <w:r w:rsidR="002E080A">
        <w:rPr>
          <w:lang w:val="tr-TR"/>
        </w:rPr>
        <w:t xml:space="preserve">dönemsel olarak belirlenmeli </w:t>
      </w:r>
      <w:r w:rsidR="00EB367A">
        <w:rPr>
          <w:lang w:val="tr-TR"/>
        </w:rPr>
        <w:t xml:space="preserve">ve mevcutta </w:t>
      </w:r>
      <w:r w:rsidR="002E080A">
        <w:rPr>
          <w:lang w:val="tr-TR"/>
        </w:rPr>
        <w:t>projesi/</w:t>
      </w:r>
      <w:r w:rsidR="00EB367A">
        <w:rPr>
          <w:lang w:val="tr-TR"/>
        </w:rPr>
        <w:t>inşası devam eden enerji yatırımları</w:t>
      </w:r>
      <w:r w:rsidR="002E080A">
        <w:rPr>
          <w:lang w:val="tr-TR"/>
        </w:rPr>
        <w:t xml:space="preserve">nın bu talep ihtiyacını karşılama durumu tespit edilmelidir. </w:t>
      </w:r>
      <w:r w:rsidR="00706BEE">
        <w:rPr>
          <w:lang w:val="tr-TR"/>
        </w:rPr>
        <w:t xml:space="preserve"> </w:t>
      </w:r>
      <w:r w:rsidR="000E564D">
        <w:rPr>
          <w:lang w:val="tr-TR"/>
        </w:rPr>
        <w:t>Böylelikle ihale edilecek kapasite</w:t>
      </w:r>
      <w:r w:rsidR="00064D2E">
        <w:rPr>
          <w:lang w:val="tr-TR"/>
        </w:rPr>
        <w:t>,</w:t>
      </w:r>
      <w:r w:rsidR="000E564D">
        <w:rPr>
          <w:lang w:val="tr-TR"/>
        </w:rPr>
        <w:t xml:space="preserve"> arz güvenliğini ve </w:t>
      </w:r>
      <w:r w:rsidR="00064D2E">
        <w:rPr>
          <w:lang w:val="tr-TR"/>
        </w:rPr>
        <w:t xml:space="preserve">sistem esnekliği için gerekli emre </w:t>
      </w:r>
      <w:proofErr w:type="spellStart"/>
      <w:r w:rsidR="00064D2E">
        <w:rPr>
          <w:lang w:val="tr-TR"/>
        </w:rPr>
        <w:t>amadeliği</w:t>
      </w:r>
      <w:proofErr w:type="spellEnd"/>
      <w:r w:rsidR="00064D2E">
        <w:rPr>
          <w:lang w:val="tr-TR"/>
        </w:rPr>
        <w:t xml:space="preserve"> sağlayacak bir seviyede belirlenmiş olacaktır.</w:t>
      </w:r>
    </w:p>
    <w:p w14:paraId="4F921E19" w14:textId="01D8D620" w:rsidR="00555BFB" w:rsidRDefault="00DC5872" w:rsidP="004D4361">
      <w:pPr>
        <w:pStyle w:val="ListParagraph"/>
        <w:numPr>
          <w:ilvl w:val="0"/>
          <w:numId w:val="25"/>
        </w:numPr>
        <w:spacing w:line="360" w:lineRule="auto"/>
        <w:jc w:val="both"/>
        <w:rPr>
          <w:lang w:val="tr-TR"/>
        </w:rPr>
      </w:pPr>
      <w:r>
        <w:rPr>
          <w:b/>
          <w:bCs/>
          <w:lang w:val="tr-TR"/>
        </w:rPr>
        <w:t>Kapasite mekanizmasına katılım i</w:t>
      </w:r>
      <w:r w:rsidRPr="00CF336B">
        <w:rPr>
          <w:b/>
          <w:bCs/>
          <w:lang w:val="tr-TR"/>
        </w:rPr>
        <w:t xml:space="preserve">hale </w:t>
      </w:r>
      <w:r w:rsidR="00555BFB" w:rsidRPr="00CF336B">
        <w:rPr>
          <w:b/>
          <w:bCs/>
          <w:lang w:val="tr-TR"/>
        </w:rPr>
        <w:t xml:space="preserve">yöntemiyle </w:t>
      </w:r>
      <w:r>
        <w:rPr>
          <w:b/>
          <w:bCs/>
          <w:lang w:val="tr-TR"/>
        </w:rPr>
        <w:t xml:space="preserve">gerçekleştirilmedir: </w:t>
      </w:r>
      <w:r w:rsidR="00555BFB" w:rsidRPr="00CF336B">
        <w:rPr>
          <w:lang w:val="tr-TR"/>
        </w:rPr>
        <w:t>Arz ve sistem güvenliğini sağlamak üzere gerekli olan emre amade kapasite için ihale yöntemine geçilmesi şeffaflık ve rekabet ortamı yaratacaktır.</w:t>
      </w:r>
    </w:p>
    <w:p w14:paraId="554D8A11" w14:textId="4C573836" w:rsidR="00B119E3" w:rsidRDefault="00CF4197" w:rsidP="00CF4197">
      <w:pPr>
        <w:pStyle w:val="ListParagraph"/>
        <w:numPr>
          <w:ilvl w:val="0"/>
          <w:numId w:val="25"/>
        </w:numPr>
        <w:spacing w:line="360" w:lineRule="auto"/>
        <w:jc w:val="both"/>
        <w:rPr>
          <w:lang w:val="tr-TR"/>
        </w:rPr>
      </w:pPr>
      <w:r w:rsidRPr="00CF4197">
        <w:rPr>
          <w:b/>
          <w:bCs/>
          <w:lang w:val="tr-TR"/>
        </w:rPr>
        <w:t>İhaleler bölgesel olarak yapılma</w:t>
      </w:r>
      <w:r w:rsidR="00D17F7D">
        <w:rPr>
          <w:b/>
          <w:bCs/>
          <w:lang w:val="tr-TR"/>
        </w:rPr>
        <w:t>l</w:t>
      </w:r>
      <w:r w:rsidRPr="00CF4197">
        <w:rPr>
          <w:b/>
          <w:bCs/>
          <w:lang w:val="tr-TR"/>
        </w:rPr>
        <w:t>ı</w:t>
      </w:r>
      <w:r w:rsidR="00D17F7D">
        <w:rPr>
          <w:b/>
          <w:bCs/>
          <w:lang w:val="tr-TR"/>
        </w:rPr>
        <w:t>dır:</w:t>
      </w:r>
      <w:r w:rsidRPr="00CF4197">
        <w:rPr>
          <w:lang w:val="tr-TR"/>
        </w:rPr>
        <w:t xml:space="preserve"> Dağıtılacak kapasitenin lokasyona, bölgenin talep ve kurulu güc</w:t>
      </w:r>
      <w:r w:rsidR="00DC5872">
        <w:rPr>
          <w:lang w:val="tr-TR"/>
        </w:rPr>
        <w:t>üne</w:t>
      </w:r>
      <w:r w:rsidRPr="00CF4197">
        <w:rPr>
          <w:lang w:val="tr-TR"/>
        </w:rPr>
        <w:t xml:space="preserve"> göre belirlenmesi ve ihtiyaç duyulan noktalardaki arzın artırılması sağlanmalıdır.</w:t>
      </w:r>
    </w:p>
    <w:p w14:paraId="10181863" w14:textId="0C3B5709" w:rsidR="00B6790D" w:rsidRPr="00CF336B" w:rsidRDefault="00B119E3" w:rsidP="00CF4197">
      <w:pPr>
        <w:pStyle w:val="ListParagraph"/>
        <w:numPr>
          <w:ilvl w:val="0"/>
          <w:numId w:val="25"/>
        </w:numPr>
        <w:spacing w:line="360" w:lineRule="auto"/>
        <w:jc w:val="both"/>
        <w:rPr>
          <w:lang w:val="tr-TR"/>
        </w:rPr>
      </w:pPr>
      <w:r w:rsidRPr="009C4C8B">
        <w:rPr>
          <w:b/>
          <w:bCs/>
          <w:lang w:val="tr-TR"/>
        </w:rPr>
        <w:t>Piyasalarda serbest piyasa koşulları oluşturulmalı ve santrallerin gelirlerini piyasalardan sağlayabilmelerinin önü açılmalıdır:</w:t>
      </w:r>
      <w:r>
        <w:rPr>
          <w:lang w:val="tr-TR"/>
        </w:rPr>
        <w:t xml:space="preserve"> Santrallerin üretimlerine ilişkin gelirlerini rekabetin oluştuğu serbest piyasa koşullarında kazanmaları sağlanmalıdır. Böylelikle kapasite mekanizmasının santrallerin kayıp para problemini çözmek için kullanılmasının önüne geçilmelidir. </w:t>
      </w:r>
    </w:p>
    <w:p w14:paraId="33998FC8" w14:textId="2D32BE12" w:rsidR="00555BFB" w:rsidRDefault="00555BFB" w:rsidP="004D4361">
      <w:pPr>
        <w:pStyle w:val="ListParagraph"/>
        <w:numPr>
          <w:ilvl w:val="0"/>
          <w:numId w:val="25"/>
        </w:numPr>
        <w:spacing w:line="360" w:lineRule="auto"/>
        <w:jc w:val="both"/>
        <w:rPr>
          <w:lang w:val="tr-TR"/>
        </w:rPr>
      </w:pPr>
      <w:r w:rsidRPr="00CF336B">
        <w:rPr>
          <w:b/>
          <w:bCs/>
          <w:lang w:val="tr-TR"/>
        </w:rPr>
        <w:t>Kapasiteler mevcut ve yeni yatırımlar için olmak üzere ikiye ayrılma</w:t>
      </w:r>
      <w:r w:rsidR="00D17F7D">
        <w:rPr>
          <w:b/>
          <w:bCs/>
          <w:lang w:val="tr-TR"/>
        </w:rPr>
        <w:t>lıdır:</w:t>
      </w:r>
      <w:r w:rsidRPr="00CF336B">
        <w:rPr>
          <w:b/>
          <w:bCs/>
          <w:lang w:val="tr-TR"/>
        </w:rPr>
        <w:t xml:space="preserve"> </w:t>
      </w:r>
      <w:r w:rsidRPr="00CF336B">
        <w:rPr>
          <w:lang w:val="tr-TR"/>
        </w:rPr>
        <w:t xml:space="preserve">İhale edilecek kapasiteler için halihazırda var olan ve yeni yapılacak santraller açısından ayrım yapılmalıdır. </w:t>
      </w:r>
      <w:r w:rsidR="00174167" w:rsidRPr="00CF336B">
        <w:rPr>
          <w:lang w:val="tr-TR"/>
        </w:rPr>
        <w:t>TEİAŞ halihazırda beş yıllık periyotlar için tahmin yapmakta ve bunları kamuya açık bir şekilde paylaşmaktadır. Bu ihtiyaç doğrultusunda m</w:t>
      </w:r>
      <w:r w:rsidRPr="00CF336B">
        <w:rPr>
          <w:lang w:val="tr-TR"/>
        </w:rPr>
        <w:t xml:space="preserve">evcutta var olan santrallere emre </w:t>
      </w:r>
      <w:proofErr w:type="spellStart"/>
      <w:r w:rsidRPr="00CF336B">
        <w:rPr>
          <w:lang w:val="tr-TR"/>
        </w:rPr>
        <w:t>amadeliklerini</w:t>
      </w:r>
      <w:proofErr w:type="spellEnd"/>
      <w:r w:rsidRPr="00CF336B">
        <w:rPr>
          <w:lang w:val="tr-TR"/>
        </w:rPr>
        <w:t xml:space="preserve"> sürdürmeleri</w:t>
      </w:r>
      <w:r w:rsidR="00782A02">
        <w:rPr>
          <w:lang w:val="tr-TR"/>
        </w:rPr>
        <w:t>ne</w:t>
      </w:r>
      <w:r w:rsidRPr="00CF336B">
        <w:rPr>
          <w:lang w:val="tr-TR"/>
        </w:rPr>
        <w:t xml:space="preserve"> ve yeni santrallere ise yatırım sağlayabilmelerine olanak sağlayan bir yapının kurulması gerekmektedir.</w:t>
      </w:r>
      <w:r w:rsidR="00115300">
        <w:rPr>
          <w:lang w:val="tr-TR"/>
        </w:rPr>
        <w:t xml:space="preserve"> </w:t>
      </w:r>
      <w:r w:rsidR="00371CA5">
        <w:rPr>
          <w:lang w:val="tr-TR"/>
        </w:rPr>
        <w:t>Yeni yatırımların yapılabilmesine olanak sağlayacak bir kapasite mekanizması yapısı oluşturulurken</w:t>
      </w:r>
      <w:r w:rsidR="004D197D">
        <w:rPr>
          <w:lang w:val="tr-TR"/>
        </w:rPr>
        <w:t xml:space="preserve"> ülkenin net sıfır hedefleri de gözetilerek</w:t>
      </w:r>
      <w:r w:rsidR="00371CA5" w:rsidRPr="004D197D">
        <w:rPr>
          <w:lang w:val="tr-TR"/>
        </w:rPr>
        <w:t xml:space="preserve"> </w:t>
      </w:r>
      <w:r w:rsidR="00A61B0C">
        <w:rPr>
          <w:lang w:val="tr-TR"/>
        </w:rPr>
        <w:t xml:space="preserve">ihale şartlarında </w:t>
      </w:r>
      <w:r w:rsidR="00371CA5" w:rsidRPr="004D197D">
        <w:rPr>
          <w:lang w:val="tr-TR"/>
        </w:rPr>
        <w:t>teknoloji</w:t>
      </w:r>
      <w:r w:rsidR="005536E7" w:rsidRPr="004D197D">
        <w:rPr>
          <w:lang w:val="tr-TR"/>
        </w:rPr>
        <w:t>, verimlilik</w:t>
      </w:r>
      <w:r w:rsidR="00371CA5" w:rsidRPr="004D197D">
        <w:rPr>
          <w:lang w:val="tr-TR"/>
        </w:rPr>
        <w:t xml:space="preserve"> ve emisyon kısıtı</w:t>
      </w:r>
      <w:r w:rsidR="00455443">
        <w:rPr>
          <w:lang w:val="tr-TR"/>
        </w:rPr>
        <w:t xml:space="preserve"> da dikkate alınmalıdır</w:t>
      </w:r>
      <w:r w:rsidR="004D197D">
        <w:rPr>
          <w:lang w:val="tr-TR"/>
        </w:rPr>
        <w:t>.</w:t>
      </w:r>
      <w:r w:rsidR="00455443">
        <w:rPr>
          <w:lang w:val="tr-TR"/>
        </w:rPr>
        <w:t xml:space="preserve"> Bu doğrultuda </w:t>
      </w:r>
      <w:r w:rsidR="0081531C">
        <w:rPr>
          <w:lang w:val="tr-TR"/>
        </w:rPr>
        <w:t xml:space="preserve">kapasite mekanizması ödemesi yapılacak yeni </w:t>
      </w:r>
      <w:r w:rsidR="00E1684D">
        <w:rPr>
          <w:lang w:val="tr-TR"/>
        </w:rPr>
        <w:t>santrallerin</w:t>
      </w:r>
      <w:r w:rsidR="00B04B97">
        <w:rPr>
          <w:lang w:val="tr-TR"/>
        </w:rPr>
        <w:t>,</w:t>
      </w:r>
      <w:r w:rsidR="00844A51">
        <w:rPr>
          <w:lang w:val="tr-TR"/>
        </w:rPr>
        <w:t xml:space="preserve"> ülkenin arz güvenliğine hizmet </w:t>
      </w:r>
      <w:r w:rsidR="009C4D93">
        <w:rPr>
          <w:lang w:val="tr-TR"/>
        </w:rPr>
        <w:t>ederken</w:t>
      </w:r>
      <w:r w:rsidR="00844A51">
        <w:rPr>
          <w:lang w:val="tr-TR"/>
        </w:rPr>
        <w:t xml:space="preserve"> </w:t>
      </w:r>
      <w:r w:rsidR="00780940">
        <w:rPr>
          <w:lang w:val="tr-TR"/>
        </w:rPr>
        <w:t xml:space="preserve">iklim değişikliği hedeflerini de </w:t>
      </w:r>
      <w:r w:rsidR="009C4D93">
        <w:rPr>
          <w:lang w:val="tr-TR"/>
        </w:rPr>
        <w:t>sağlayan</w:t>
      </w:r>
      <w:r w:rsidR="00780940">
        <w:rPr>
          <w:lang w:val="tr-TR"/>
        </w:rPr>
        <w:t xml:space="preserve"> </w:t>
      </w:r>
      <w:r w:rsidR="00BF1C2A">
        <w:rPr>
          <w:lang w:val="tr-TR"/>
        </w:rPr>
        <w:t>teknolojiler</w:t>
      </w:r>
      <w:r w:rsidR="00391AF1">
        <w:rPr>
          <w:lang w:val="tr-TR"/>
        </w:rPr>
        <w:t>i kullanan santrallerden</w:t>
      </w:r>
      <w:r w:rsidR="00BF1C2A">
        <w:rPr>
          <w:lang w:val="tr-TR"/>
        </w:rPr>
        <w:t xml:space="preserve"> seçilmesi önerilmektedir. </w:t>
      </w:r>
    </w:p>
    <w:p w14:paraId="4725ADEC" w14:textId="2494AC6A" w:rsidR="00CF4197" w:rsidRDefault="00CF4197" w:rsidP="00CF4197">
      <w:pPr>
        <w:pStyle w:val="ListParagraph"/>
        <w:numPr>
          <w:ilvl w:val="0"/>
          <w:numId w:val="25"/>
        </w:numPr>
        <w:spacing w:line="360" w:lineRule="auto"/>
        <w:jc w:val="both"/>
        <w:rPr>
          <w:lang w:val="tr-TR"/>
        </w:rPr>
      </w:pPr>
      <w:r w:rsidRPr="00CF336B">
        <w:rPr>
          <w:b/>
          <w:bCs/>
          <w:lang w:val="tr-TR"/>
        </w:rPr>
        <w:t>İhaleye katılacak santraller için teknoloji kısıtı koyulmama</w:t>
      </w:r>
      <w:r w:rsidR="00D17F7D">
        <w:rPr>
          <w:b/>
          <w:bCs/>
          <w:lang w:val="tr-TR"/>
        </w:rPr>
        <w:t>l</w:t>
      </w:r>
      <w:r w:rsidRPr="00CF336B">
        <w:rPr>
          <w:b/>
          <w:bCs/>
          <w:lang w:val="tr-TR"/>
        </w:rPr>
        <w:t>ı</w:t>
      </w:r>
      <w:r w:rsidR="00D17F7D">
        <w:rPr>
          <w:b/>
          <w:bCs/>
          <w:lang w:val="tr-TR"/>
        </w:rPr>
        <w:t>dır:</w:t>
      </w:r>
      <w:r w:rsidRPr="00CF336B">
        <w:rPr>
          <w:lang w:val="tr-TR"/>
        </w:rPr>
        <w:t xml:space="preserve"> Merkezi otorite tarafından açıklanan bölgesel arz ihtiyacı için teknoloji kısıtı koyulmamalıdır. Böylelikle ihtiyacın olduğu bölgede var olan kaynak önüne engel koyulmayacaktır. İhaleyi kazanan tüzel kişi teknolojiden bağımsız olarak arz güvenliği için taahhüt ettiği kapasiteden sorumlu olacaktır. </w:t>
      </w:r>
      <w:r>
        <w:rPr>
          <w:lang w:val="tr-TR"/>
        </w:rPr>
        <w:t xml:space="preserve">Özellikle küresel ölçekte artan elektrik arzının büyük kısmını oluşturan yenilenebilir enerji kaynaklarının da mekanizma kapsamına alınması önerilmektedir. İngiltere örneği dikkate alınarak yenilenebilir enerji kaynakları için bir </w:t>
      </w:r>
      <w:r w:rsidRPr="009C4C8B">
        <w:rPr>
          <w:i/>
          <w:iCs/>
          <w:lang w:val="tr-TR"/>
        </w:rPr>
        <w:t xml:space="preserve">de-rating </w:t>
      </w:r>
      <w:r>
        <w:rPr>
          <w:lang w:val="tr-TR"/>
        </w:rPr>
        <w:t xml:space="preserve">oran belirlenebilir ve bu kaynaklar için </w:t>
      </w:r>
      <w:r w:rsidRPr="009C4C8B">
        <w:rPr>
          <w:i/>
          <w:iCs/>
          <w:lang w:val="tr-TR"/>
        </w:rPr>
        <w:t>de-rating</w:t>
      </w:r>
      <w:r>
        <w:rPr>
          <w:lang w:val="tr-TR"/>
        </w:rPr>
        <w:t xml:space="preserve"> oranıyla hesaplanan güvenilir kapasite mekanizma kapsamına alınabilir.</w:t>
      </w:r>
    </w:p>
    <w:p w14:paraId="5DC4154E" w14:textId="2AE7E41D" w:rsidR="00D17F7D" w:rsidRDefault="00D17F7D" w:rsidP="00D17F7D">
      <w:pPr>
        <w:pStyle w:val="ListParagraph"/>
        <w:numPr>
          <w:ilvl w:val="0"/>
          <w:numId w:val="25"/>
        </w:numPr>
        <w:spacing w:line="360" w:lineRule="auto"/>
        <w:jc w:val="both"/>
        <w:rPr>
          <w:lang w:val="tr-TR"/>
        </w:rPr>
      </w:pPr>
      <w:r w:rsidRPr="0090275F">
        <w:rPr>
          <w:b/>
          <w:bCs/>
          <w:lang w:val="tr-TR"/>
        </w:rPr>
        <w:t xml:space="preserve">Depolamalı </w:t>
      </w:r>
      <w:proofErr w:type="gramStart"/>
      <w:r w:rsidRPr="0090275F">
        <w:rPr>
          <w:b/>
          <w:bCs/>
          <w:lang w:val="tr-TR"/>
        </w:rPr>
        <w:t>rüzgar</w:t>
      </w:r>
      <w:proofErr w:type="gramEnd"/>
      <w:r w:rsidRPr="0090275F">
        <w:rPr>
          <w:b/>
          <w:bCs/>
          <w:lang w:val="tr-TR"/>
        </w:rPr>
        <w:t xml:space="preserve"> ve güneş kurulumlarından gelecek depolama kapasitesinin de</w:t>
      </w:r>
      <w:r>
        <w:rPr>
          <w:b/>
          <w:bCs/>
          <w:lang w:val="tr-TR"/>
        </w:rPr>
        <w:t xml:space="preserve"> arz güvenliği açısından</w:t>
      </w:r>
      <w:r w:rsidRPr="0090275F">
        <w:rPr>
          <w:b/>
          <w:bCs/>
          <w:lang w:val="tr-TR"/>
        </w:rPr>
        <w:t xml:space="preserve"> değerlendirilme</w:t>
      </w:r>
      <w:r>
        <w:rPr>
          <w:b/>
          <w:bCs/>
          <w:lang w:val="tr-TR"/>
        </w:rPr>
        <w:t>l</w:t>
      </w:r>
      <w:r w:rsidRPr="0090275F">
        <w:rPr>
          <w:b/>
          <w:bCs/>
          <w:lang w:val="tr-TR"/>
        </w:rPr>
        <w:t>i</w:t>
      </w:r>
      <w:r>
        <w:rPr>
          <w:b/>
          <w:bCs/>
          <w:lang w:val="tr-TR"/>
        </w:rPr>
        <w:t>dir:</w:t>
      </w:r>
      <w:r w:rsidRPr="0090275F">
        <w:rPr>
          <w:b/>
          <w:bCs/>
          <w:lang w:val="tr-TR"/>
        </w:rPr>
        <w:t xml:space="preserve"> </w:t>
      </w:r>
      <w:r w:rsidRPr="0090275F">
        <w:rPr>
          <w:lang w:val="tr-TR"/>
        </w:rPr>
        <w:t xml:space="preserve">2022 Kasım ayı </w:t>
      </w:r>
      <w:r>
        <w:rPr>
          <w:lang w:val="tr-TR"/>
        </w:rPr>
        <w:t>itibarıyla</w:t>
      </w:r>
      <w:r w:rsidRPr="004C2C90">
        <w:rPr>
          <w:lang w:val="tr-TR"/>
        </w:rPr>
        <w:t xml:space="preserve"> </w:t>
      </w:r>
      <w:r w:rsidRPr="0090275F">
        <w:rPr>
          <w:lang w:val="tr-TR"/>
        </w:rPr>
        <w:t xml:space="preserve">rüzgar ve güneş enerjisi yatırımları için elektrik depolama yatırım taahhüdü karşılığında yarışmasız </w:t>
      </w:r>
      <w:proofErr w:type="spellStart"/>
      <w:r w:rsidRPr="0090275F">
        <w:rPr>
          <w:lang w:val="tr-TR"/>
        </w:rPr>
        <w:t>önlisans</w:t>
      </w:r>
      <w:proofErr w:type="spellEnd"/>
      <w:r w:rsidRPr="0090275F">
        <w:rPr>
          <w:lang w:val="tr-TR"/>
        </w:rPr>
        <w:t xml:space="preserve"> hakkı verilmesi ile 252 GW seviyesinde başvuru yapılmıştır. </w:t>
      </w:r>
      <w:r>
        <w:rPr>
          <w:lang w:val="tr-TR"/>
        </w:rPr>
        <w:t xml:space="preserve">Henüz bu yatırımların ne kadarlık kısmının devreye gireceği netlik kazanmamış olsa da bu yatırımların bir kısmının devreye alınması durumunda kurulacak depolama üniteleri arz güvenliği için önemli bir kapasitenin oluşmasına olanak sağlayacaktır. Depolama kapasitenin kullanımı için gerekli analizler yapılmalı ve sistem tasarımında bu kapasite dikkate alınmalıdır.  </w:t>
      </w:r>
      <w:r w:rsidR="002B23A6">
        <w:rPr>
          <w:lang w:val="tr-TR"/>
        </w:rPr>
        <w:t>Özellikle kesintili üretim yapan yenilenebilir enerji santrallerinin sistemdeki payının artmasından dolayı kömür santrallerine kıyasla daha esnek olan depolama ünitelerinin ve diğer teknolojilerin yatırımının önü açılacak şekilde bir mekanizma tasarımı yapılması önerilmektedir</w:t>
      </w:r>
    </w:p>
    <w:p w14:paraId="51B15586" w14:textId="05A59924" w:rsidR="00CF4197" w:rsidRPr="00CF4197" w:rsidRDefault="00CF4197" w:rsidP="00CF4197">
      <w:pPr>
        <w:pStyle w:val="ListParagraph"/>
        <w:numPr>
          <w:ilvl w:val="0"/>
          <w:numId w:val="25"/>
        </w:numPr>
        <w:spacing w:line="360" w:lineRule="auto"/>
        <w:jc w:val="both"/>
        <w:rPr>
          <w:lang w:val="tr-TR"/>
        </w:rPr>
      </w:pPr>
      <w:r w:rsidRPr="00CF336B">
        <w:rPr>
          <w:b/>
          <w:bCs/>
          <w:lang w:val="tr-TR"/>
        </w:rPr>
        <w:t>Kapasite mekanizmalarında emisyon kısıtının koyulma</w:t>
      </w:r>
      <w:r w:rsidR="00D17F7D">
        <w:rPr>
          <w:b/>
          <w:bCs/>
          <w:lang w:val="tr-TR"/>
        </w:rPr>
        <w:t>lıdır:</w:t>
      </w:r>
      <w:r w:rsidRPr="00CF336B">
        <w:rPr>
          <w:b/>
          <w:bCs/>
          <w:lang w:val="tr-TR"/>
        </w:rPr>
        <w:t xml:space="preserve"> </w:t>
      </w:r>
      <w:r w:rsidRPr="00CF336B">
        <w:rPr>
          <w:lang w:val="tr-TR"/>
        </w:rPr>
        <w:t>AB ile benzer şekilde belli bir limit üzerinde salım yapan santrallerin mekanizma kapsamı dışında bırakılması net sıfır hedefinde önemli bir rol oynayacaktır.</w:t>
      </w:r>
    </w:p>
    <w:p w14:paraId="66048191" w14:textId="487EB21A" w:rsidR="00555BFB" w:rsidRPr="00CF336B" w:rsidRDefault="00555BFB" w:rsidP="004D4361">
      <w:pPr>
        <w:pStyle w:val="ListParagraph"/>
        <w:numPr>
          <w:ilvl w:val="0"/>
          <w:numId w:val="25"/>
        </w:numPr>
        <w:spacing w:line="360" w:lineRule="auto"/>
        <w:jc w:val="both"/>
        <w:rPr>
          <w:lang w:val="tr-TR"/>
        </w:rPr>
      </w:pPr>
      <w:r w:rsidRPr="00CF336B">
        <w:rPr>
          <w:b/>
          <w:bCs/>
          <w:lang w:val="tr-TR"/>
        </w:rPr>
        <w:t>Yerine getirilmeyen yükümlülükler için caydırıcı yaptırımlar uygulanma</w:t>
      </w:r>
      <w:r w:rsidR="002B23A6">
        <w:rPr>
          <w:b/>
          <w:bCs/>
          <w:lang w:val="tr-TR"/>
        </w:rPr>
        <w:t>lıdır:</w:t>
      </w:r>
      <w:r w:rsidRPr="00CF336B">
        <w:rPr>
          <w:b/>
          <w:bCs/>
          <w:lang w:val="tr-TR"/>
        </w:rPr>
        <w:t xml:space="preserve"> </w:t>
      </w:r>
      <w:r w:rsidRPr="00CF336B">
        <w:rPr>
          <w:lang w:val="tr-TR"/>
        </w:rPr>
        <w:t>İhale kapsamında kazanan santrallere gerekli yükümlülükleri yerine getirmemeleri durumunda caydırıcı cezalar uygulanarak arz ve sistem güvenliği garanti altına alınmalıdır.</w:t>
      </w:r>
    </w:p>
    <w:p w14:paraId="2DF49371" w14:textId="4788745D" w:rsidR="00555BFB" w:rsidRPr="00CF336B" w:rsidRDefault="00555BFB" w:rsidP="004D4361">
      <w:pPr>
        <w:pStyle w:val="ListParagraph"/>
        <w:numPr>
          <w:ilvl w:val="0"/>
          <w:numId w:val="25"/>
        </w:numPr>
        <w:spacing w:line="360" w:lineRule="auto"/>
        <w:jc w:val="both"/>
        <w:rPr>
          <w:lang w:val="tr-TR"/>
        </w:rPr>
      </w:pPr>
      <w:r w:rsidRPr="00CF336B">
        <w:rPr>
          <w:b/>
          <w:bCs/>
          <w:lang w:val="tr-TR"/>
        </w:rPr>
        <w:t>Karbon fiyatlandırmasının getireceği ilave maddi yük dikkate alınma</w:t>
      </w:r>
      <w:r w:rsidR="007B659A">
        <w:rPr>
          <w:b/>
          <w:bCs/>
          <w:lang w:val="tr-TR"/>
        </w:rPr>
        <w:t>lıdır:</w:t>
      </w:r>
      <w:r w:rsidRPr="00CF336B">
        <w:rPr>
          <w:b/>
          <w:bCs/>
          <w:lang w:val="tr-TR"/>
        </w:rPr>
        <w:t xml:space="preserve"> </w:t>
      </w:r>
      <w:r w:rsidRPr="00CF336B">
        <w:rPr>
          <w:lang w:val="tr-TR"/>
        </w:rPr>
        <w:t xml:space="preserve">Net sıfır hedefi ve AB tarafından uygulamaya alınacak SKDM kapsamında getirilmesi beklenen karbon fiyatının termik santrallere yaratacağı ilave yük </w:t>
      </w:r>
      <w:r w:rsidR="00174167" w:rsidRPr="00CF336B">
        <w:rPr>
          <w:lang w:val="tr-TR"/>
        </w:rPr>
        <w:t>dikkate alınarak</w:t>
      </w:r>
      <w:r w:rsidRPr="00CF336B">
        <w:rPr>
          <w:lang w:val="tr-TR"/>
        </w:rPr>
        <w:t xml:space="preserve"> ihale şartları detaylıca belirlenmelidir. Karbon maliyetinin getireceği ilave yükün birçok verimsiz ve eski termik santralin sistemden çıkmasına neden olacağı göz önüne alınmalıdır. </w:t>
      </w:r>
    </w:p>
    <w:p w14:paraId="42BA6D9D" w14:textId="2C852DFE" w:rsidR="00F710DC" w:rsidRPr="00CF336B" w:rsidRDefault="003D00DF" w:rsidP="004D4361">
      <w:pPr>
        <w:pStyle w:val="ListParagraph"/>
        <w:numPr>
          <w:ilvl w:val="0"/>
          <w:numId w:val="25"/>
        </w:numPr>
        <w:spacing w:line="360" w:lineRule="auto"/>
        <w:jc w:val="both"/>
        <w:rPr>
          <w:lang w:val="tr-TR"/>
        </w:rPr>
      </w:pPr>
      <w:r w:rsidRPr="00CF336B">
        <w:rPr>
          <w:b/>
          <w:bCs/>
          <w:lang w:val="tr-TR"/>
        </w:rPr>
        <w:t>Kapasite mekanizmasından yararlana</w:t>
      </w:r>
      <w:r w:rsidR="00174167" w:rsidRPr="00CF336B">
        <w:rPr>
          <w:b/>
          <w:bCs/>
          <w:lang w:val="tr-TR"/>
        </w:rPr>
        <w:t xml:space="preserve">cak santrallerin aldıkları </w:t>
      </w:r>
      <w:r w:rsidR="007B659A">
        <w:rPr>
          <w:b/>
          <w:bCs/>
          <w:lang w:val="tr-TR"/>
        </w:rPr>
        <w:t>tutarlar</w:t>
      </w:r>
      <w:r w:rsidR="007B659A" w:rsidRPr="00CF336B">
        <w:rPr>
          <w:b/>
          <w:bCs/>
          <w:lang w:val="tr-TR"/>
        </w:rPr>
        <w:t xml:space="preserve"> </w:t>
      </w:r>
      <w:r w:rsidR="00174167" w:rsidRPr="00CF336B">
        <w:rPr>
          <w:b/>
          <w:bCs/>
          <w:lang w:val="tr-TR"/>
        </w:rPr>
        <w:t>şeffaf bir şekilde paylaşılma</w:t>
      </w:r>
      <w:r w:rsidR="007B659A">
        <w:rPr>
          <w:b/>
          <w:bCs/>
          <w:lang w:val="tr-TR"/>
        </w:rPr>
        <w:t>lıdır:</w:t>
      </w:r>
      <w:r w:rsidR="00174167" w:rsidRPr="00CF336B">
        <w:rPr>
          <w:lang w:val="tr-TR"/>
        </w:rPr>
        <w:t xml:space="preserve"> S</w:t>
      </w:r>
      <w:r w:rsidRPr="00CF336B">
        <w:rPr>
          <w:lang w:val="tr-TR"/>
        </w:rPr>
        <w:t xml:space="preserve">antrallerin </w:t>
      </w:r>
      <w:r w:rsidR="00174167" w:rsidRPr="00CF336B">
        <w:rPr>
          <w:lang w:val="tr-TR"/>
        </w:rPr>
        <w:t xml:space="preserve">kazandıkları ihale </w:t>
      </w:r>
      <w:r w:rsidR="00325DAA" w:rsidRPr="00CF336B">
        <w:rPr>
          <w:lang w:val="tr-TR"/>
        </w:rPr>
        <w:t>miktar</w:t>
      </w:r>
      <w:r w:rsidR="00174167" w:rsidRPr="00CF336B">
        <w:rPr>
          <w:lang w:val="tr-TR"/>
        </w:rPr>
        <w:t>ı</w:t>
      </w:r>
      <w:r w:rsidR="00325DAA" w:rsidRPr="00CF336B">
        <w:rPr>
          <w:lang w:val="tr-TR"/>
        </w:rPr>
        <w:t xml:space="preserve">, teklif verme yaklaşımlarını değiştirecektir. Bu nedenle aldıkları miktarların, </w:t>
      </w:r>
      <w:r w:rsidR="00174167" w:rsidRPr="00CF336B">
        <w:rPr>
          <w:lang w:val="tr-TR"/>
        </w:rPr>
        <w:t xml:space="preserve">yükümlülüğün yerine getirileceği </w:t>
      </w:r>
      <w:r w:rsidR="00325DAA" w:rsidRPr="00CF336B">
        <w:rPr>
          <w:lang w:val="tr-TR"/>
        </w:rPr>
        <w:t xml:space="preserve">ay öncesinde şeffaflık platformunda yayınlanması gerekmektedir. </w:t>
      </w:r>
    </w:p>
    <w:p w14:paraId="1AC9100C" w14:textId="77777777" w:rsidR="00555BFB" w:rsidRPr="00CF336B" w:rsidRDefault="00555BFB" w:rsidP="004D4361">
      <w:pPr>
        <w:spacing w:line="360" w:lineRule="auto"/>
        <w:jc w:val="both"/>
        <w:rPr>
          <w:lang w:val="tr-TR"/>
        </w:rPr>
      </w:pPr>
    </w:p>
    <w:p w14:paraId="6CC9FB5F" w14:textId="041910CC" w:rsidR="00DD1AE0" w:rsidRPr="00CF336B" w:rsidRDefault="00DD1AE0" w:rsidP="004D4361">
      <w:pPr>
        <w:spacing w:line="360" w:lineRule="auto"/>
        <w:jc w:val="both"/>
        <w:rPr>
          <w:lang w:val="tr-TR"/>
        </w:rPr>
      </w:pPr>
      <w:r w:rsidRPr="00CF336B">
        <w:rPr>
          <w:lang w:val="tr-TR"/>
        </w:rPr>
        <w:br w:type="page"/>
      </w:r>
    </w:p>
    <w:p w14:paraId="76ACC941" w14:textId="6D95EB5A" w:rsidR="00DD1AE0" w:rsidRPr="00CF336B" w:rsidRDefault="00DD1AE0" w:rsidP="004D4361">
      <w:pPr>
        <w:pStyle w:val="Heading1"/>
        <w:spacing w:line="360" w:lineRule="auto"/>
        <w:rPr>
          <w:lang w:val="tr-TR"/>
        </w:rPr>
      </w:pPr>
      <w:bookmarkStart w:id="190" w:name="_Toc156210454"/>
      <w:r w:rsidRPr="00CF336B">
        <w:rPr>
          <w:lang w:val="tr-TR"/>
        </w:rPr>
        <w:t>Kaynaklar</w:t>
      </w:r>
      <w:bookmarkEnd w:id="190"/>
    </w:p>
    <w:sdt>
      <w:sdtPr>
        <w:rPr>
          <w:rFonts w:asciiTheme="minorHAnsi" w:eastAsiaTheme="minorHAnsi" w:hAnsiTheme="minorHAnsi" w:cstheme="minorBidi"/>
          <w:b w:val="0"/>
          <w:sz w:val="22"/>
          <w:szCs w:val="22"/>
          <w:lang w:val="tr-TR"/>
        </w:rPr>
        <w:id w:val="-5448311"/>
        <w:docPartObj>
          <w:docPartGallery w:val="Bibliographies"/>
          <w:docPartUnique/>
        </w:docPartObj>
      </w:sdtPr>
      <w:sdtEndPr/>
      <w:sdtContent>
        <w:p w14:paraId="34239230" w14:textId="2D9A07F4" w:rsidR="00B3377B" w:rsidRPr="00CF336B" w:rsidRDefault="00B3377B" w:rsidP="004D4361">
          <w:pPr>
            <w:pStyle w:val="Heading1"/>
            <w:spacing w:line="360" w:lineRule="auto"/>
            <w:rPr>
              <w:lang w:val="tr-TR"/>
            </w:rPr>
          </w:pPr>
        </w:p>
        <w:sdt>
          <w:sdtPr>
            <w:rPr>
              <w:lang w:val="tr-TR"/>
            </w:rPr>
            <w:id w:val="-573587230"/>
            <w:bibliography/>
          </w:sdtPr>
          <w:sdtEndPr/>
          <w:sdtContent>
            <w:p w14:paraId="645EB4A9" w14:textId="77777777" w:rsidR="00D95FF7" w:rsidRDefault="00B3377B" w:rsidP="004D4361">
              <w:pPr>
                <w:pStyle w:val="Bibliography"/>
                <w:spacing w:line="360" w:lineRule="auto"/>
                <w:ind w:left="720" w:hanging="720"/>
                <w:rPr>
                  <w:noProof/>
                  <w:kern w:val="0"/>
                  <w:sz w:val="24"/>
                  <w:szCs w:val="24"/>
                  <w:lang w:val="tr-TR"/>
                  <w14:ligatures w14:val="none"/>
                </w:rPr>
              </w:pPr>
              <w:r w:rsidRPr="00CF336B">
                <w:rPr>
                  <w:lang w:val="tr-TR"/>
                </w:rPr>
                <w:fldChar w:fldCharType="begin"/>
              </w:r>
              <w:r w:rsidRPr="00CF336B">
                <w:rPr>
                  <w:lang w:val="tr-TR"/>
                </w:rPr>
                <w:instrText xml:space="preserve"> BIBLIOGRAPHY </w:instrText>
              </w:r>
              <w:r w:rsidRPr="00CF336B">
                <w:rPr>
                  <w:lang w:val="tr-TR"/>
                </w:rPr>
                <w:fldChar w:fldCharType="separate"/>
              </w:r>
              <w:r w:rsidR="00D95FF7">
                <w:rPr>
                  <w:noProof/>
                  <w:lang w:val="tr-TR"/>
                </w:rPr>
                <w:t xml:space="preserve">ACER. (2013). </w:t>
              </w:r>
              <w:r w:rsidR="00D95FF7">
                <w:rPr>
                  <w:i/>
                  <w:iCs/>
                  <w:noProof/>
                  <w:lang w:val="tr-TR"/>
                </w:rPr>
                <w:t>Capacity Remuneration Mechanisms and the Internal Market for Electricity.</w:t>
              </w:r>
              <w:r w:rsidR="00D95FF7">
                <w:rPr>
                  <w:noProof/>
                  <w:lang w:val="tr-TR"/>
                </w:rPr>
                <w:t xml:space="preserve"> </w:t>
              </w:r>
            </w:p>
            <w:p w14:paraId="2045B174" w14:textId="77777777" w:rsidR="00D95FF7" w:rsidRDefault="00D95FF7" w:rsidP="004D4361">
              <w:pPr>
                <w:pStyle w:val="Bibliography"/>
                <w:spacing w:line="360" w:lineRule="auto"/>
                <w:ind w:left="720" w:hanging="720"/>
                <w:rPr>
                  <w:noProof/>
                  <w:lang w:val="tr-TR"/>
                </w:rPr>
              </w:pPr>
              <w:r>
                <w:rPr>
                  <w:noProof/>
                  <w:lang w:val="tr-TR"/>
                </w:rPr>
                <w:t>ACER. (2021). Opinion No 02/2021 of the European Union Agency for the Cooperation of Energy Regulators.</w:t>
              </w:r>
            </w:p>
            <w:p w14:paraId="2CB584DC" w14:textId="77777777" w:rsidR="00D95FF7" w:rsidRDefault="00D95FF7" w:rsidP="004D4361">
              <w:pPr>
                <w:pStyle w:val="Bibliography"/>
                <w:spacing w:line="360" w:lineRule="auto"/>
                <w:ind w:left="720" w:hanging="720"/>
                <w:rPr>
                  <w:noProof/>
                  <w:lang w:val="tr-TR"/>
                </w:rPr>
              </w:pPr>
              <w:r>
                <w:rPr>
                  <w:noProof/>
                  <w:lang w:val="tr-TR"/>
                </w:rPr>
                <w:t xml:space="preserve">ACER. (2021). </w:t>
              </w:r>
              <w:r>
                <w:rPr>
                  <w:i/>
                  <w:iCs/>
                  <w:noProof/>
                  <w:lang w:val="tr-TR"/>
                </w:rPr>
                <w:t>Security of EU Electricity Supply in 2021.</w:t>
              </w:r>
              <w:r>
                <w:rPr>
                  <w:noProof/>
                  <w:lang w:val="tr-TR"/>
                </w:rPr>
                <w:t xml:space="preserve"> ACER.</w:t>
              </w:r>
            </w:p>
            <w:p w14:paraId="4AB6BDF8" w14:textId="77777777" w:rsidR="00D95FF7" w:rsidRDefault="00D95FF7" w:rsidP="004D4361">
              <w:pPr>
                <w:pStyle w:val="Bibliography"/>
                <w:spacing w:line="360" w:lineRule="auto"/>
                <w:ind w:left="720" w:hanging="720"/>
                <w:rPr>
                  <w:noProof/>
                  <w:lang w:val="tr-TR"/>
                </w:rPr>
              </w:pPr>
              <w:r>
                <w:rPr>
                  <w:noProof/>
                  <w:lang w:val="tr-TR"/>
                </w:rPr>
                <w:t xml:space="preserve">ACER. (2023). </w:t>
              </w:r>
              <w:r>
                <w:rPr>
                  <w:i/>
                  <w:iCs/>
                  <w:noProof/>
                  <w:lang w:val="tr-TR"/>
                </w:rPr>
                <w:t>Security of EU Electricity Supply.</w:t>
              </w:r>
              <w:r>
                <w:rPr>
                  <w:noProof/>
                  <w:lang w:val="tr-TR"/>
                </w:rPr>
                <w:t xml:space="preserve"> ACER.</w:t>
              </w:r>
            </w:p>
            <w:p w14:paraId="5FA2A8F6" w14:textId="77777777" w:rsidR="00D95FF7" w:rsidRDefault="00D95FF7" w:rsidP="004D4361">
              <w:pPr>
                <w:pStyle w:val="Bibliography"/>
                <w:spacing w:line="360" w:lineRule="auto"/>
                <w:ind w:left="720" w:hanging="720"/>
                <w:rPr>
                  <w:noProof/>
                  <w:lang w:val="tr-TR"/>
                </w:rPr>
              </w:pPr>
              <w:r>
                <w:rPr>
                  <w:noProof/>
                  <w:lang w:val="tr-TR"/>
                </w:rPr>
                <w:t>Alman Enerji Yasası. (tarih yok). 13. Madde.</w:t>
              </w:r>
            </w:p>
            <w:p w14:paraId="7E38C559" w14:textId="77777777" w:rsidR="00D95FF7" w:rsidRDefault="00D95FF7" w:rsidP="004D4361">
              <w:pPr>
                <w:pStyle w:val="Bibliography"/>
                <w:spacing w:line="360" w:lineRule="auto"/>
                <w:ind w:left="720" w:hanging="720"/>
                <w:rPr>
                  <w:noProof/>
                  <w:lang w:val="tr-TR"/>
                </w:rPr>
              </w:pPr>
              <w:r>
                <w:rPr>
                  <w:noProof/>
                  <w:lang w:val="tr-TR"/>
                </w:rPr>
                <w:t>BOTAŞ. (2023). Doğal Gaz Tarifeleri.</w:t>
              </w:r>
            </w:p>
            <w:p w14:paraId="62F7DB52" w14:textId="77777777" w:rsidR="00D95FF7" w:rsidRDefault="00D95FF7" w:rsidP="004D4361">
              <w:pPr>
                <w:pStyle w:val="Bibliography"/>
                <w:spacing w:line="360" w:lineRule="auto"/>
                <w:ind w:left="720" w:hanging="720"/>
                <w:rPr>
                  <w:noProof/>
                  <w:lang w:val="tr-TR"/>
                </w:rPr>
              </w:pPr>
              <w:r>
                <w:rPr>
                  <w:noProof/>
                  <w:lang w:val="tr-TR"/>
                </w:rPr>
                <w:t>Bundesnetzagentur. (2021). Monitoring Report.</w:t>
              </w:r>
            </w:p>
            <w:p w14:paraId="59A5B985" w14:textId="77777777" w:rsidR="00D95FF7" w:rsidRDefault="00D95FF7" w:rsidP="004D4361">
              <w:pPr>
                <w:pStyle w:val="Bibliography"/>
                <w:spacing w:line="360" w:lineRule="auto"/>
                <w:ind w:left="720" w:hanging="720"/>
                <w:rPr>
                  <w:noProof/>
                  <w:lang w:val="tr-TR"/>
                </w:rPr>
              </w:pPr>
              <w:r>
                <w:rPr>
                  <w:noProof/>
                  <w:lang w:val="tr-TR"/>
                </w:rPr>
                <w:t>Bundesnetzagentur. (2023). https://www.smard.de/page/en/marktdaten/78?marketDataAttributes=%7B%22resolution%22:%22month%22,%22region%22:%22DE%22,%22from%22:1633730400000,%22to%22:1696888799999,%22moduleIds%22:%5B3000186,3000187,3000188,3000189,3000190,3000194,3000195,3000196,300019 adresinden alındı</w:t>
              </w:r>
            </w:p>
            <w:p w14:paraId="45CB1043" w14:textId="77777777" w:rsidR="00D95FF7" w:rsidRDefault="00D95FF7" w:rsidP="004D4361">
              <w:pPr>
                <w:pStyle w:val="Bibliography"/>
                <w:spacing w:line="360" w:lineRule="auto"/>
                <w:ind w:left="720" w:hanging="720"/>
                <w:rPr>
                  <w:noProof/>
                  <w:lang w:val="tr-TR"/>
                </w:rPr>
              </w:pPr>
              <w:r>
                <w:rPr>
                  <w:noProof/>
                  <w:lang w:val="tr-TR"/>
                </w:rPr>
                <w:t>Department for Energy Security &amp; Net Zero. (2023). Energy Trends Collection.</w:t>
              </w:r>
            </w:p>
            <w:p w14:paraId="1A3BB83A" w14:textId="77777777" w:rsidR="00D95FF7" w:rsidRDefault="00D95FF7" w:rsidP="004D4361">
              <w:pPr>
                <w:pStyle w:val="Bibliography"/>
                <w:spacing w:line="360" w:lineRule="auto"/>
                <w:ind w:left="720" w:hanging="720"/>
                <w:rPr>
                  <w:noProof/>
                  <w:lang w:val="tr-TR"/>
                </w:rPr>
              </w:pPr>
              <w:r>
                <w:rPr>
                  <w:noProof/>
                  <w:lang w:val="tr-TR"/>
                </w:rPr>
                <w:t>Department for Energy Security and Net Zero and Department for Business, Energy &amp; Industrial Strategy. (2019). The Capacity Market (Amendment) (No. 4) Rules 2019.</w:t>
              </w:r>
            </w:p>
            <w:p w14:paraId="00175367" w14:textId="77777777" w:rsidR="00D95FF7" w:rsidRDefault="00D95FF7" w:rsidP="004D4361">
              <w:pPr>
                <w:pStyle w:val="Bibliography"/>
                <w:spacing w:line="360" w:lineRule="auto"/>
                <w:ind w:left="720" w:hanging="720"/>
                <w:rPr>
                  <w:noProof/>
                  <w:lang w:val="tr-TR"/>
                </w:rPr>
              </w:pPr>
              <w:r>
                <w:rPr>
                  <w:noProof/>
                  <w:lang w:val="tr-TR"/>
                </w:rPr>
                <w:t xml:space="preserve">Deutscher Bundestag. (2020). </w:t>
              </w:r>
              <w:r>
                <w:rPr>
                  <w:i/>
                  <w:iCs/>
                  <w:noProof/>
                  <w:lang w:val="tr-TR"/>
                </w:rPr>
                <w:t>Kohleausstiegsgesetz</w:t>
              </w:r>
              <w:r>
                <w:rPr>
                  <w:noProof/>
                  <w:lang w:val="tr-TR"/>
                </w:rPr>
                <w:t>. https://www.smard.de/page/en/topic-article/5892/206022 adresinden alındı</w:t>
              </w:r>
            </w:p>
            <w:p w14:paraId="19E75117" w14:textId="77777777" w:rsidR="00D95FF7" w:rsidRDefault="00D95FF7" w:rsidP="004D4361">
              <w:pPr>
                <w:pStyle w:val="Bibliography"/>
                <w:spacing w:line="360" w:lineRule="auto"/>
                <w:ind w:left="720" w:hanging="720"/>
                <w:rPr>
                  <w:noProof/>
                  <w:lang w:val="tr-TR"/>
                </w:rPr>
              </w:pPr>
              <w:r>
                <w:rPr>
                  <w:noProof/>
                  <w:lang w:val="tr-TR"/>
                </w:rPr>
                <w:t>EMBER. (2023). https://ember-climate.org/countries-and-regions/countries/spain/ adresinden alındı</w:t>
              </w:r>
            </w:p>
            <w:p w14:paraId="5A1E9B73" w14:textId="77777777" w:rsidR="00D95FF7" w:rsidRDefault="00D95FF7" w:rsidP="004D4361">
              <w:pPr>
                <w:pStyle w:val="Bibliography"/>
                <w:spacing w:line="360" w:lineRule="auto"/>
                <w:ind w:left="720" w:hanging="720"/>
                <w:rPr>
                  <w:noProof/>
                  <w:lang w:val="tr-TR"/>
                </w:rPr>
              </w:pPr>
              <w:r>
                <w:rPr>
                  <w:noProof/>
                  <w:lang w:val="tr-TR"/>
                </w:rPr>
                <w:t>Energy Regulatory Office. (2023, July). National Report of the President of Energy Regulatory Office. www.ure.gov.pl.</w:t>
              </w:r>
            </w:p>
            <w:p w14:paraId="633E65D5" w14:textId="77777777" w:rsidR="00D95FF7" w:rsidRDefault="00D95FF7" w:rsidP="004D4361">
              <w:pPr>
                <w:pStyle w:val="Bibliography"/>
                <w:spacing w:line="360" w:lineRule="auto"/>
                <w:ind w:left="720" w:hanging="720"/>
                <w:rPr>
                  <w:noProof/>
                  <w:lang w:val="tr-TR"/>
                </w:rPr>
              </w:pPr>
              <w:r>
                <w:rPr>
                  <w:noProof/>
                  <w:lang w:val="tr-TR"/>
                </w:rPr>
                <w:t xml:space="preserve">Enerji ve Tabii Kaynaklar Bakanlığı. (2023). </w:t>
              </w:r>
              <w:r>
                <w:rPr>
                  <w:i/>
                  <w:iCs/>
                  <w:noProof/>
                  <w:lang w:val="tr-TR"/>
                </w:rPr>
                <w:t>Türkiye Ulusal Enerji Planı.</w:t>
              </w:r>
              <w:r>
                <w:rPr>
                  <w:noProof/>
                  <w:lang w:val="tr-TR"/>
                </w:rPr>
                <w:t xml:space="preserve"> </w:t>
              </w:r>
            </w:p>
            <w:p w14:paraId="6BD588F3" w14:textId="77777777" w:rsidR="00D95FF7" w:rsidRDefault="00D95FF7" w:rsidP="004D4361">
              <w:pPr>
                <w:pStyle w:val="Bibliography"/>
                <w:spacing w:line="360" w:lineRule="auto"/>
                <w:ind w:left="720" w:hanging="720"/>
                <w:rPr>
                  <w:noProof/>
                  <w:lang w:val="tr-TR"/>
                </w:rPr>
              </w:pPr>
              <w:r>
                <w:rPr>
                  <w:noProof/>
                  <w:lang w:val="tr-TR"/>
                </w:rPr>
                <w:t>ENTSO. (2023). Central Collection and publication of electricity generation, transportation and consumption data and information for the pan-European market.</w:t>
              </w:r>
            </w:p>
            <w:p w14:paraId="79F3B3AE" w14:textId="77777777" w:rsidR="00D95FF7" w:rsidRDefault="00D95FF7" w:rsidP="004D4361">
              <w:pPr>
                <w:pStyle w:val="Bibliography"/>
                <w:spacing w:line="360" w:lineRule="auto"/>
                <w:ind w:left="720" w:hanging="720"/>
                <w:rPr>
                  <w:noProof/>
                  <w:lang w:val="tr-TR"/>
                </w:rPr>
              </w:pPr>
              <w:r>
                <w:rPr>
                  <w:noProof/>
                  <w:lang w:val="tr-TR"/>
                </w:rPr>
                <w:t>ENTSO Transparency Platform. (2023). https://transparency.entsoe.eu/generation/r2/actualGenerationPerProductionType/show?name=&amp;defaultValue=false&amp;viewType=TABLE&amp;areaType=CTY&amp;atch=false&amp;datepicker-day-offset-select-dv-date-from_input=D%2B-%2B1&amp;dateTime.dateTime=01.01.2015%2B00%3A00%7CCET%7CDA adresinden alındı</w:t>
              </w:r>
            </w:p>
            <w:p w14:paraId="15411F83" w14:textId="77777777" w:rsidR="00D95FF7" w:rsidRDefault="00D95FF7" w:rsidP="004D4361">
              <w:pPr>
                <w:pStyle w:val="Bibliography"/>
                <w:spacing w:line="360" w:lineRule="auto"/>
                <w:ind w:left="720" w:hanging="720"/>
                <w:rPr>
                  <w:noProof/>
                  <w:lang w:val="tr-TR"/>
                </w:rPr>
              </w:pPr>
              <w:r>
                <w:rPr>
                  <w:noProof/>
                  <w:lang w:val="tr-TR"/>
                </w:rPr>
                <w:t>EPDK. (2023, Ekim). Elektrik Piyasası Önlisansları.</w:t>
              </w:r>
            </w:p>
            <w:p w14:paraId="7E629D75" w14:textId="77777777" w:rsidR="00D95FF7" w:rsidRDefault="00D95FF7" w:rsidP="004D4361">
              <w:pPr>
                <w:pStyle w:val="Bibliography"/>
                <w:spacing w:line="360" w:lineRule="auto"/>
                <w:ind w:left="720" w:hanging="720"/>
                <w:rPr>
                  <w:noProof/>
                  <w:lang w:val="tr-TR"/>
                </w:rPr>
              </w:pPr>
              <w:r>
                <w:rPr>
                  <w:noProof/>
                  <w:lang w:val="tr-TR"/>
                </w:rPr>
                <w:t xml:space="preserve">EPİAŞ. (2023). </w:t>
              </w:r>
              <w:r>
                <w:rPr>
                  <w:i/>
                  <w:iCs/>
                  <w:noProof/>
                  <w:lang w:val="tr-TR"/>
                </w:rPr>
                <w:t>EPİAŞ Şeffaflık Platformu</w:t>
              </w:r>
              <w:r>
                <w:rPr>
                  <w:noProof/>
                  <w:lang w:val="tr-TR"/>
                </w:rPr>
                <w:t>. https://seffaflik.epias.com.tr/transparency/piyasalar/gop/ptf.xhtml adresinden alındı</w:t>
              </w:r>
            </w:p>
            <w:p w14:paraId="283F8C8A" w14:textId="77777777" w:rsidR="00D95FF7" w:rsidRDefault="00D95FF7" w:rsidP="004D4361">
              <w:pPr>
                <w:pStyle w:val="Bibliography"/>
                <w:spacing w:line="360" w:lineRule="auto"/>
                <w:ind w:left="720" w:hanging="720"/>
                <w:rPr>
                  <w:noProof/>
                  <w:lang w:val="tr-TR"/>
                </w:rPr>
              </w:pPr>
              <w:r>
                <w:rPr>
                  <w:noProof/>
                  <w:lang w:val="tr-TR"/>
                </w:rPr>
                <w:t>European Commission. (2016). europa.eu: europa.eu/rapid/press-release_MEMO-16-4023_en.pdf adresinden alındı</w:t>
              </w:r>
            </w:p>
            <w:p w14:paraId="28FF4780" w14:textId="77777777" w:rsidR="00D95FF7" w:rsidRDefault="00D95FF7" w:rsidP="004D4361">
              <w:pPr>
                <w:pStyle w:val="Bibliography"/>
                <w:spacing w:line="360" w:lineRule="auto"/>
                <w:ind w:left="720" w:hanging="720"/>
                <w:rPr>
                  <w:noProof/>
                  <w:lang w:val="tr-TR"/>
                </w:rPr>
              </w:pPr>
              <w:r>
                <w:rPr>
                  <w:noProof/>
                  <w:lang w:val="tr-TR"/>
                </w:rPr>
                <w:t xml:space="preserve">European Commission. (2018). </w:t>
              </w:r>
              <w:r>
                <w:rPr>
                  <w:i/>
                  <w:iCs/>
                  <w:noProof/>
                  <w:lang w:val="tr-TR"/>
                </w:rPr>
                <w:t>Commission Decision (EU) 2018/860</w:t>
              </w:r>
              <w:r>
                <w:rPr>
                  <w:noProof/>
                  <w:lang w:val="tr-TR"/>
                </w:rPr>
                <w:t>.</w:t>
              </w:r>
            </w:p>
            <w:p w14:paraId="6466CA45" w14:textId="77777777" w:rsidR="00D95FF7" w:rsidRDefault="00D95FF7" w:rsidP="004D4361">
              <w:pPr>
                <w:pStyle w:val="Bibliography"/>
                <w:spacing w:line="360" w:lineRule="auto"/>
                <w:ind w:left="720" w:hanging="720"/>
                <w:rPr>
                  <w:noProof/>
                  <w:lang w:val="tr-TR"/>
                </w:rPr>
              </w:pPr>
              <w:r>
                <w:rPr>
                  <w:noProof/>
                  <w:lang w:val="tr-TR"/>
                </w:rPr>
                <w:t>European Commission. (2022). Regulation on coordinated demand reduction measures for gas (EU/2022/1369).</w:t>
              </w:r>
            </w:p>
            <w:p w14:paraId="566AB1ED" w14:textId="77777777" w:rsidR="00D95FF7" w:rsidRDefault="00D95FF7" w:rsidP="004D4361">
              <w:pPr>
                <w:pStyle w:val="Bibliography"/>
                <w:spacing w:line="360" w:lineRule="auto"/>
                <w:ind w:left="720" w:hanging="720"/>
                <w:rPr>
                  <w:noProof/>
                  <w:lang w:val="tr-TR"/>
                </w:rPr>
              </w:pPr>
              <w:r>
                <w:rPr>
                  <w:noProof/>
                  <w:lang w:val="tr-TR"/>
                </w:rPr>
                <w:t xml:space="preserve">European Parliament. (2017). </w:t>
              </w:r>
              <w:r>
                <w:rPr>
                  <w:i/>
                  <w:iCs/>
                  <w:noProof/>
                  <w:lang w:val="tr-TR"/>
                </w:rPr>
                <w:t>Capacity Mechanism for Electricity.</w:t>
              </w:r>
              <w:r>
                <w:rPr>
                  <w:noProof/>
                  <w:lang w:val="tr-TR"/>
                </w:rPr>
                <w:t xml:space="preserve"> </w:t>
              </w:r>
            </w:p>
            <w:p w14:paraId="5638AA69" w14:textId="77777777" w:rsidR="00D95FF7" w:rsidRDefault="00D95FF7" w:rsidP="004D4361">
              <w:pPr>
                <w:pStyle w:val="Bibliography"/>
                <w:spacing w:line="360" w:lineRule="auto"/>
                <w:ind w:left="720" w:hanging="720"/>
                <w:rPr>
                  <w:noProof/>
                  <w:lang w:val="tr-TR"/>
                </w:rPr>
              </w:pPr>
              <w:r>
                <w:rPr>
                  <w:noProof/>
                  <w:lang w:val="tr-TR"/>
                </w:rPr>
                <w:t xml:space="preserve">Filipiak, I., &amp; Mielczarski, W. (2021). </w:t>
              </w:r>
              <w:r>
                <w:rPr>
                  <w:i/>
                  <w:iCs/>
                  <w:noProof/>
                  <w:lang w:val="tr-TR"/>
                </w:rPr>
                <w:t>Capacity markets: The Polish experience.</w:t>
              </w:r>
              <w:r>
                <w:rPr>
                  <w:noProof/>
                  <w:lang w:val="tr-TR"/>
                </w:rPr>
                <w:t xml:space="preserve"> https://doi.org/10.2139/ssrn.3969801 adresinden alındı</w:t>
              </w:r>
            </w:p>
            <w:p w14:paraId="56EE6BC3" w14:textId="77777777" w:rsidR="00D95FF7" w:rsidRDefault="00D95FF7" w:rsidP="004D4361">
              <w:pPr>
                <w:pStyle w:val="Bibliography"/>
                <w:spacing w:line="360" w:lineRule="auto"/>
                <w:ind w:left="720" w:hanging="720"/>
                <w:rPr>
                  <w:noProof/>
                  <w:lang w:val="tr-TR"/>
                </w:rPr>
              </w:pPr>
              <w:r>
                <w:rPr>
                  <w:noProof/>
                  <w:lang w:val="tr-TR"/>
                </w:rPr>
                <w:t>FTI CL Energy. (2016). Assessment of the impact.</w:t>
              </w:r>
            </w:p>
            <w:p w14:paraId="13A90E14" w14:textId="77777777" w:rsidR="00D95FF7" w:rsidRDefault="00D95FF7" w:rsidP="004D4361">
              <w:pPr>
                <w:pStyle w:val="Bibliography"/>
                <w:spacing w:line="360" w:lineRule="auto"/>
                <w:ind w:left="720" w:hanging="720"/>
                <w:rPr>
                  <w:noProof/>
                  <w:lang w:val="tr-TR"/>
                </w:rPr>
              </w:pPr>
              <w:r>
                <w:rPr>
                  <w:noProof/>
                  <w:lang w:val="tr-TR"/>
                </w:rPr>
                <w:t>Gesetze im Internet. (2005). Energiewirtschaftsgesetz- EnWG.</w:t>
              </w:r>
            </w:p>
            <w:p w14:paraId="578DE0DE" w14:textId="77777777" w:rsidR="00D95FF7" w:rsidRDefault="00D95FF7" w:rsidP="004D4361">
              <w:pPr>
                <w:pStyle w:val="Bibliography"/>
                <w:spacing w:line="360" w:lineRule="auto"/>
                <w:ind w:left="720" w:hanging="720"/>
                <w:rPr>
                  <w:noProof/>
                  <w:lang w:val="tr-TR"/>
                </w:rPr>
              </w:pPr>
              <w:r>
                <w:rPr>
                  <w:noProof/>
                  <w:lang w:val="tr-TR"/>
                </w:rPr>
                <w:t>Gesetze im Internet. (2019). Capacity Reserve Ordinance.</w:t>
              </w:r>
            </w:p>
            <w:p w14:paraId="78F8890D" w14:textId="77777777" w:rsidR="00D95FF7" w:rsidRDefault="00D95FF7" w:rsidP="004D4361">
              <w:pPr>
                <w:pStyle w:val="Bibliography"/>
                <w:spacing w:line="360" w:lineRule="auto"/>
                <w:ind w:left="720" w:hanging="720"/>
                <w:rPr>
                  <w:noProof/>
                  <w:lang w:val="tr-TR"/>
                </w:rPr>
              </w:pPr>
              <w:r>
                <w:rPr>
                  <w:noProof/>
                  <w:lang w:val="tr-TR"/>
                </w:rPr>
                <w:t>Global Energy Monitor. (2023). https://globalenergymonitor.org/projects/global-coal-plant-tracker/?gclid=Cj0KCQjwhL6pBhDjARIsAGx8D5_iOKhdlyFo0-lfZ6B-ShFeH8YYEBxfrJ-KdbMbFWX9Q3Cjr4oJHB8aAhsQEALw_wcB adresinden alındı</w:t>
              </w:r>
            </w:p>
            <w:p w14:paraId="71AEA0D8" w14:textId="77777777" w:rsidR="00D95FF7" w:rsidRDefault="00D95FF7" w:rsidP="004D4361">
              <w:pPr>
                <w:pStyle w:val="Bibliography"/>
                <w:spacing w:line="360" w:lineRule="auto"/>
                <w:ind w:left="720" w:hanging="720"/>
                <w:rPr>
                  <w:noProof/>
                  <w:lang w:val="tr-TR"/>
                </w:rPr>
              </w:pPr>
              <w:r>
                <w:rPr>
                  <w:noProof/>
                  <w:lang w:val="tr-TR"/>
                </w:rPr>
                <w:t>Hancher, L. H. (2022). Capacity mechanisms in the EU Energy Market: Law, policy, and economics. Oxford University Press.</w:t>
              </w:r>
            </w:p>
            <w:p w14:paraId="535D78AD" w14:textId="77777777" w:rsidR="00D95FF7" w:rsidRDefault="00D95FF7" w:rsidP="004D4361">
              <w:pPr>
                <w:pStyle w:val="Bibliography"/>
                <w:spacing w:line="360" w:lineRule="auto"/>
                <w:ind w:left="720" w:hanging="720"/>
                <w:rPr>
                  <w:noProof/>
                  <w:lang w:val="tr-TR"/>
                </w:rPr>
              </w:pPr>
              <w:r>
                <w:rPr>
                  <w:noProof/>
                  <w:lang w:val="tr-TR"/>
                </w:rPr>
                <w:t>IEA. (2021). Spain 2021 Energy Policy Review.</w:t>
              </w:r>
            </w:p>
            <w:p w14:paraId="43EB6894" w14:textId="77777777" w:rsidR="00D95FF7" w:rsidRDefault="00D95FF7" w:rsidP="004D4361">
              <w:pPr>
                <w:pStyle w:val="Bibliography"/>
                <w:spacing w:line="360" w:lineRule="auto"/>
                <w:ind w:left="720" w:hanging="720"/>
                <w:rPr>
                  <w:noProof/>
                  <w:lang w:val="tr-TR"/>
                </w:rPr>
              </w:pPr>
              <w:r>
                <w:rPr>
                  <w:noProof/>
                  <w:lang w:val="tr-TR"/>
                </w:rPr>
                <w:t xml:space="preserve">IEA. (2022). </w:t>
              </w:r>
              <w:r>
                <w:rPr>
                  <w:i/>
                  <w:iCs/>
                  <w:noProof/>
                  <w:lang w:val="tr-TR"/>
                </w:rPr>
                <w:t>Poland Electricity Security Policy – analysis. .</w:t>
              </w:r>
              <w:r>
                <w:rPr>
                  <w:noProof/>
                  <w:lang w:val="tr-TR"/>
                </w:rPr>
                <w:t xml:space="preserve"> https://www.iea.org/articles/poland-electricity-security-policy adresinden alındı</w:t>
              </w:r>
            </w:p>
            <w:p w14:paraId="3917C68A" w14:textId="77777777" w:rsidR="00D95FF7" w:rsidRDefault="00D95FF7" w:rsidP="004D4361">
              <w:pPr>
                <w:pStyle w:val="Bibliography"/>
                <w:spacing w:line="360" w:lineRule="auto"/>
                <w:ind w:left="720" w:hanging="720"/>
                <w:rPr>
                  <w:noProof/>
                  <w:lang w:val="tr-TR"/>
                </w:rPr>
              </w:pPr>
              <w:r>
                <w:rPr>
                  <w:noProof/>
                  <w:lang w:val="tr-TR"/>
                </w:rPr>
                <w:t xml:space="preserve">IEA. (2022). </w:t>
              </w:r>
              <w:r>
                <w:rPr>
                  <w:i/>
                  <w:iCs/>
                  <w:noProof/>
                  <w:lang w:val="tr-TR"/>
                </w:rPr>
                <w:t>Spain Electricity Security Policy.</w:t>
              </w:r>
              <w:r>
                <w:rPr>
                  <w:noProof/>
                  <w:lang w:val="tr-TR"/>
                </w:rPr>
                <w:t xml:space="preserve"> </w:t>
              </w:r>
            </w:p>
            <w:p w14:paraId="60286EA1" w14:textId="77777777" w:rsidR="00D95FF7" w:rsidRDefault="00D95FF7" w:rsidP="004D4361">
              <w:pPr>
                <w:pStyle w:val="Bibliography"/>
                <w:spacing w:line="360" w:lineRule="auto"/>
                <w:ind w:left="720" w:hanging="720"/>
                <w:rPr>
                  <w:noProof/>
                  <w:lang w:val="tr-TR"/>
                </w:rPr>
              </w:pPr>
              <w:r>
                <w:rPr>
                  <w:noProof/>
                  <w:lang w:val="tr-TR"/>
                </w:rPr>
                <w:t>IEEFA. (2016). Spains capacity market energy security or subsidy .</w:t>
              </w:r>
            </w:p>
            <w:p w14:paraId="0A28EFCE" w14:textId="77777777" w:rsidR="00D95FF7" w:rsidRDefault="00D95FF7" w:rsidP="004D4361">
              <w:pPr>
                <w:pStyle w:val="Bibliography"/>
                <w:spacing w:line="360" w:lineRule="auto"/>
                <w:ind w:left="720" w:hanging="720"/>
                <w:rPr>
                  <w:noProof/>
                  <w:lang w:val="tr-TR"/>
                </w:rPr>
              </w:pPr>
              <w:r>
                <w:rPr>
                  <w:noProof/>
                  <w:lang w:val="tr-TR"/>
                </w:rPr>
                <w:t>Kapasite Rezervi Yönetmeliği. (tarih yok). 11. Bölüm.</w:t>
              </w:r>
            </w:p>
            <w:p w14:paraId="5F847917" w14:textId="77777777" w:rsidR="00D95FF7" w:rsidRDefault="00D95FF7" w:rsidP="004D4361">
              <w:pPr>
                <w:pStyle w:val="Bibliography"/>
                <w:spacing w:line="360" w:lineRule="auto"/>
                <w:ind w:left="720" w:hanging="720"/>
                <w:rPr>
                  <w:noProof/>
                  <w:lang w:val="tr-TR"/>
                </w:rPr>
              </w:pPr>
              <w:r>
                <w:rPr>
                  <w:noProof/>
                  <w:lang w:val="tr-TR"/>
                </w:rPr>
                <w:t>Ministry of Climate and Environment. (tarih yok). Energy policy of Poland until 2040 (EPP2040).</w:t>
              </w:r>
            </w:p>
            <w:p w14:paraId="78265D97" w14:textId="77777777" w:rsidR="00D95FF7" w:rsidRDefault="00D95FF7" w:rsidP="004D4361">
              <w:pPr>
                <w:pStyle w:val="Bibliography"/>
                <w:spacing w:line="360" w:lineRule="auto"/>
                <w:ind w:left="720" w:hanging="720"/>
                <w:rPr>
                  <w:noProof/>
                  <w:lang w:val="tr-TR"/>
                </w:rPr>
              </w:pPr>
              <w:r>
                <w:rPr>
                  <w:noProof/>
                  <w:lang w:val="tr-TR"/>
                </w:rPr>
                <w:t>National Grid. (2014). T-4 Capacity Market Final Auction Results.</w:t>
              </w:r>
            </w:p>
            <w:p w14:paraId="72E15BD2" w14:textId="77777777" w:rsidR="00D95FF7" w:rsidRDefault="00D95FF7" w:rsidP="004D4361">
              <w:pPr>
                <w:pStyle w:val="Bibliography"/>
                <w:spacing w:line="360" w:lineRule="auto"/>
                <w:ind w:left="720" w:hanging="720"/>
                <w:rPr>
                  <w:noProof/>
                  <w:lang w:val="tr-TR"/>
                </w:rPr>
              </w:pPr>
              <w:r>
                <w:rPr>
                  <w:noProof/>
                  <w:lang w:val="tr-TR"/>
                </w:rPr>
                <w:t>National Grid. (2023). Final Auction Reports, 2014- 2022.</w:t>
              </w:r>
            </w:p>
            <w:p w14:paraId="4A8C6BC5" w14:textId="77777777" w:rsidR="00D95FF7" w:rsidRDefault="00D95FF7" w:rsidP="004D4361">
              <w:pPr>
                <w:pStyle w:val="Bibliography"/>
                <w:spacing w:line="360" w:lineRule="auto"/>
                <w:ind w:left="720" w:hanging="720"/>
                <w:rPr>
                  <w:noProof/>
                  <w:lang w:val="tr-TR"/>
                </w:rPr>
              </w:pPr>
              <w:r>
                <w:rPr>
                  <w:noProof/>
                  <w:lang w:val="tr-TR"/>
                </w:rPr>
                <w:t>National Grid Data Portal. (2023). https://www.nationalgrideso.com/data-portal/historic-generation-mix adresinden alındı</w:t>
              </w:r>
            </w:p>
            <w:p w14:paraId="080F2E60" w14:textId="77777777" w:rsidR="00D95FF7" w:rsidRDefault="00D95FF7" w:rsidP="004D4361">
              <w:pPr>
                <w:pStyle w:val="Bibliography"/>
                <w:spacing w:line="360" w:lineRule="auto"/>
                <w:ind w:left="720" w:hanging="720"/>
                <w:rPr>
                  <w:noProof/>
                  <w:lang w:val="tr-TR"/>
                </w:rPr>
              </w:pPr>
              <w:r>
                <w:rPr>
                  <w:noProof/>
                  <w:lang w:val="tr-TR"/>
                </w:rPr>
                <w:t>Netztransparenz. (2023). https://www.netztransparenz.de/de-de/Systemdienstleistungen/Betriebsf%C3%BChrung/Kapazit%C3%A4tsreserve/Ver%C3%B6ffentlichungen-zum-Erbringungszeitraum-2022-2024 adresinden alındı</w:t>
              </w:r>
            </w:p>
            <w:p w14:paraId="4972C921" w14:textId="77777777" w:rsidR="00D95FF7" w:rsidRDefault="00D95FF7" w:rsidP="004D4361">
              <w:pPr>
                <w:pStyle w:val="Bibliography"/>
                <w:spacing w:line="360" w:lineRule="auto"/>
                <w:ind w:left="720" w:hanging="720"/>
                <w:rPr>
                  <w:noProof/>
                  <w:lang w:val="tr-TR"/>
                </w:rPr>
              </w:pPr>
              <w:r>
                <w:rPr>
                  <w:noProof/>
                  <w:lang w:val="tr-TR"/>
                </w:rPr>
                <w:t>Ofgem. (2020). Annual Report on the Operation of the Capacity Market in 2019/20.</w:t>
              </w:r>
            </w:p>
            <w:p w14:paraId="539ACFED" w14:textId="77777777" w:rsidR="00D95FF7" w:rsidRDefault="00D95FF7" w:rsidP="004D4361">
              <w:pPr>
                <w:pStyle w:val="Bibliography"/>
                <w:spacing w:line="360" w:lineRule="auto"/>
                <w:ind w:left="720" w:hanging="720"/>
                <w:rPr>
                  <w:noProof/>
                  <w:lang w:val="tr-TR"/>
                </w:rPr>
              </w:pPr>
              <w:r>
                <w:rPr>
                  <w:noProof/>
                  <w:lang w:val="tr-TR"/>
                </w:rPr>
                <w:t>Ofgem. (2023). Informal Consolidated Version of the Capacity Market Rules.</w:t>
              </w:r>
            </w:p>
            <w:p w14:paraId="7527A83D" w14:textId="77777777" w:rsidR="00D95FF7" w:rsidRDefault="00D95FF7" w:rsidP="004D4361">
              <w:pPr>
                <w:pStyle w:val="Bibliography"/>
                <w:spacing w:line="360" w:lineRule="auto"/>
                <w:ind w:left="720" w:hanging="720"/>
                <w:rPr>
                  <w:noProof/>
                  <w:lang w:val="tr-TR"/>
                </w:rPr>
              </w:pPr>
              <w:r>
                <w:rPr>
                  <w:noProof/>
                  <w:lang w:val="tr-TR"/>
                </w:rPr>
                <w:t>Our World in Data. (2023). https://ourworldindata.org/co2/country/germany?country=~DEU adresinden alındı</w:t>
              </w:r>
            </w:p>
            <w:p w14:paraId="0D6E10A4" w14:textId="77777777" w:rsidR="00D95FF7" w:rsidRDefault="00D95FF7" w:rsidP="004D4361">
              <w:pPr>
                <w:pStyle w:val="Bibliography"/>
                <w:spacing w:line="360" w:lineRule="auto"/>
                <w:ind w:left="720" w:hanging="720"/>
                <w:rPr>
                  <w:noProof/>
                  <w:lang w:val="tr-TR"/>
                </w:rPr>
              </w:pPr>
              <w:r>
                <w:rPr>
                  <w:noProof/>
                  <w:lang w:val="tr-TR"/>
                </w:rPr>
                <w:t xml:space="preserve">Özata, E. (2010). Türkiye’de Enerji Tüketimi ve Ekonomik Büyüme Arasındaki İlişkilerin Ekonometrik İncelemesi. </w:t>
              </w:r>
              <w:r>
                <w:rPr>
                  <w:i/>
                  <w:iCs/>
                  <w:noProof/>
                  <w:lang w:val="tr-TR"/>
                </w:rPr>
                <w:t>Dumlupınar Üniversitesi Sosyal Bilimler Dergisi</w:t>
              </w:r>
              <w:r>
                <w:rPr>
                  <w:noProof/>
                  <w:lang w:val="tr-TR"/>
                </w:rPr>
                <w:t>.</w:t>
              </w:r>
            </w:p>
            <w:p w14:paraId="52812D62" w14:textId="77777777" w:rsidR="00D95FF7" w:rsidRDefault="00D95FF7" w:rsidP="004D4361">
              <w:pPr>
                <w:pStyle w:val="Bibliography"/>
                <w:spacing w:line="360" w:lineRule="auto"/>
                <w:ind w:left="720" w:hanging="720"/>
                <w:rPr>
                  <w:noProof/>
                  <w:lang w:val="tr-TR"/>
                </w:rPr>
              </w:pPr>
              <w:r>
                <w:rPr>
                  <w:noProof/>
                  <w:lang w:val="tr-TR"/>
                </w:rPr>
                <w:t>Resmi Gazete. (2016). Elektrik Piyasası Kanunu'nda Değişiklik Yapılması.</w:t>
              </w:r>
            </w:p>
            <w:p w14:paraId="40B6DF38" w14:textId="77777777" w:rsidR="00D95FF7" w:rsidRDefault="00D95FF7" w:rsidP="004D4361">
              <w:pPr>
                <w:pStyle w:val="Bibliography"/>
                <w:spacing w:line="360" w:lineRule="auto"/>
                <w:ind w:left="720" w:hanging="720"/>
                <w:rPr>
                  <w:noProof/>
                  <w:lang w:val="tr-TR"/>
                </w:rPr>
              </w:pPr>
              <w:r>
                <w:rPr>
                  <w:noProof/>
                  <w:lang w:val="tr-TR"/>
                </w:rPr>
                <w:t>Resmi Gazete. (2018, Ocak 20). Elektrik Piyasası Kapasite Mekanizması Yönetmeliği.</w:t>
              </w:r>
            </w:p>
            <w:p w14:paraId="429E4049" w14:textId="77777777" w:rsidR="00D95FF7" w:rsidRDefault="00D95FF7" w:rsidP="004D4361">
              <w:pPr>
                <w:pStyle w:val="Bibliography"/>
                <w:spacing w:line="360" w:lineRule="auto"/>
                <w:ind w:left="720" w:hanging="720"/>
                <w:rPr>
                  <w:noProof/>
                  <w:lang w:val="tr-TR"/>
                </w:rPr>
              </w:pPr>
              <w:r>
                <w:rPr>
                  <w:noProof/>
                  <w:lang w:val="tr-TR"/>
                </w:rPr>
                <w:t>Resmi Gazete. (2021, Aralık 18). Elektrik Piyasası Kapasite Mekanizması Yönetmeliği.</w:t>
              </w:r>
            </w:p>
            <w:p w14:paraId="4C14FB4C" w14:textId="77777777" w:rsidR="00D95FF7" w:rsidRDefault="00D95FF7" w:rsidP="004D4361">
              <w:pPr>
                <w:pStyle w:val="Bibliography"/>
                <w:spacing w:line="360" w:lineRule="auto"/>
                <w:ind w:left="720" w:hanging="720"/>
                <w:rPr>
                  <w:noProof/>
                  <w:lang w:val="tr-TR"/>
                </w:rPr>
              </w:pPr>
              <w:r>
                <w:rPr>
                  <w:noProof/>
                  <w:lang w:val="tr-TR"/>
                </w:rPr>
                <w:t>Resmi Gazete. (2022, Kasım 19). Elektrik Piyasasında Depolama Faaliyetleri Yönetmeliği.</w:t>
              </w:r>
            </w:p>
            <w:p w14:paraId="37F03009" w14:textId="6B143D7D" w:rsidR="0011016D" w:rsidRPr="0011016D" w:rsidRDefault="0011016D" w:rsidP="0011016D">
              <w:pPr>
                <w:rPr>
                  <w:lang w:val="tr-TR"/>
                </w:rPr>
              </w:pPr>
              <w:proofErr w:type="gramStart"/>
              <w:r>
                <w:rPr>
                  <w:lang w:val="tr-TR"/>
                </w:rPr>
                <w:t>Resmi</w:t>
              </w:r>
              <w:proofErr w:type="gramEnd"/>
              <w:r>
                <w:rPr>
                  <w:lang w:val="tr-TR"/>
                </w:rPr>
                <w:t xml:space="preserve"> Gazete. (2023, Aralık 31). Elektrik Piyasası Kapasite Mekanizması Yönetmeliği.</w:t>
              </w:r>
            </w:p>
            <w:p w14:paraId="5BF97716" w14:textId="77777777" w:rsidR="00D95FF7" w:rsidRDefault="00D95FF7" w:rsidP="004D4361">
              <w:pPr>
                <w:pStyle w:val="Bibliography"/>
                <w:spacing w:line="360" w:lineRule="auto"/>
                <w:ind w:left="720" w:hanging="720"/>
                <w:rPr>
                  <w:noProof/>
                  <w:lang w:val="tr-TR"/>
                </w:rPr>
              </w:pPr>
              <w:r>
                <w:rPr>
                  <w:i/>
                  <w:iCs/>
                  <w:noProof/>
                  <w:lang w:val="tr-TR"/>
                </w:rPr>
                <w:t>Spain is our green country of the month</w:t>
              </w:r>
              <w:r>
                <w:rPr>
                  <w:noProof/>
                  <w:lang w:val="tr-TR"/>
                </w:rPr>
                <w:t>. (2023). Euronews: https://www.euronews.com/green/2023/08/31/free-train-tickets-renewables-and-coal-plant-closures-why-spain-is-our-green-country-of-th#:~:text=Spain%20is%20moving%20away%20from%20coal%20and%20towards%20renewables&amp;text=This%20month%2C%20it%20was%20confirmed, adresinden alındı</w:t>
              </w:r>
            </w:p>
            <w:p w14:paraId="0C5A7717" w14:textId="77777777" w:rsidR="00D95FF7" w:rsidRDefault="00D95FF7" w:rsidP="004D4361">
              <w:pPr>
                <w:pStyle w:val="Bibliography"/>
                <w:spacing w:line="360" w:lineRule="auto"/>
                <w:ind w:left="720" w:hanging="720"/>
                <w:rPr>
                  <w:noProof/>
                  <w:lang w:val="tr-TR"/>
                </w:rPr>
              </w:pPr>
              <w:r>
                <w:rPr>
                  <w:noProof/>
                  <w:lang w:val="tr-TR"/>
                </w:rPr>
                <w:t>TEİAŞ. (2023). Kapasite Mekanizması Ödemeler Listesi.</w:t>
              </w:r>
            </w:p>
            <w:p w14:paraId="059756A5" w14:textId="77777777" w:rsidR="00D95FF7" w:rsidRDefault="00D95FF7" w:rsidP="004D4361">
              <w:pPr>
                <w:pStyle w:val="Bibliography"/>
                <w:spacing w:line="360" w:lineRule="auto"/>
                <w:ind w:left="720" w:hanging="720"/>
                <w:rPr>
                  <w:noProof/>
                  <w:lang w:val="tr-TR"/>
                </w:rPr>
              </w:pPr>
              <w:r>
                <w:rPr>
                  <w:noProof/>
                  <w:lang w:val="tr-TR"/>
                </w:rPr>
                <w:t>The Electricity Capacity Regulations. ( 2014).</w:t>
              </w:r>
            </w:p>
            <w:p w14:paraId="53AC0BD6" w14:textId="0EA7FCCE" w:rsidR="00B3377B" w:rsidRPr="00CF336B" w:rsidRDefault="00B3377B" w:rsidP="004D4361">
              <w:pPr>
                <w:spacing w:line="360" w:lineRule="auto"/>
                <w:rPr>
                  <w:lang w:val="tr-TR"/>
                </w:rPr>
              </w:pPr>
              <w:r w:rsidRPr="00CF336B">
                <w:rPr>
                  <w:b/>
                  <w:bCs/>
                  <w:noProof/>
                  <w:lang w:val="tr-TR"/>
                </w:rPr>
                <w:fldChar w:fldCharType="end"/>
              </w:r>
            </w:p>
          </w:sdtContent>
        </w:sdt>
      </w:sdtContent>
    </w:sdt>
    <w:p w14:paraId="6D5FD3A8" w14:textId="77777777" w:rsidR="00B3377B" w:rsidRPr="00CF336B" w:rsidRDefault="00B3377B" w:rsidP="004D4361">
      <w:pPr>
        <w:spacing w:line="360" w:lineRule="auto"/>
        <w:rPr>
          <w:lang w:val="tr-TR"/>
        </w:rPr>
      </w:pPr>
    </w:p>
    <w:sectPr w:rsidR="00B3377B" w:rsidRPr="00CF336B" w:rsidSect="00CF2792">
      <w:headerReference w:type="default" r:id="rId59"/>
      <w:footerReference w:type="defaul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692CC" w14:textId="77777777" w:rsidR="00320D66" w:rsidRDefault="00320D66" w:rsidP="0093494B">
      <w:pPr>
        <w:spacing w:after="0" w:line="240" w:lineRule="auto"/>
      </w:pPr>
      <w:r>
        <w:separator/>
      </w:r>
    </w:p>
  </w:endnote>
  <w:endnote w:type="continuationSeparator" w:id="0">
    <w:p w14:paraId="7FB7AC94" w14:textId="77777777" w:rsidR="00320D66" w:rsidRDefault="00320D66" w:rsidP="0093494B">
      <w:pPr>
        <w:spacing w:after="0" w:line="240" w:lineRule="auto"/>
      </w:pPr>
      <w:r>
        <w:continuationSeparator/>
      </w:r>
    </w:p>
  </w:endnote>
  <w:endnote w:type="continuationNotice" w:id="1">
    <w:p w14:paraId="66E4894D" w14:textId="77777777" w:rsidR="00320D66" w:rsidRDefault="00320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96A2" w14:textId="18ED690D" w:rsidR="00CF2792" w:rsidRPr="00D13F51" w:rsidRDefault="00D13F51" w:rsidP="00D13F51">
    <w:pPr>
      <w:pStyle w:val="Footer"/>
    </w:pPr>
    <w:r w:rsidRPr="00D13F51">
      <w:rPr>
        <w:lang w:val="tr-TR"/>
      </w:rPr>
      <w:t>Türkiye Elektrik Piyasasında Kapasite Mekanizması ve Yerli Kömür Santrallerinin Mekanizma İçindeki Yeri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456D5" w14:textId="77777777" w:rsidR="00320D66" w:rsidRDefault="00320D66" w:rsidP="0093494B">
      <w:pPr>
        <w:spacing w:after="0" w:line="240" w:lineRule="auto"/>
      </w:pPr>
      <w:r>
        <w:separator/>
      </w:r>
    </w:p>
  </w:footnote>
  <w:footnote w:type="continuationSeparator" w:id="0">
    <w:p w14:paraId="247EAC42" w14:textId="77777777" w:rsidR="00320D66" w:rsidRDefault="00320D66" w:rsidP="0093494B">
      <w:pPr>
        <w:spacing w:after="0" w:line="240" w:lineRule="auto"/>
      </w:pPr>
      <w:r>
        <w:continuationSeparator/>
      </w:r>
    </w:p>
  </w:footnote>
  <w:footnote w:type="continuationNotice" w:id="1">
    <w:p w14:paraId="502AB869" w14:textId="77777777" w:rsidR="00320D66" w:rsidRDefault="00320D66">
      <w:pPr>
        <w:spacing w:after="0" w:line="240" w:lineRule="auto"/>
      </w:pPr>
    </w:p>
  </w:footnote>
  <w:footnote w:id="2">
    <w:p w14:paraId="7345D0D2" w14:textId="77777777" w:rsidR="00905501" w:rsidRPr="009C7B6A" w:rsidRDefault="00905501" w:rsidP="00570A9E">
      <w:pPr>
        <w:pStyle w:val="FootnoteText"/>
        <w:jc w:val="both"/>
        <w:rPr>
          <w:lang w:val="tr-TR"/>
        </w:rPr>
      </w:pPr>
      <w:r w:rsidRPr="009C7B6A">
        <w:rPr>
          <w:rStyle w:val="FootnoteReference"/>
          <w:lang w:val="tr-TR"/>
        </w:rPr>
        <w:footnoteRef/>
      </w:r>
      <w:r w:rsidRPr="009C7B6A">
        <w:rPr>
          <w:lang w:val="tr-TR"/>
        </w:rPr>
        <w:t xml:space="preserve"> Yap-İşlet santralleri 21 Mayıs 2021 tarihli Resmî Gazete’de yayımlanan düzenlemeye göre bu listeden çıkarılarak mekanizmadan yararlanmaya hak kazanmıştır.</w:t>
      </w:r>
    </w:p>
  </w:footnote>
  <w:footnote w:id="3">
    <w:p w14:paraId="5868F323" w14:textId="77777777" w:rsidR="00905501" w:rsidRPr="009C7B6A" w:rsidRDefault="00905501" w:rsidP="00905501">
      <w:pPr>
        <w:pStyle w:val="FootnoteText"/>
        <w:rPr>
          <w:lang w:val="tr-TR"/>
        </w:rPr>
      </w:pPr>
      <w:r w:rsidRPr="009C7B6A">
        <w:rPr>
          <w:rStyle w:val="FootnoteReference"/>
          <w:lang w:val="tr-TR"/>
        </w:rPr>
        <w:footnoteRef/>
      </w:r>
      <w:r w:rsidRPr="009C7B6A">
        <w:rPr>
          <w:lang w:val="tr-TR"/>
        </w:rPr>
        <w:t xml:space="preserve"> 9 Ocak 2019 tarihli Resmî Gazete’de yayımlanan düzenlemeye göre santral yaşı önce 10'dan 13'e </w:t>
      </w:r>
      <w:proofErr w:type="gramStart"/>
      <w:r w:rsidRPr="009C7B6A">
        <w:rPr>
          <w:lang w:val="tr-TR"/>
        </w:rPr>
        <w:t>revize edilmiş</w:t>
      </w:r>
      <w:proofErr w:type="gramEnd"/>
      <w:r w:rsidRPr="009C7B6A">
        <w:rPr>
          <w:lang w:val="tr-TR"/>
        </w:rPr>
        <w:t>, ardından 21 Mayıs 2021 tarihli Resmî Gazete’de yayımlanan düzenlemeye göre limit tamamen kaldırılmıştır.</w:t>
      </w:r>
    </w:p>
  </w:footnote>
  <w:footnote w:id="4">
    <w:p w14:paraId="4D446074" w14:textId="2CE07D26" w:rsidR="00905501" w:rsidRDefault="00905501" w:rsidP="00905501">
      <w:pPr>
        <w:pStyle w:val="FootnoteText"/>
      </w:pPr>
      <w:r w:rsidRPr="009C7B6A">
        <w:rPr>
          <w:rStyle w:val="FootnoteReference"/>
          <w:lang w:val="tr-TR"/>
        </w:rPr>
        <w:footnoteRef/>
      </w:r>
      <w:r w:rsidR="00BA4994" w:rsidRPr="00BA4994">
        <w:rPr>
          <w:lang w:val="tr-TR"/>
        </w:rPr>
        <w:t xml:space="preserve">Hidroelektrik santraller 10 Kasım 2018 tarihli Resmî Gazete’de yayımlanan düzenleme ile </w:t>
      </w:r>
      <w:r w:rsidR="00BA4994">
        <w:rPr>
          <w:lang w:val="tr-TR"/>
        </w:rPr>
        <w:t>kapasite mekanizmasından yararlanmaya başlamıştır. Fakat</w:t>
      </w:r>
      <w:r w:rsidRPr="009C7B6A">
        <w:rPr>
          <w:lang w:val="tr-TR"/>
        </w:rPr>
        <w:t xml:space="preserve"> </w:t>
      </w:r>
      <w:r w:rsidR="00032CA5">
        <w:rPr>
          <w:lang w:val="tr-TR"/>
        </w:rPr>
        <w:t>31 Aralık 2023</w:t>
      </w:r>
      <w:r w:rsidRPr="009C7B6A">
        <w:rPr>
          <w:lang w:val="tr-TR"/>
        </w:rPr>
        <w:t xml:space="preserve"> tarihli Resmî Gazete’</w:t>
      </w:r>
      <w:r w:rsidR="00032CA5">
        <w:rPr>
          <w:lang w:val="tr-TR"/>
        </w:rPr>
        <w:t xml:space="preserve">nin </w:t>
      </w:r>
      <w:r w:rsidR="00032CA5" w:rsidRPr="00032CA5">
        <w:rPr>
          <w:lang w:val="tr-TR"/>
        </w:rPr>
        <w:t xml:space="preserve">5. mükerrer </w:t>
      </w:r>
      <w:r w:rsidR="00032CA5">
        <w:rPr>
          <w:lang w:val="tr-TR"/>
        </w:rPr>
        <w:t>sayısında</w:t>
      </w:r>
      <w:r w:rsidRPr="009C7B6A">
        <w:rPr>
          <w:lang w:val="tr-TR"/>
        </w:rPr>
        <w:t xml:space="preserve"> yayımlanan düzenleme ile </w:t>
      </w:r>
      <w:r w:rsidR="005A54DE">
        <w:rPr>
          <w:lang w:val="tr-TR"/>
        </w:rPr>
        <w:t>2024 yılından itibaren yeniden</w:t>
      </w:r>
      <w:r w:rsidR="00BA4994">
        <w:rPr>
          <w:lang w:val="tr-TR"/>
        </w:rPr>
        <w:t xml:space="preserve"> </w:t>
      </w:r>
      <w:r w:rsidR="00032CA5">
        <w:rPr>
          <w:lang w:val="tr-TR"/>
        </w:rPr>
        <w:t>kapasite mekanizmasından yararlan</w:t>
      </w:r>
      <w:r w:rsidR="00BA4994">
        <w:rPr>
          <w:lang w:val="tr-TR"/>
        </w:rPr>
        <w:t>a</w:t>
      </w:r>
      <w:r w:rsidR="00032CA5">
        <w:rPr>
          <w:lang w:val="tr-TR"/>
        </w:rPr>
        <w:t>ma</w:t>
      </w:r>
      <w:r w:rsidR="005A54DE">
        <w:rPr>
          <w:lang w:val="tr-TR"/>
        </w:rPr>
        <w:t>yacak santraller listesine eklenmiştir.</w:t>
      </w:r>
    </w:p>
  </w:footnote>
  <w:footnote w:id="5">
    <w:p w14:paraId="53351AB4" w14:textId="77777777" w:rsidR="00905501" w:rsidRDefault="00905501" w:rsidP="00570A9E">
      <w:pPr>
        <w:pStyle w:val="FootnoteText"/>
        <w:jc w:val="both"/>
      </w:pPr>
      <w:r>
        <w:rPr>
          <w:rStyle w:val="FootnoteReference"/>
        </w:rPr>
        <w:footnoteRef/>
      </w:r>
      <w:r>
        <w:t xml:space="preserve"> </w:t>
      </w:r>
      <w:r w:rsidRPr="002F252F">
        <w:t>2018 yılında</w:t>
      </w:r>
      <w:r>
        <w:t xml:space="preserve"> ilgili yönetmeliğe geçici madde eklenerek başvuruların 31 Ocak 2018 tarihine kadar alınacağı ve listenin en geç 15 Şubat 2018 tarihinde açıklanacağı</w:t>
      </w:r>
      <w:r w:rsidRPr="004A748F">
        <w:t xml:space="preserve"> </w:t>
      </w:r>
      <w:r>
        <w:t>belirtilmiştir.</w:t>
      </w:r>
    </w:p>
  </w:footnote>
  <w:footnote w:id="6">
    <w:p w14:paraId="374E600E" w14:textId="77777777" w:rsidR="00905501" w:rsidRDefault="00905501" w:rsidP="00570A9E">
      <w:pPr>
        <w:pStyle w:val="FootnoteText"/>
        <w:jc w:val="both"/>
      </w:pPr>
      <w:r>
        <w:rPr>
          <w:rStyle w:val="FootnoteReference"/>
        </w:rPr>
        <w:footnoteRef/>
      </w:r>
      <w:r>
        <w:t xml:space="preserve"> Elektrik Piyasası Kapasite Mekanizması Yönetmeliği, 7. Madde, 3. Fıkra</w:t>
      </w:r>
    </w:p>
  </w:footnote>
  <w:footnote w:id="7">
    <w:p w14:paraId="54C7CBCE" w14:textId="77777777" w:rsidR="00905501" w:rsidRDefault="00905501" w:rsidP="00570A9E">
      <w:pPr>
        <w:pStyle w:val="FootnoteText"/>
        <w:jc w:val="both"/>
      </w:pPr>
      <w:r>
        <w:rPr>
          <w:rStyle w:val="FootnoteReference"/>
        </w:rPr>
        <w:footnoteRef/>
      </w:r>
      <w:r>
        <w:t xml:space="preserve"> Elektrik Piyasası Kapasite Mekanizması Yönetmeliği, 7. Madde, 4. Fıkra</w:t>
      </w:r>
    </w:p>
  </w:footnote>
  <w:footnote w:id="8">
    <w:p w14:paraId="2331458E" w14:textId="23674A99" w:rsidR="00F27275" w:rsidRPr="008A77BA" w:rsidRDefault="00F27275" w:rsidP="00570A9E">
      <w:pPr>
        <w:pStyle w:val="FootnoteText"/>
        <w:jc w:val="both"/>
        <w:rPr>
          <w:lang w:val="tr-TR"/>
        </w:rPr>
      </w:pPr>
      <w:r>
        <w:rPr>
          <w:rStyle w:val="FootnoteReference"/>
        </w:rPr>
        <w:footnoteRef/>
      </w:r>
      <w:r>
        <w:t xml:space="preserve"> </w:t>
      </w:r>
      <w:r>
        <w:rPr>
          <w:lang w:val="tr-TR"/>
        </w:rPr>
        <w:t>2021 yılı için bütçe her ne kadar 2,6 milyar TL olarak açıklansa da dağıtılan toplam tutar 2,9 milyar TL seviyesindedir.</w:t>
      </w:r>
    </w:p>
  </w:footnote>
  <w:footnote w:id="9">
    <w:p w14:paraId="5ED668ED" w14:textId="6E531E80" w:rsidR="00905501" w:rsidRPr="000E0F68" w:rsidRDefault="00905501" w:rsidP="002F2A85">
      <w:pPr>
        <w:pStyle w:val="FootnoteText"/>
        <w:jc w:val="both"/>
        <w:rPr>
          <w:lang w:val="tr-TR"/>
        </w:rPr>
      </w:pPr>
      <w:r>
        <w:rPr>
          <w:rStyle w:val="FootnoteReference"/>
        </w:rPr>
        <w:footnoteRef/>
      </w:r>
      <w:r>
        <w:t xml:space="preserve"> </w:t>
      </w:r>
      <w:r>
        <w:rPr>
          <w:lang w:val="tr-TR"/>
        </w:rPr>
        <w:t xml:space="preserve">2023 yılı verileri </w:t>
      </w:r>
      <w:r w:rsidR="000E6820">
        <w:rPr>
          <w:lang w:val="tr-TR"/>
        </w:rPr>
        <w:t>11</w:t>
      </w:r>
      <w:r>
        <w:rPr>
          <w:lang w:val="tr-TR"/>
        </w:rPr>
        <w:t xml:space="preserve"> aylık dönemi kapsamaktadır.</w:t>
      </w:r>
    </w:p>
  </w:footnote>
  <w:footnote w:id="10">
    <w:p w14:paraId="56BEDF16" w14:textId="6336862C" w:rsidR="00D80C7B" w:rsidRPr="00F1128F" w:rsidRDefault="00D80C7B" w:rsidP="00D80C7B">
      <w:pPr>
        <w:pStyle w:val="FootnoteText"/>
        <w:rPr>
          <w:lang w:val="tr-TR"/>
        </w:rPr>
      </w:pPr>
      <w:r>
        <w:rPr>
          <w:rStyle w:val="FootnoteReference"/>
        </w:rPr>
        <w:footnoteRef/>
      </w:r>
      <w:r>
        <w:t xml:space="preserve"> </w:t>
      </w:r>
      <w:r>
        <w:rPr>
          <w:lang w:val="tr-TR"/>
        </w:rPr>
        <w:t>Gösterilen değer</w:t>
      </w:r>
      <w:r w:rsidR="00C164A6">
        <w:rPr>
          <w:lang w:val="tr-TR"/>
        </w:rPr>
        <w:t>ler 2017 yılına kadar tüm depolama teknolojileri (depolamaya bitişik hidroelektrik santralleri dahil) göstermektedir. 2017 sonrasındaki değerler ise 1</w:t>
      </w:r>
      <w:r>
        <w:rPr>
          <w:lang w:val="tr-TR"/>
        </w:rPr>
        <w:t xml:space="preserve"> saatlik </w:t>
      </w:r>
      <w:r w:rsidR="0050364F">
        <w:rPr>
          <w:lang w:val="tr-TR"/>
        </w:rPr>
        <w:t xml:space="preserve">depolama </w:t>
      </w:r>
      <w:r>
        <w:rPr>
          <w:lang w:val="tr-TR"/>
        </w:rPr>
        <w:t>kapasite</w:t>
      </w:r>
      <w:r w:rsidR="0050364F">
        <w:rPr>
          <w:lang w:val="tr-TR"/>
        </w:rPr>
        <w:t>sine</w:t>
      </w:r>
      <w:r>
        <w:rPr>
          <w:lang w:val="tr-TR"/>
        </w:rPr>
        <w:t xml:space="preserve"> sahip olan bataryalar içindir.</w:t>
      </w:r>
    </w:p>
  </w:footnote>
  <w:footnote w:id="11">
    <w:p w14:paraId="5485FA53" w14:textId="566477E6" w:rsidR="00153D02" w:rsidRPr="009C4C8B" w:rsidRDefault="00153D02">
      <w:pPr>
        <w:pStyle w:val="FootnoteText"/>
        <w:rPr>
          <w:lang w:val="tr-TR"/>
        </w:rPr>
      </w:pPr>
      <w:r>
        <w:rPr>
          <w:rStyle w:val="FootnoteReference"/>
        </w:rPr>
        <w:footnoteRef/>
      </w:r>
      <w:r>
        <w:t xml:space="preserve"> </w:t>
      </w:r>
      <w:r>
        <w:rPr>
          <w:lang w:val="tr-TR"/>
        </w:rPr>
        <w:t>2018 yılında yapılması planlanan T-4 ihalesi ertelenmiş ve 2019 yılında T-3 olarak gerçekleştirilmiştir.</w:t>
      </w:r>
    </w:p>
  </w:footnote>
  <w:footnote w:id="12">
    <w:p w14:paraId="3B4B4705" w14:textId="77777777" w:rsidR="00CB3856" w:rsidRPr="008A0128" w:rsidRDefault="00CB3856" w:rsidP="00A6297A">
      <w:pPr>
        <w:pStyle w:val="FootnoteText"/>
        <w:jc w:val="both"/>
      </w:pPr>
      <w:r>
        <w:rPr>
          <w:rStyle w:val="FootnoteReference"/>
        </w:rPr>
        <w:footnoteRef/>
      </w:r>
      <w:r>
        <w:t xml:space="preserve"> 9</w:t>
      </w:r>
      <w:r w:rsidRPr="00597D0E">
        <w:t xml:space="preserve"> Ağustos 2016 Tarihli ve 29789 Sayılı Resmî Gazete</w:t>
      </w:r>
    </w:p>
  </w:footnote>
  <w:footnote w:id="13">
    <w:p w14:paraId="51F04EA0" w14:textId="77777777" w:rsidR="00CB3856" w:rsidRPr="00CE35C1" w:rsidRDefault="00CB3856" w:rsidP="00A6297A">
      <w:pPr>
        <w:pStyle w:val="FootnoteText"/>
        <w:jc w:val="both"/>
      </w:pPr>
      <w:r>
        <w:rPr>
          <w:rStyle w:val="FootnoteReference"/>
        </w:rPr>
        <w:footnoteRef/>
      </w:r>
      <w:r>
        <w:t xml:space="preserve"> 2018 yılı öncesinde TETAŞ’ın yürüttüğü bu işlevi 2018 yılında TETAŞ ve EÜAŞ’ın birleştirilmesinin ardından EÜAŞ üstlenmiştir.</w:t>
      </w:r>
    </w:p>
  </w:footnote>
  <w:footnote w:id="14">
    <w:p w14:paraId="0B0538BA" w14:textId="77777777" w:rsidR="00CB3856" w:rsidRDefault="00CB3856" w:rsidP="00A6297A">
      <w:pPr>
        <w:pStyle w:val="FootnoteText"/>
        <w:jc w:val="both"/>
      </w:pPr>
      <w:r>
        <w:rPr>
          <w:rStyle w:val="FootnoteReference"/>
        </w:rPr>
        <w:footnoteRef/>
      </w:r>
      <w:r>
        <w:t xml:space="preserve"> 2017 yılının tamamı ve 2018, 2019 yıllarının ilk çeyrekleri ilan edilen değerlerdir. Diğer çeyrekler için fiyatlar formülasyona göre hesaplanmıştır.</w:t>
      </w:r>
    </w:p>
  </w:footnote>
  <w:footnote w:id="15">
    <w:p w14:paraId="266563F0" w14:textId="77777777" w:rsidR="002B4A86" w:rsidRPr="007C5A5A" w:rsidRDefault="002B4A86" w:rsidP="002B4A86">
      <w:pPr>
        <w:pStyle w:val="FootnoteText"/>
        <w:rPr>
          <w:lang w:val="tr-TR"/>
        </w:rPr>
      </w:pPr>
      <w:r>
        <w:rPr>
          <w:rStyle w:val="FootnoteReference"/>
        </w:rPr>
        <w:footnoteRef/>
      </w:r>
      <w:r>
        <w:t xml:space="preserve"> </w:t>
      </w:r>
      <w:r>
        <w:rPr>
          <w:lang w:val="tr-TR"/>
        </w:rPr>
        <w:t>Bu gösterimde yer alan tarihler mevsimsellik etkisini göstermek adına rastgele seçilmiştir.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B060" w14:textId="3973F858" w:rsidR="00E0184E" w:rsidRPr="009C4C8B" w:rsidRDefault="00E0184E" w:rsidP="009C4C8B">
    <w:pPr>
      <w:tabs>
        <w:tab w:val="left" w:pos="11135"/>
      </w:tabs>
      <w:ind w:left="6096" w:right="-846"/>
      <w:jc w:val="both"/>
      <w:rPr>
        <w:sz w:val="20"/>
        <w:szCs w:val="20"/>
      </w:rPr>
    </w:pPr>
    <w:r w:rsidRPr="006B44F6">
      <w:rPr>
        <w:noProof/>
        <w:sz w:val="20"/>
        <w:szCs w:val="20"/>
        <w:lang w:val="tr-TR" w:eastAsia="tr-TR"/>
      </w:rPr>
      <mc:AlternateContent>
        <mc:Choice Requires="wpg">
          <w:drawing>
            <wp:anchor distT="0" distB="0" distL="114300" distR="114300" simplePos="0" relativeHeight="251659264" behindDoc="1" locked="0" layoutInCell="1" allowOverlap="1" wp14:anchorId="047CA6B7" wp14:editId="3D146B2F">
              <wp:simplePos x="0" y="0"/>
              <wp:positionH relativeFrom="page">
                <wp:posOffset>450214</wp:posOffset>
              </wp:positionH>
              <wp:positionV relativeFrom="paragraph">
                <wp:posOffset>457199</wp:posOffset>
              </wp:positionV>
              <wp:extent cx="6858635" cy="45719"/>
              <wp:effectExtent l="0" t="0" r="0" b="0"/>
              <wp:wrapNone/>
              <wp:docPr id="15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45719"/>
                        <a:chOff x="709" y="718"/>
                        <a:chExt cx="10488" cy="0"/>
                      </a:xfrm>
                    </wpg:grpSpPr>
                    <wps:wsp>
                      <wps:cNvPr id="157" name="Freeform 158"/>
                      <wps:cNvSpPr>
                        <a:spLocks/>
                      </wps:cNvSpPr>
                      <wps:spPr bwMode="auto">
                        <a:xfrm>
                          <a:off x="709" y="718"/>
                          <a:ext cx="10488" cy="0"/>
                        </a:xfrm>
                        <a:custGeom>
                          <a:avLst/>
                          <a:gdLst>
                            <a:gd name="T0" fmla="+- 0 11197 709"/>
                            <a:gd name="T1" fmla="*/ T0 w 10488"/>
                            <a:gd name="T2" fmla="+- 0 709 709"/>
                            <a:gd name="T3" fmla="*/ T2 w 10488"/>
                          </a:gdLst>
                          <a:ahLst/>
                          <a:cxnLst>
                            <a:cxn ang="0">
                              <a:pos x="T1" y="0"/>
                            </a:cxn>
                            <a:cxn ang="0">
                              <a:pos x="T3" y="0"/>
                            </a:cxn>
                          </a:cxnLst>
                          <a:rect l="0" t="0" r="r" b="b"/>
                          <a:pathLst>
                            <a:path w="10488">
                              <a:moveTo>
                                <a:pt x="10488" y="0"/>
                              </a:moveTo>
                              <a:lnTo>
                                <a:pt x="0" y="0"/>
                              </a:lnTo>
                            </a:path>
                          </a:pathLst>
                        </a:custGeom>
                        <a:noFill/>
                        <a:ln w="6350">
                          <a:solidFill>
                            <a:srgbClr val="22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89192" id="Group 157" o:spid="_x0000_s1026" style="position:absolute;margin-left:35.45pt;margin-top:36pt;width:540.05pt;height:3.6pt;z-index:-251657216;mso-position-horizontal-relative:page" coordorigin="709,718" coordsize="10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">
              <v:shape id="Freeform 158" o:spid="_x0000_s1027" style="position:absolute;left:709;top:718;width:10488;height:0;visibility:visible;mso-wrap-style:square;v-text-anchor:top" coordsize="10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" path="m10488,l,e" filled="f" strokecolor="#221f20" strokeweight=".5pt">
                <v:path arrowok="t" o:connecttype="custom" o:connectlocs="10488,0;0,0" o:connectangles="0,0"/>
              </v:shape>
              <w10:wrap anchorx="page"/>
            </v:group>
          </w:pict>
        </mc:Fallback>
      </mc:AlternateContent>
    </w:r>
    <w:r w:rsidRPr="006B44F6">
      <w:rPr>
        <w:noProof/>
        <w:sz w:val="20"/>
        <w:szCs w:val="20"/>
        <w:lang w:val="tr-TR" w:eastAsia="tr-TR"/>
      </w:rPr>
      <mc:AlternateContent>
        <mc:Choice Requires="wpg">
          <w:drawing>
            <wp:anchor distT="0" distB="0" distL="114300" distR="114300" simplePos="0" relativeHeight="251667456" behindDoc="1" locked="0" layoutInCell="1" allowOverlap="1" wp14:anchorId="5360C676" wp14:editId="42AA7548">
              <wp:simplePos x="0" y="0"/>
              <wp:positionH relativeFrom="page">
                <wp:posOffset>511901</wp:posOffset>
              </wp:positionH>
              <wp:positionV relativeFrom="page">
                <wp:posOffset>434975</wp:posOffset>
              </wp:positionV>
              <wp:extent cx="855980" cy="198120"/>
              <wp:effectExtent l="0" t="0" r="1270" b="0"/>
              <wp:wrapNone/>
              <wp:docPr id="1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198120"/>
                        <a:chOff x="704" y="685"/>
                        <a:chExt cx="1348" cy="312"/>
                      </a:xfrm>
                    </wpg:grpSpPr>
                    <wpg:grpSp>
                      <wpg:cNvPr id="123" name="Group 124"/>
                      <wpg:cNvGrpSpPr>
                        <a:grpSpLocks/>
                      </wpg:cNvGrpSpPr>
                      <wpg:grpSpPr bwMode="auto">
                        <a:xfrm>
                          <a:off x="709" y="692"/>
                          <a:ext cx="328" cy="295"/>
                          <a:chOff x="709" y="692"/>
                          <a:chExt cx="328" cy="295"/>
                        </a:xfrm>
                      </wpg:grpSpPr>
                      <wps:wsp>
                        <wps:cNvPr id="124" name="Freeform 134"/>
                        <wps:cNvSpPr>
                          <a:spLocks/>
                        </wps:cNvSpPr>
                        <wps:spPr bwMode="auto">
                          <a:xfrm>
                            <a:off x="709" y="692"/>
                            <a:ext cx="328" cy="295"/>
                          </a:xfrm>
                          <a:custGeom>
                            <a:avLst/>
                            <a:gdLst>
                              <a:gd name="T0" fmla="+- 0 839 709"/>
                              <a:gd name="T1" fmla="*/ T0 w 328"/>
                              <a:gd name="T2" fmla="+- 0 871 692"/>
                              <a:gd name="T3" fmla="*/ 871 h 295"/>
                              <a:gd name="T4" fmla="+- 0 928 709"/>
                              <a:gd name="T5" fmla="*/ T4 w 328"/>
                              <a:gd name="T6" fmla="+- 0 935 692"/>
                              <a:gd name="T7" fmla="*/ 935 h 295"/>
                              <a:gd name="T8" fmla="+- 0 950 709"/>
                              <a:gd name="T9" fmla="*/ T8 w 328"/>
                              <a:gd name="T10" fmla="+- 0 987 692"/>
                              <a:gd name="T11" fmla="*/ 987 h 295"/>
                              <a:gd name="T12" fmla="+- 0 1037 709"/>
                              <a:gd name="T13" fmla="*/ T12 w 328"/>
                              <a:gd name="T14" fmla="+- 0 987 692"/>
                              <a:gd name="T15" fmla="*/ 987 h 295"/>
                              <a:gd name="T16" fmla="+- 0 912 709"/>
                              <a:gd name="T17" fmla="*/ T16 w 328"/>
                              <a:gd name="T18" fmla="+- 0 692 692"/>
                              <a:gd name="T19" fmla="*/ 692 h 295"/>
                              <a:gd name="T20" fmla="+- 0 834 709"/>
                              <a:gd name="T21" fmla="*/ T20 w 328"/>
                              <a:gd name="T22" fmla="+- 0 692 692"/>
                              <a:gd name="T23" fmla="*/ 692 h 295"/>
                              <a:gd name="T24" fmla="+- 0 709 709"/>
                              <a:gd name="T25" fmla="*/ T24 w 328"/>
                              <a:gd name="T26" fmla="+- 0 987 692"/>
                              <a:gd name="T27" fmla="*/ 987 h 295"/>
                              <a:gd name="T28" fmla="+- 0 794 709"/>
                              <a:gd name="T29" fmla="*/ T28 w 328"/>
                              <a:gd name="T30" fmla="+- 0 987 692"/>
                              <a:gd name="T31" fmla="*/ 987 h 295"/>
                              <a:gd name="T32" fmla="+- 0 815 709"/>
                              <a:gd name="T33" fmla="*/ T32 w 328"/>
                              <a:gd name="T34" fmla="+- 0 935 692"/>
                              <a:gd name="T35" fmla="*/ 935 h 295"/>
                              <a:gd name="T36" fmla="+- 0 928 709"/>
                              <a:gd name="T37" fmla="*/ T36 w 328"/>
                              <a:gd name="T38" fmla="+- 0 935 692"/>
                              <a:gd name="T39" fmla="*/ 935 h 295"/>
                              <a:gd name="T40" fmla="+- 0 839 709"/>
                              <a:gd name="T41" fmla="*/ T40 w 328"/>
                              <a:gd name="T42" fmla="+- 0 871 692"/>
                              <a:gd name="T43" fmla="*/ 871 h 295"/>
                              <a:gd name="T44" fmla="+- 0 872 709"/>
                              <a:gd name="T45" fmla="*/ T44 w 328"/>
                              <a:gd name="T46" fmla="+- 0 788 692"/>
                              <a:gd name="T47" fmla="*/ 788 h 295"/>
                              <a:gd name="T48" fmla="+- 0 905 709"/>
                              <a:gd name="T49" fmla="*/ T48 w 328"/>
                              <a:gd name="T50" fmla="+- 0 871 692"/>
                              <a:gd name="T51" fmla="*/ 871 h 295"/>
                              <a:gd name="T52" fmla="+- 0 839 709"/>
                              <a:gd name="T53" fmla="*/ T52 w 328"/>
                              <a:gd name="T54" fmla="+- 0 871 692"/>
                              <a:gd name="T55" fmla="*/ 871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8" h="295">
                                <a:moveTo>
                                  <a:pt x="130" y="179"/>
                                </a:moveTo>
                                <a:lnTo>
                                  <a:pt x="219" y="243"/>
                                </a:lnTo>
                                <a:lnTo>
                                  <a:pt x="241" y="295"/>
                                </a:lnTo>
                                <a:lnTo>
                                  <a:pt x="328" y="295"/>
                                </a:lnTo>
                                <a:lnTo>
                                  <a:pt x="203" y="0"/>
                                </a:lnTo>
                                <a:lnTo>
                                  <a:pt x="125" y="0"/>
                                </a:lnTo>
                                <a:lnTo>
                                  <a:pt x="0" y="295"/>
                                </a:lnTo>
                                <a:lnTo>
                                  <a:pt x="85" y="295"/>
                                </a:lnTo>
                                <a:lnTo>
                                  <a:pt x="106" y="243"/>
                                </a:lnTo>
                                <a:lnTo>
                                  <a:pt x="219" y="243"/>
                                </a:lnTo>
                                <a:lnTo>
                                  <a:pt x="130" y="179"/>
                                </a:lnTo>
                                <a:lnTo>
                                  <a:pt x="163" y="96"/>
                                </a:lnTo>
                                <a:lnTo>
                                  <a:pt x="196" y="179"/>
                                </a:lnTo>
                                <a:lnTo>
                                  <a:pt x="130" y="179"/>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55138672" name="Group 125"/>
                        <wpg:cNvGrpSpPr>
                          <a:grpSpLocks/>
                        </wpg:cNvGrpSpPr>
                        <wpg:grpSpPr bwMode="auto">
                          <a:xfrm>
                            <a:off x="1064" y="694"/>
                            <a:ext cx="220" cy="293"/>
                            <a:chOff x="1064" y="694"/>
                            <a:chExt cx="220" cy="293"/>
                          </a:xfrm>
                        </wpg:grpSpPr>
                        <wps:wsp>
                          <wps:cNvPr id="1834417686" name="Freeform 133"/>
                          <wps:cNvSpPr>
                            <a:spLocks/>
                          </wps:cNvSpPr>
                          <wps:spPr bwMode="auto">
                            <a:xfrm>
                              <a:off x="1064" y="694"/>
                              <a:ext cx="220" cy="293"/>
                            </a:xfrm>
                            <a:custGeom>
                              <a:avLst/>
                              <a:gdLst>
                                <a:gd name="T0" fmla="+- 0 1097 1064"/>
                                <a:gd name="T1" fmla="*/ T0 w 220"/>
                                <a:gd name="T2" fmla="+- 0 724 694"/>
                                <a:gd name="T3" fmla="*/ 724 h 293"/>
                                <a:gd name="T4" fmla="+- 0 1171 1064"/>
                                <a:gd name="T5" fmla="*/ T4 w 220"/>
                                <a:gd name="T6" fmla="+- 0 724 694"/>
                                <a:gd name="T7" fmla="*/ 724 h 293"/>
                                <a:gd name="T8" fmla="+- 0 1174 1064"/>
                                <a:gd name="T9" fmla="*/ T8 w 220"/>
                                <a:gd name="T10" fmla="+- 0 694 694"/>
                                <a:gd name="T11" fmla="*/ 694 h 293"/>
                                <a:gd name="T12" fmla="+- 0 1064 1064"/>
                                <a:gd name="T13" fmla="*/ T12 w 220"/>
                                <a:gd name="T14" fmla="+- 0 694 694"/>
                                <a:gd name="T15" fmla="*/ 694 h 293"/>
                                <a:gd name="T16" fmla="+- 0 1064 1064"/>
                                <a:gd name="T17" fmla="*/ T16 w 220"/>
                                <a:gd name="T18" fmla="+- 0 987 694"/>
                                <a:gd name="T19" fmla="*/ 987 h 293"/>
                                <a:gd name="T20" fmla="+- 0 1097 1064"/>
                                <a:gd name="T21" fmla="*/ T20 w 220"/>
                                <a:gd name="T22" fmla="+- 0 987 694"/>
                                <a:gd name="T23" fmla="*/ 987 h 293"/>
                                <a:gd name="T24" fmla="+- 0 1097 1064"/>
                                <a:gd name="T25" fmla="*/ T24 w 220"/>
                                <a:gd name="T26" fmla="+- 0 724 694"/>
                                <a:gd name="T27" fmla="*/ 724 h 293"/>
                              </a:gdLst>
                              <a:ahLst/>
                              <a:cxnLst>
                                <a:cxn ang="0">
                                  <a:pos x="T1" y="T3"/>
                                </a:cxn>
                                <a:cxn ang="0">
                                  <a:pos x="T5" y="T7"/>
                                </a:cxn>
                                <a:cxn ang="0">
                                  <a:pos x="T9" y="T11"/>
                                </a:cxn>
                                <a:cxn ang="0">
                                  <a:pos x="T13" y="T15"/>
                                </a:cxn>
                                <a:cxn ang="0">
                                  <a:pos x="T17" y="T19"/>
                                </a:cxn>
                                <a:cxn ang="0">
                                  <a:pos x="T21" y="T23"/>
                                </a:cxn>
                                <a:cxn ang="0">
                                  <a:pos x="T25" y="T27"/>
                                </a:cxn>
                              </a:cxnLst>
                              <a:rect l="0" t="0" r="r" b="b"/>
                              <a:pathLst>
                                <a:path w="220" h="293">
                                  <a:moveTo>
                                    <a:pt x="33" y="30"/>
                                  </a:moveTo>
                                  <a:lnTo>
                                    <a:pt x="107" y="30"/>
                                  </a:lnTo>
                                  <a:lnTo>
                                    <a:pt x="110" y="0"/>
                                  </a:lnTo>
                                  <a:lnTo>
                                    <a:pt x="0" y="0"/>
                                  </a:lnTo>
                                  <a:lnTo>
                                    <a:pt x="0" y="293"/>
                                  </a:lnTo>
                                  <a:lnTo>
                                    <a:pt x="33" y="293"/>
                                  </a:lnTo>
                                  <a:lnTo>
                                    <a:pt x="33" y="3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252796" name="Freeform 132"/>
                          <wps:cNvSpPr>
                            <a:spLocks/>
                          </wps:cNvSpPr>
                          <wps:spPr bwMode="auto">
                            <a:xfrm>
                              <a:off x="1064" y="694"/>
                              <a:ext cx="220" cy="293"/>
                            </a:xfrm>
                            <a:custGeom>
                              <a:avLst/>
                              <a:gdLst>
                                <a:gd name="T0" fmla="+- 0 1171 1064"/>
                                <a:gd name="T1" fmla="*/ T0 w 220"/>
                                <a:gd name="T2" fmla="+- 0 724 694"/>
                                <a:gd name="T3" fmla="*/ 724 h 293"/>
                                <a:gd name="T4" fmla="+- 0 1199 1064"/>
                                <a:gd name="T5" fmla="*/ T4 w 220"/>
                                <a:gd name="T6" fmla="+- 0 727 694"/>
                                <a:gd name="T7" fmla="*/ 727 h 293"/>
                                <a:gd name="T8" fmla="+- 0 1220 1064"/>
                                <a:gd name="T9" fmla="*/ T8 w 220"/>
                                <a:gd name="T10" fmla="+- 0 735 694"/>
                                <a:gd name="T11" fmla="*/ 735 h 293"/>
                                <a:gd name="T12" fmla="+- 0 1236 1064"/>
                                <a:gd name="T13" fmla="*/ T12 w 220"/>
                                <a:gd name="T14" fmla="+- 0 748 694"/>
                                <a:gd name="T15" fmla="*/ 748 h 293"/>
                                <a:gd name="T16" fmla="+- 0 1247 1064"/>
                                <a:gd name="T17" fmla="*/ T16 w 220"/>
                                <a:gd name="T18" fmla="+- 0 766 694"/>
                                <a:gd name="T19" fmla="*/ 766 h 293"/>
                                <a:gd name="T20" fmla="+- 0 1250 1064"/>
                                <a:gd name="T21" fmla="*/ T20 w 220"/>
                                <a:gd name="T22" fmla="+- 0 788 694"/>
                                <a:gd name="T23" fmla="*/ 788 h 293"/>
                                <a:gd name="T24" fmla="+- 0 1250 1064"/>
                                <a:gd name="T25" fmla="*/ T24 w 220"/>
                                <a:gd name="T26" fmla="+- 0 792 694"/>
                                <a:gd name="T27" fmla="*/ 792 h 293"/>
                                <a:gd name="T28" fmla="+- 0 1245 1064"/>
                                <a:gd name="T29" fmla="*/ T28 w 220"/>
                                <a:gd name="T30" fmla="+- 0 813 694"/>
                                <a:gd name="T31" fmla="*/ 813 h 293"/>
                                <a:gd name="T32" fmla="+- 0 1234 1064"/>
                                <a:gd name="T33" fmla="*/ T32 w 220"/>
                                <a:gd name="T34" fmla="+- 0 830 694"/>
                                <a:gd name="T35" fmla="*/ 830 h 293"/>
                                <a:gd name="T36" fmla="+- 0 1218 1064"/>
                                <a:gd name="T37" fmla="*/ T36 w 220"/>
                                <a:gd name="T38" fmla="+- 0 842 694"/>
                                <a:gd name="T39" fmla="*/ 842 h 293"/>
                                <a:gd name="T40" fmla="+- 0 1196 1064"/>
                                <a:gd name="T41" fmla="*/ T40 w 220"/>
                                <a:gd name="T42" fmla="+- 0 851 694"/>
                                <a:gd name="T43" fmla="*/ 851 h 293"/>
                                <a:gd name="T44" fmla="+- 0 1170 1064"/>
                                <a:gd name="T45" fmla="*/ T44 w 220"/>
                                <a:gd name="T46" fmla="+- 0 853 694"/>
                                <a:gd name="T47" fmla="*/ 853 h 293"/>
                                <a:gd name="T48" fmla="+- 0 1097 1064"/>
                                <a:gd name="T49" fmla="*/ T48 w 220"/>
                                <a:gd name="T50" fmla="+- 0 853 694"/>
                                <a:gd name="T51" fmla="*/ 853 h 293"/>
                                <a:gd name="T52" fmla="+- 0 1097 1064"/>
                                <a:gd name="T53" fmla="*/ T52 w 220"/>
                                <a:gd name="T54" fmla="+- 0 884 694"/>
                                <a:gd name="T55" fmla="*/ 884 h 293"/>
                                <a:gd name="T56" fmla="+- 0 1168 1064"/>
                                <a:gd name="T57" fmla="*/ T56 w 220"/>
                                <a:gd name="T58" fmla="+- 0 884 694"/>
                                <a:gd name="T59" fmla="*/ 884 h 293"/>
                                <a:gd name="T60" fmla="+- 0 1181 1064"/>
                                <a:gd name="T61" fmla="*/ T60 w 220"/>
                                <a:gd name="T62" fmla="+- 0 883 694"/>
                                <a:gd name="T63" fmla="*/ 883 h 293"/>
                                <a:gd name="T64" fmla="+- 0 1204 1064"/>
                                <a:gd name="T65" fmla="*/ T64 w 220"/>
                                <a:gd name="T66" fmla="+- 0 880 694"/>
                                <a:gd name="T67" fmla="*/ 880 h 293"/>
                                <a:gd name="T68" fmla="+- 0 1226 1064"/>
                                <a:gd name="T69" fmla="*/ T68 w 220"/>
                                <a:gd name="T70" fmla="+- 0 873 694"/>
                                <a:gd name="T71" fmla="*/ 873 h 293"/>
                                <a:gd name="T72" fmla="+- 0 1245 1064"/>
                                <a:gd name="T73" fmla="*/ T72 w 220"/>
                                <a:gd name="T74" fmla="+- 0 862 694"/>
                                <a:gd name="T75" fmla="*/ 862 h 293"/>
                                <a:gd name="T76" fmla="+- 0 1261 1064"/>
                                <a:gd name="T77" fmla="*/ T76 w 220"/>
                                <a:gd name="T78" fmla="+- 0 849 694"/>
                                <a:gd name="T79" fmla="*/ 849 h 293"/>
                                <a:gd name="T80" fmla="+- 0 1273 1064"/>
                                <a:gd name="T81" fmla="*/ T80 w 220"/>
                                <a:gd name="T82" fmla="+- 0 832 694"/>
                                <a:gd name="T83" fmla="*/ 832 h 293"/>
                                <a:gd name="T84" fmla="+- 0 1281 1064"/>
                                <a:gd name="T85" fmla="*/ T84 w 220"/>
                                <a:gd name="T86" fmla="+- 0 811 694"/>
                                <a:gd name="T87" fmla="*/ 811 h 293"/>
                                <a:gd name="T88" fmla="+- 0 1284 1064"/>
                                <a:gd name="T89" fmla="*/ T88 w 220"/>
                                <a:gd name="T90" fmla="+- 0 788 694"/>
                                <a:gd name="T91" fmla="*/ 788 h 293"/>
                                <a:gd name="T92" fmla="+- 0 1284 1064"/>
                                <a:gd name="T93" fmla="*/ T92 w 220"/>
                                <a:gd name="T94" fmla="+- 0 782 694"/>
                                <a:gd name="T95" fmla="*/ 782 h 293"/>
                                <a:gd name="T96" fmla="+- 0 1280 1064"/>
                                <a:gd name="T97" fmla="*/ T96 w 220"/>
                                <a:gd name="T98" fmla="+- 0 760 694"/>
                                <a:gd name="T99" fmla="*/ 760 h 293"/>
                                <a:gd name="T100" fmla="+- 0 1272 1064"/>
                                <a:gd name="T101" fmla="*/ T100 w 220"/>
                                <a:gd name="T102" fmla="+- 0 741 694"/>
                                <a:gd name="T103" fmla="*/ 741 h 293"/>
                                <a:gd name="T104" fmla="+- 0 1260 1064"/>
                                <a:gd name="T105" fmla="*/ T104 w 220"/>
                                <a:gd name="T106" fmla="+- 0 724 694"/>
                                <a:gd name="T107" fmla="*/ 724 h 293"/>
                                <a:gd name="T108" fmla="+- 0 1243 1064"/>
                                <a:gd name="T109" fmla="*/ T108 w 220"/>
                                <a:gd name="T110" fmla="+- 0 711 694"/>
                                <a:gd name="T111" fmla="*/ 711 h 293"/>
                                <a:gd name="T112" fmla="+- 0 1223 1064"/>
                                <a:gd name="T113" fmla="*/ T112 w 220"/>
                                <a:gd name="T114" fmla="+- 0 702 694"/>
                                <a:gd name="T115" fmla="*/ 702 h 293"/>
                                <a:gd name="T116" fmla="+- 0 1200 1064"/>
                                <a:gd name="T117" fmla="*/ T116 w 220"/>
                                <a:gd name="T118" fmla="+- 0 696 694"/>
                                <a:gd name="T119" fmla="*/ 696 h 293"/>
                                <a:gd name="T120" fmla="+- 0 1174 1064"/>
                                <a:gd name="T121" fmla="*/ T120 w 220"/>
                                <a:gd name="T122" fmla="+- 0 694 694"/>
                                <a:gd name="T123" fmla="*/ 694 h 293"/>
                                <a:gd name="T124" fmla="+- 0 1171 1064"/>
                                <a:gd name="T125" fmla="*/ T124 w 220"/>
                                <a:gd name="T126" fmla="+- 0 724 694"/>
                                <a:gd name="T127" fmla="*/ 72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0" h="293">
                                  <a:moveTo>
                                    <a:pt x="107" y="30"/>
                                  </a:moveTo>
                                  <a:lnTo>
                                    <a:pt x="135" y="33"/>
                                  </a:lnTo>
                                  <a:lnTo>
                                    <a:pt x="156" y="41"/>
                                  </a:lnTo>
                                  <a:lnTo>
                                    <a:pt x="172" y="54"/>
                                  </a:lnTo>
                                  <a:lnTo>
                                    <a:pt x="183" y="72"/>
                                  </a:lnTo>
                                  <a:lnTo>
                                    <a:pt x="186" y="94"/>
                                  </a:lnTo>
                                  <a:lnTo>
                                    <a:pt x="186" y="98"/>
                                  </a:lnTo>
                                  <a:lnTo>
                                    <a:pt x="181" y="119"/>
                                  </a:lnTo>
                                  <a:lnTo>
                                    <a:pt x="170" y="136"/>
                                  </a:lnTo>
                                  <a:lnTo>
                                    <a:pt x="154" y="148"/>
                                  </a:lnTo>
                                  <a:lnTo>
                                    <a:pt x="132" y="157"/>
                                  </a:lnTo>
                                  <a:lnTo>
                                    <a:pt x="106" y="159"/>
                                  </a:lnTo>
                                  <a:lnTo>
                                    <a:pt x="33" y="159"/>
                                  </a:lnTo>
                                  <a:lnTo>
                                    <a:pt x="33" y="190"/>
                                  </a:lnTo>
                                  <a:lnTo>
                                    <a:pt x="104" y="190"/>
                                  </a:lnTo>
                                  <a:lnTo>
                                    <a:pt x="117" y="189"/>
                                  </a:lnTo>
                                  <a:lnTo>
                                    <a:pt x="140" y="186"/>
                                  </a:lnTo>
                                  <a:lnTo>
                                    <a:pt x="162" y="179"/>
                                  </a:lnTo>
                                  <a:lnTo>
                                    <a:pt x="181" y="168"/>
                                  </a:lnTo>
                                  <a:lnTo>
                                    <a:pt x="197" y="155"/>
                                  </a:lnTo>
                                  <a:lnTo>
                                    <a:pt x="209" y="138"/>
                                  </a:lnTo>
                                  <a:lnTo>
                                    <a:pt x="217" y="117"/>
                                  </a:lnTo>
                                  <a:lnTo>
                                    <a:pt x="220" y="94"/>
                                  </a:lnTo>
                                  <a:lnTo>
                                    <a:pt x="220" y="88"/>
                                  </a:lnTo>
                                  <a:lnTo>
                                    <a:pt x="216" y="66"/>
                                  </a:lnTo>
                                  <a:lnTo>
                                    <a:pt x="208" y="47"/>
                                  </a:lnTo>
                                  <a:lnTo>
                                    <a:pt x="196" y="30"/>
                                  </a:lnTo>
                                  <a:lnTo>
                                    <a:pt x="179" y="17"/>
                                  </a:lnTo>
                                  <a:lnTo>
                                    <a:pt x="159" y="8"/>
                                  </a:lnTo>
                                  <a:lnTo>
                                    <a:pt x="136" y="2"/>
                                  </a:lnTo>
                                  <a:lnTo>
                                    <a:pt x="110" y="0"/>
                                  </a:lnTo>
                                  <a:lnTo>
                                    <a:pt x="107" y="3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8267405" name="Group 126"/>
                          <wpg:cNvGrpSpPr>
                            <a:grpSpLocks/>
                          </wpg:cNvGrpSpPr>
                          <wpg:grpSpPr bwMode="auto">
                            <a:xfrm>
                              <a:off x="1327" y="694"/>
                              <a:ext cx="198" cy="293"/>
                              <a:chOff x="1327" y="694"/>
                              <a:chExt cx="198" cy="293"/>
                            </a:xfrm>
                          </wpg:grpSpPr>
                          <wps:wsp>
                            <wps:cNvPr id="570005419" name="Freeform 131"/>
                            <wps:cNvSpPr>
                              <a:spLocks/>
                            </wps:cNvSpPr>
                            <wps:spPr bwMode="auto">
                              <a:xfrm>
                                <a:off x="1327" y="694"/>
                                <a:ext cx="198" cy="293"/>
                              </a:xfrm>
                              <a:custGeom>
                                <a:avLst/>
                                <a:gdLst>
                                  <a:gd name="T0" fmla="+- 0 1360 1327"/>
                                  <a:gd name="T1" fmla="*/ T0 w 198"/>
                                  <a:gd name="T2" fmla="+- 0 956 694"/>
                                  <a:gd name="T3" fmla="*/ 956 h 293"/>
                                  <a:gd name="T4" fmla="+- 0 1360 1327"/>
                                  <a:gd name="T5" fmla="*/ T4 w 198"/>
                                  <a:gd name="T6" fmla="+- 0 694 694"/>
                                  <a:gd name="T7" fmla="*/ 694 h 293"/>
                                  <a:gd name="T8" fmla="+- 0 1327 1327"/>
                                  <a:gd name="T9" fmla="*/ T8 w 198"/>
                                  <a:gd name="T10" fmla="+- 0 694 694"/>
                                  <a:gd name="T11" fmla="*/ 694 h 293"/>
                                  <a:gd name="T12" fmla="+- 0 1327 1327"/>
                                  <a:gd name="T13" fmla="*/ T12 w 198"/>
                                  <a:gd name="T14" fmla="+- 0 987 694"/>
                                  <a:gd name="T15" fmla="*/ 987 h 293"/>
                                  <a:gd name="T16" fmla="+- 0 1525 1327"/>
                                  <a:gd name="T17" fmla="*/ T16 w 198"/>
                                  <a:gd name="T18" fmla="+- 0 987 694"/>
                                  <a:gd name="T19" fmla="*/ 987 h 293"/>
                                  <a:gd name="T20" fmla="+- 0 1525 1327"/>
                                  <a:gd name="T21" fmla="*/ T20 w 198"/>
                                  <a:gd name="T22" fmla="+- 0 956 694"/>
                                  <a:gd name="T23" fmla="*/ 956 h 293"/>
                                  <a:gd name="T24" fmla="+- 0 1360 1327"/>
                                  <a:gd name="T25" fmla="*/ T24 w 198"/>
                                  <a:gd name="T26" fmla="+- 0 956 694"/>
                                  <a:gd name="T27" fmla="*/ 956 h 293"/>
                                </a:gdLst>
                                <a:ahLst/>
                                <a:cxnLst>
                                  <a:cxn ang="0">
                                    <a:pos x="T1" y="T3"/>
                                  </a:cxn>
                                  <a:cxn ang="0">
                                    <a:pos x="T5" y="T7"/>
                                  </a:cxn>
                                  <a:cxn ang="0">
                                    <a:pos x="T9" y="T11"/>
                                  </a:cxn>
                                  <a:cxn ang="0">
                                    <a:pos x="T13" y="T15"/>
                                  </a:cxn>
                                  <a:cxn ang="0">
                                    <a:pos x="T17" y="T19"/>
                                  </a:cxn>
                                  <a:cxn ang="0">
                                    <a:pos x="T21" y="T23"/>
                                  </a:cxn>
                                  <a:cxn ang="0">
                                    <a:pos x="T25" y="T27"/>
                                  </a:cxn>
                                </a:cxnLst>
                                <a:rect l="0" t="0" r="r" b="b"/>
                                <a:pathLst>
                                  <a:path w="198" h="293">
                                    <a:moveTo>
                                      <a:pt x="33" y="262"/>
                                    </a:moveTo>
                                    <a:lnTo>
                                      <a:pt x="33" y="0"/>
                                    </a:lnTo>
                                    <a:lnTo>
                                      <a:pt x="0" y="0"/>
                                    </a:lnTo>
                                    <a:lnTo>
                                      <a:pt x="0" y="293"/>
                                    </a:lnTo>
                                    <a:lnTo>
                                      <a:pt x="198" y="293"/>
                                    </a:lnTo>
                                    <a:lnTo>
                                      <a:pt x="198" y="262"/>
                                    </a:lnTo>
                                    <a:lnTo>
                                      <a:pt x="33" y="262"/>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640012" name="Group 127"/>
                            <wpg:cNvGrpSpPr>
                              <a:grpSpLocks/>
                            </wpg:cNvGrpSpPr>
                            <wpg:grpSpPr bwMode="auto">
                              <a:xfrm>
                                <a:off x="1540" y="694"/>
                                <a:ext cx="244" cy="298"/>
                                <a:chOff x="1540" y="694"/>
                                <a:chExt cx="244" cy="298"/>
                              </a:xfrm>
                            </wpg:grpSpPr>
                            <wps:wsp>
                              <wps:cNvPr id="131" name="Freeform 130"/>
                              <wps:cNvSpPr>
                                <a:spLocks/>
                              </wps:cNvSpPr>
                              <wps:spPr bwMode="auto">
                                <a:xfrm>
                                  <a:off x="1540" y="694"/>
                                  <a:ext cx="244" cy="298"/>
                                </a:xfrm>
                                <a:custGeom>
                                  <a:avLst/>
                                  <a:gdLst>
                                    <a:gd name="T0" fmla="+- 0 1582 1540"/>
                                    <a:gd name="T1" fmla="*/ T0 w 244"/>
                                    <a:gd name="T2" fmla="+- 0 911 694"/>
                                    <a:gd name="T3" fmla="*/ 911 h 298"/>
                                    <a:gd name="T4" fmla="+- 0 1575 1540"/>
                                    <a:gd name="T5" fmla="*/ T4 w 244"/>
                                    <a:gd name="T6" fmla="+- 0 889 694"/>
                                    <a:gd name="T7" fmla="*/ 889 h 298"/>
                                    <a:gd name="T8" fmla="+- 0 1573 1540"/>
                                    <a:gd name="T9" fmla="*/ T8 w 244"/>
                                    <a:gd name="T10" fmla="+- 0 862 694"/>
                                    <a:gd name="T11" fmla="*/ 862 h 298"/>
                                    <a:gd name="T12" fmla="+- 0 1573 1540"/>
                                    <a:gd name="T13" fmla="*/ T12 w 244"/>
                                    <a:gd name="T14" fmla="+- 0 694 694"/>
                                    <a:gd name="T15" fmla="*/ 694 h 298"/>
                                    <a:gd name="T16" fmla="+- 0 1540 1540"/>
                                    <a:gd name="T17" fmla="*/ T16 w 244"/>
                                    <a:gd name="T18" fmla="+- 0 694 694"/>
                                    <a:gd name="T19" fmla="*/ 694 h 298"/>
                                    <a:gd name="T20" fmla="+- 0 1540 1540"/>
                                    <a:gd name="T21" fmla="*/ T20 w 244"/>
                                    <a:gd name="T22" fmla="+- 0 864 694"/>
                                    <a:gd name="T23" fmla="*/ 864 h 298"/>
                                    <a:gd name="T24" fmla="+- 0 1541 1540"/>
                                    <a:gd name="T25" fmla="*/ T24 w 244"/>
                                    <a:gd name="T26" fmla="+- 0 886 694"/>
                                    <a:gd name="T27" fmla="*/ 886 h 298"/>
                                    <a:gd name="T28" fmla="+- 0 1546 1540"/>
                                    <a:gd name="T29" fmla="*/ T28 w 244"/>
                                    <a:gd name="T30" fmla="+- 0 911 694"/>
                                    <a:gd name="T31" fmla="*/ 911 h 298"/>
                                    <a:gd name="T32" fmla="+- 0 1554 1540"/>
                                    <a:gd name="T33" fmla="*/ T32 w 244"/>
                                    <a:gd name="T34" fmla="+- 0 932 694"/>
                                    <a:gd name="T35" fmla="*/ 932 h 298"/>
                                    <a:gd name="T36" fmla="+- 0 1566 1540"/>
                                    <a:gd name="T37" fmla="*/ T36 w 244"/>
                                    <a:gd name="T38" fmla="+- 0 950 694"/>
                                    <a:gd name="T39" fmla="*/ 950 h 298"/>
                                    <a:gd name="T40" fmla="+- 0 1580 1540"/>
                                    <a:gd name="T41" fmla="*/ T40 w 244"/>
                                    <a:gd name="T42" fmla="+- 0 965 694"/>
                                    <a:gd name="T43" fmla="*/ 965 h 298"/>
                                    <a:gd name="T44" fmla="+- 0 1597 1540"/>
                                    <a:gd name="T45" fmla="*/ T44 w 244"/>
                                    <a:gd name="T46" fmla="+- 0 976 694"/>
                                    <a:gd name="T47" fmla="*/ 976 h 298"/>
                                    <a:gd name="T48" fmla="+- 0 1617 1540"/>
                                    <a:gd name="T49" fmla="*/ T48 w 244"/>
                                    <a:gd name="T50" fmla="+- 0 985 694"/>
                                    <a:gd name="T51" fmla="*/ 985 h 298"/>
                                    <a:gd name="T52" fmla="+- 0 1638 1540"/>
                                    <a:gd name="T53" fmla="*/ T52 w 244"/>
                                    <a:gd name="T54" fmla="+- 0 990 694"/>
                                    <a:gd name="T55" fmla="*/ 990 h 298"/>
                                    <a:gd name="T56" fmla="+- 0 1662 1540"/>
                                    <a:gd name="T57" fmla="*/ T56 w 244"/>
                                    <a:gd name="T58" fmla="+- 0 992 694"/>
                                    <a:gd name="T59" fmla="*/ 992 h 298"/>
                                    <a:gd name="T60" fmla="+- 0 1684 1540"/>
                                    <a:gd name="T61" fmla="*/ T60 w 244"/>
                                    <a:gd name="T62" fmla="+- 0 990 694"/>
                                    <a:gd name="T63" fmla="*/ 990 h 298"/>
                                    <a:gd name="T64" fmla="+- 0 1706 1540"/>
                                    <a:gd name="T65" fmla="*/ T64 w 244"/>
                                    <a:gd name="T66" fmla="+- 0 986 694"/>
                                    <a:gd name="T67" fmla="*/ 986 h 298"/>
                                    <a:gd name="T68" fmla="+- 0 1725 1540"/>
                                    <a:gd name="T69" fmla="*/ T68 w 244"/>
                                    <a:gd name="T70" fmla="+- 0 977 694"/>
                                    <a:gd name="T71" fmla="*/ 977 h 298"/>
                                    <a:gd name="T72" fmla="+- 0 1743 1540"/>
                                    <a:gd name="T73" fmla="*/ T72 w 244"/>
                                    <a:gd name="T74" fmla="+- 0 966 694"/>
                                    <a:gd name="T75" fmla="*/ 966 h 298"/>
                                    <a:gd name="T76" fmla="+- 0 1757 1540"/>
                                    <a:gd name="T77" fmla="*/ T76 w 244"/>
                                    <a:gd name="T78" fmla="+- 0 952 694"/>
                                    <a:gd name="T79" fmla="*/ 952 h 298"/>
                                    <a:gd name="T80" fmla="+- 0 1769 1540"/>
                                    <a:gd name="T81" fmla="*/ T80 w 244"/>
                                    <a:gd name="T82" fmla="+- 0 934 694"/>
                                    <a:gd name="T83" fmla="*/ 934 h 298"/>
                                    <a:gd name="T84" fmla="+- 0 1777 1540"/>
                                    <a:gd name="T85" fmla="*/ T84 w 244"/>
                                    <a:gd name="T86" fmla="+- 0 913 694"/>
                                    <a:gd name="T87" fmla="*/ 913 h 298"/>
                                    <a:gd name="T88" fmla="+- 0 1783 1540"/>
                                    <a:gd name="T89" fmla="*/ T88 w 244"/>
                                    <a:gd name="T90" fmla="+- 0 889 694"/>
                                    <a:gd name="T91" fmla="*/ 889 h 298"/>
                                    <a:gd name="T92" fmla="+- 0 1784 1540"/>
                                    <a:gd name="T93" fmla="*/ T92 w 244"/>
                                    <a:gd name="T94" fmla="+- 0 862 694"/>
                                    <a:gd name="T95" fmla="*/ 862 h 298"/>
                                    <a:gd name="T96" fmla="+- 0 1784 1540"/>
                                    <a:gd name="T97" fmla="*/ T96 w 244"/>
                                    <a:gd name="T98" fmla="+- 0 694 694"/>
                                    <a:gd name="T99" fmla="*/ 694 h 298"/>
                                    <a:gd name="T100" fmla="+- 0 1751 1540"/>
                                    <a:gd name="T101" fmla="*/ T100 w 244"/>
                                    <a:gd name="T102" fmla="+- 0 694 694"/>
                                    <a:gd name="T103" fmla="*/ 694 h 298"/>
                                    <a:gd name="T104" fmla="+- 0 1751 1540"/>
                                    <a:gd name="T105" fmla="*/ T104 w 244"/>
                                    <a:gd name="T106" fmla="+- 0 864 694"/>
                                    <a:gd name="T107" fmla="*/ 864 h 298"/>
                                    <a:gd name="T108" fmla="+- 0 1751 1540"/>
                                    <a:gd name="T109" fmla="*/ T108 w 244"/>
                                    <a:gd name="T110" fmla="+- 0 880 694"/>
                                    <a:gd name="T111" fmla="*/ 880 h 298"/>
                                    <a:gd name="T112" fmla="+- 0 1746 1540"/>
                                    <a:gd name="T113" fmla="*/ T112 w 244"/>
                                    <a:gd name="T114" fmla="+- 0 905 694"/>
                                    <a:gd name="T115" fmla="*/ 905 h 298"/>
                                    <a:gd name="T116" fmla="+- 0 1737 1540"/>
                                    <a:gd name="T117" fmla="*/ T116 w 244"/>
                                    <a:gd name="T118" fmla="+- 0 925 694"/>
                                    <a:gd name="T119" fmla="*/ 925 h 298"/>
                                    <a:gd name="T120" fmla="+- 0 1723 1540"/>
                                    <a:gd name="T121" fmla="*/ T120 w 244"/>
                                    <a:gd name="T122" fmla="+- 0 941 694"/>
                                    <a:gd name="T123" fmla="*/ 941 h 298"/>
                                    <a:gd name="T124" fmla="+- 0 1706 1540"/>
                                    <a:gd name="T125" fmla="*/ T124 w 244"/>
                                    <a:gd name="T126" fmla="+- 0 952 694"/>
                                    <a:gd name="T127" fmla="*/ 952 h 298"/>
                                    <a:gd name="T128" fmla="+- 0 1686 1540"/>
                                    <a:gd name="T129" fmla="*/ T128 w 244"/>
                                    <a:gd name="T130" fmla="+- 0 959 694"/>
                                    <a:gd name="T131" fmla="*/ 959 h 298"/>
                                    <a:gd name="T132" fmla="+- 0 1663 1540"/>
                                    <a:gd name="T133" fmla="*/ T132 w 244"/>
                                    <a:gd name="T134" fmla="+- 0 961 694"/>
                                    <a:gd name="T135" fmla="*/ 961 h 298"/>
                                    <a:gd name="T136" fmla="+- 0 1647 1540"/>
                                    <a:gd name="T137" fmla="*/ T136 w 244"/>
                                    <a:gd name="T138" fmla="+- 0 960 694"/>
                                    <a:gd name="T139" fmla="*/ 960 h 298"/>
                                    <a:gd name="T140" fmla="+- 0 1625 1540"/>
                                    <a:gd name="T141" fmla="*/ T140 w 244"/>
                                    <a:gd name="T142" fmla="+- 0 954 694"/>
                                    <a:gd name="T143" fmla="*/ 954 h 298"/>
                                    <a:gd name="T144" fmla="+- 0 1607 1540"/>
                                    <a:gd name="T145" fmla="*/ T144 w 244"/>
                                    <a:gd name="T146" fmla="+- 0 944 694"/>
                                    <a:gd name="T147" fmla="*/ 944 h 298"/>
                                    <a:gd name="T148" fmla="+- 0 1593 1540"/>
                                    <a:gd name="T149" fmla="*/ T148 w 244"/>
                                    <a:gd name="T150" fmla="+- 0 930 694"/>
                                    <a:gd name="T151" fmla="*/ 930 h 298"/>
                                    <a:gd name="T152" fmla="+- 0 1582 1540"/>
                                    <a:gd name="T153" fmla="*/ T152 w 244"/>
                                    <a:gd name="T154" fmla="+- 0 911 694"/>
                                    <a:gd name="T155" fmla="*/ 91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4" h="298">
                                      <a:moveTo>
                                        <a:pt x="42" y="217"/>
                                      </a:moveTo>
                                      <a:lnTo>
                                        <a:pt x="35" y="195"/>
                                      </a:lnTo>
                                      <a:lnTo>
                                        <a:pt x="33" y="168"/>
                                      </a:lnTo>
                                      <a:lnTo>
                                        <a:pt x="33" y="0"/>
                                      </a:lnTo>
                                      <a:lnTo>
                                        <a:pt x="0" y="0"/>
                                      </a:lnTo>
                                      <a:lnTo>
                                        <a:pt x="0" y="170"/>
                                      </a:lnTo>
                                      <a:lnTo>
                                        <a:pt x="1" y="192"/>
                                      </a:lnTo>
                                      <a:lnTo>
                                        <a:pt x="6" y="217"/>
                                      </a:lnTo>
                                      <a:lnTo>
                                        <a:pt x="14" y="238"/>
                                      </a:lnTo>
                                      <a:lnTo>
                                        <a:pt x="26" y="256"/>
                                      </a:lnTo>
                                      <a:lnTo>
                                        <a:pt x="40" y="271"/>
                                      </a:lnTo>
                                      <a:lnTo>
                                        <a:pt x="57" y="282"/>
                                      </a:lnTo>
                                      <a:lnTo>
                                        <a:pt x="77" y="291"/>
                                      </a:lnTo>
                                      <a:lnTo>
                                        <a:pt x="98" y="296"/>
                                      </a:lnTo>
                                      <a:lnTo>
                                        <a:pt x="122" y="298"/>
                                      </a:lnTo>
                                      <a:lnTo>
                                        <a:pt x="144" y="296"/>
                                      </a:lnTo>
                                      <a:lnTo>
                                        <a:pt x="166" y="292"/>
                                      </a:lnTo>
                                      <a:lnTo>
                                        <a:pt x="185" y="283"/>
                                      </a:lnTo>
                                      <a:lnTo>
                                        <a:pt x="203" y="272"/>
                                      </a:lnTo>
                                      <a:lnTo>
                                        <a:pt x="217" y="258"/>
                                      </a:lnTo>
                                      <a:lnTo>
                                        <a:pt x="229" y="240"/>
                                      </a:lnTo>
                                      <a:lnTo>
                                        <a:pt x="237" y="219"/>
                                      </a:lnTo>
                                      <a:lnTo>
                                        <a:pt x="243" y="195"/>
                                      </a:lnTo>
                                      <a:lnTo>
                                        <a:pt x="244" y="168"/>
                                      </a:lnTo>
                                      <a:lnTo>
                                        <a:pt x="244" y="0"/>
                                      </a:lnTo>
                                      <a:lnTo>
                                        <a:pt x="211" y="0"/>
                                      </a:lnTo>
                                      <a:lnTo>
                                        <a:pt x="211" y="170"/>
                                      </a:lnTo>
                                      <a:lnTo>
                                        <a:pt x="211" y="186"/>
                                      </a:lnTo>
                                      <a:lnTo>
                                        <a:pt x="206" y="211"/>
                                      </a:lnTo>
                                      <a:lnTo>
                                        <a:pt x="197" y="231"/>
                                      </a:lnTo>
                                      <a:lnTo>
                                        <a:pt x="183" y="247"/>
                                      </a:lnTo>
                                      <a:lnTo>
                                        <a:pt x="166" y="258"/>
                                      </a:lnTo>
                                      <a:lnTo>
                                        <a:pt x="146" y="265"/>
                                      </a:lnTo>
                                      <a:lnTo>
                                        <a:pt x="123" y="267"/>
                                      </a:lnTo>
                                      <a:lnTo>
                                        <a:pt x="107" y="266"/>
                                      </a:lnTo>
                                      <a:lnTo>
                                        <a:pt x="85" y="260"/>
                                      </a:lnTo>
                                      <a:lnTo>
                                        <a:pt x="67" y="250"/>
                                      </a:lnTo>
                                      <a:lnTo>
                                        <a:pt x="53" y="236"/>
                                      </a:lnTo>
                                      <a:lnTo>
                                        <a:pt x="42" y="217"/>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 name="Group 128"/>
                              <wpg:cNvGrpSpPr>
                                <a:grpSpLocks/>
                              </wpg:cNvGrpSpPr>
                              <wpg:grpSpPr bwMode="auto">
                                <a:xfrm>
                                  <a:off x="1827" y="690"/>
                                  <a:ext cx="220" cy="302"/>
                                  <a:chOff x="1827" y="690"/>
                                  <a:chExt cx="220" cy="302"/>
                                </a:xfrm>
                              </wpg:grpSpPr>
                              <wps:wsp>
                                <wps:cNvPr id="133" name="Freeform 129"/>
                                <wps:cNvSpPr>
                                  <a:spLocks/>
                                </wps:cNvSpPr>
                                <wps:spPr bwMode="auto">
                                  <a:xfrm>
                                    <a:off x="1827" y="690"/>
                                    <a:ext cx="220" cy="302"/>
                                  </a:xfrm>
                                  <a:custGeom>
                                    <a:avLst/>
                                    <a:gdLst>
                                      <a:gd name="T0" fmla="+- 0 1834 1827"/>
                                      <a:gd name="T1" fmla="*/ T0 w 220"/>
                                      <a:gd name="T2" fmla="+- 0 950 690"/>
                                      <a:gd name="T3" fmla="*/ 950 h 302"/>
                                      <a:gd name="T4" fmla="+- 0 1868 1827"/>
                                      <a:gd name="T5" fmla="*/ T4 w 220"/>
                                      <a:gd name="T6" fmla="+- 0 973 690"/>
                                      <a:gd name="T7" fmla="*/ 973 h 302"/>
                                      <a:gd name="T8" fmla="+- 0 1905 1827"/>
                                      <a:gd name="T9" fmla="*/ T8 w 220"/>
                                      <a:gd name="T10" fmla="+- 0 987 690"/>
                                      <a:gd name="T11" fmla="*/ 987 h 302"/>
                                      <a:gd name="T12" fmla="+- 0 1947 1827"/>
                                      <a:gd name="T13" fmla="*/ T12 w 220"/>
                                      <a:gd name="T14" fmla="+- 0 991 690"/>
                                      <a:gd name="T15" fmla="*/ 991 h 302"/>
                                      <a:gd name="T16" fmla="+- 0 1984 1827"/>
                                      <a:gd name="T17" fmla="*/ T16 w 220"/>
                                      <a:gd name="T18" fmla="+- 0 986 690"/>
                                      <a:gd name="T19" fmla="*/ 986 h 302"/>
                                      <a:gd name="T20" fmla="+- 0 2022 1827"/>
                                      <a:gd name="T21" fmla="*/ T20 w 220"/>
                                      <a:gd name="T22" fmla="+- 0 965 690"/>
                                      <a:gd name="T23" fmla="*/ 965 h 302"/>
                                      <a:gd name="T24" fmla="+- 0 2044 1827"/>
                                      <a:gd name="T25" fmla="*/ T24 w 220"/>
                                      <a:gd name="T26" fmla="+- 0 930 690"/>
                                      <a:gd name="T27" fmla="*/ 930 h 302"/>
                                      <a:gd name="T28" fmla="+- 0 2047 1827"/>
                                      <a:gd name="T29" fmla="*/ T28 w 220"/>
                                      <a:gd name="T30" fmla="+- 0 907 690"/>
                                      <a:gd name="T31" fmla="*/ 907 h 302"/>
                                      <a:gd name="T32" fmla="+- 0 2034 1827"/>
                                      <a:gd name="T33" fmla="*/ T32 w 220"/>
                                      <a:gd name="T34" fmla="+- 0 866 690"/>
                                      <a:gd name="T35" fmla="*/ 866 h 302"/>
                                      <a:gd name="T36" fmla="+- 0 2003 1827"/>
                                      <a:gd name="T37" fmla="*/ T36 w 220"/>
                                      <a:gd name="T38" fmla="+- 0 841 690"/>
                                      <a:gd name="T39" fmla="*/ 841 h 302"/>
                                      <a:gd name="T40" fmla="+- 0 1951 1827"/>
                                      <a:gd name="T41" fmla="*/ T40 w 220"/>
                                      <a:gd name="T42" fmla="+- 0 824 690"/>
                                      <a:gd name="T43" fmla="*/ 824 h 302"/>
                                      <a:gd name="T44" fmla="+- 0 1896 1827"/>
                                      <a:gd name="T45" fmla="*/ T44 w 220"/>
                                      <a:gd name="T46" fmla="+- 0 807 690"/>
                                      <a:gd name="T47" fmla="*/ 807 h 302"/>
                                      <a:gd name="T48" fmla="+- 0 1874 1827"/>
                                      <a:gd name="T49" fmla="*/ T48 w 220"/>
                                      <a:gd name="T50" fmla="+- 0 783 690"/>
                                      <a:gd name="T51" fmla="*/ 783 h 302"/>
                                      <a:gd name="T52" fmla="+- 0 1872 1827"/>
                                      <a:gd name="T53" fmla="*/ T52 w 220"/>
                                      <a:gd name="T54" fmla="+- 0 767 690"/>
                                      <a:gd name="T55" fmla="*/ 767 h 302"/>
                                      <a:gd name="T56" fmla="+- 0 1888 1827"/>
                                      <a:gd name="T57" fmla="*/ T56 w 220"/>
                                      <a:gd name="T58" fmla="+- 0 734 690"/>
                                      <a:gd name="T59" fmla="*/ 734 h 302"/>
                                      <a:gd name="T60" fmla="+- 0 1934 1827"/>
                                      <a:gd name="T61" fmla="*/ T60 w 220"/>
                                      <a:gd name="T62" fmla="+- 0 719 690"/>
                                      <a:gd name="T63" fmla="*/ 719 h 302"/>
                                      <a:gd name="T64" fmla="+- 0 1964 1827"/>
                                      <a:gd name="T65" fmla="*/ T64 w 220"/>
                                      <a:gd name="T66" fmla="+- 0 723 690"/>
                                      <a:gd name="T67" fmla="*/ 723 h 302"/>
                                      <a:gd name="T68" fmla="+- 0 2001 1827"/>
                                      <a:gd name="T69" fmla="*/ T68 w 220"/>
                                      <a:gd name="T70" fmla="+- 0 738 690"/>
                                      <a:gd name="T71" fmla="*/ 738 h 302"/>
                                      <a:gd name="T72" fmla="+- 0 2038 1827"/>
                                      <a:gd name="T73" fmla="*/ T72 w 220"/>
                                      <a:gd name="T74" fmla="+- 0 726 690"/>
                                      <a:gd name="T75" fmla="*/ 726 h 302"/>
                                      <a:gd name="T76" fmla="+- 0 2014 1827"/>
                                      <a:gd name="T77" fmla="*/ T76 w 220"/>
                                      <a:gd name="T78" fmla="+- 0 709 690"/>
                                      <a:gd name="T79" fmla="*/ 709 h 302"/>
                                      <a:gd name="T80" fmla="+- 0 1977 1827"/>
                                      <a:gd name="T81" fmla="*/ T80 w 220"/>
                                      <a:gd name="T82" fmla="+- 0 694 690"/>
                                      <a:gd name="T83" fmla="*/ 694 h 302"/>
                                      <a:gd name="T84" fmla="+- 0 1935 1827"/>
                                      <a:gd name="T85" fmla="*/ T84 w 220"/>
                                      <a:gd name="T86" fmla="+- 0 690 690"/>
                                      <a:gd name="T87" fmla="*/ 690 h 302"/>
                                      <a:gd name="T88" fmla="+- 0 1903 1827"/>
                                      <a:gd name="T89" fmla="*/ T88 w 220"/>
                                      <a:gd name="T90" fmla="+- 0 694 690"/>
                                      <a:gd name="T91" fmla="*/ 694 h 302"/>
                                      <a:gd name="T92" fmla="+- 0 1864 1827"/>
                                      <a:gd name="T93" fmla="*/ T92 w 220"/>
                                      <a:gd name="T94" fmla="+- 0 714 690"/>
                                      <a:gd name="T95" fmla="*/ 714 h 302"/>
                                      <a:gd name="T96" fmla="+- 0 1841 1827"/>
                                      <a:gd name="T97" fmla="*/ T96 w 220"/>
                                      <a:gd name="T98" fmla="+- 0 749 690"/>
                                      <a:gd name="T99" fmla="*/ 749 h 302"/>
                                      <a:gd name="T100" fmla="+- 0 1838 1827"/>
                                      <a:gd name="T101" fmla="*/ T100 w 220"/>
                                      <a:gd name="T102" fmla="+- 0 770 690"/>
                                      <a:gd name="T103" fmla="*/ 770 h 302"/>
                                      <a:gd name="T104" fmla="+- 0 1843 1827"/>
                                      <a:gd name="T105" fmla="*/ T104 w 220"/>
                                      <a:gd name="T106" fmla="+- 0 800 690"/>
                                      <a:gd name="T107" fmla="*/ 800 h 302"/>
                                      <a:gd name="T108" fmla="+- 0 1866 1827"/>
                                      <a:gd name="T109" fmla="*/ T108 w 220"/>
                                      <a:gd name="T110" fmla="+- 0 828 690"/>
                                      <a:gd name="T111" fmla="*/ 828 h 302"/>
                                      <a:gd name="T112" fmla="+- 0 1908 1827"/>
                                      <a:gd name="T113" fmla="*/ T112 w 220"/>
                                      <a:gd name="T114" fmla="+- 0 848 690"/>
                                      <a:gd name="T115" fmla="*/ 848 h 302"/>
                                      <a:gd name="T116" fmla="+- 0 1962 1827"/>
                                      <a:gd name="T117" fmla="*/ T116 w 220"/>
                                      <a:gd name="T118" fmla="+- 0 861 690"/>
                                      <a:gd name="T119" fmla="*/ 861 h 302"/>
                                      <a:gd name="T120" fmla="+- 0 2003 1827"/>
                                      <a:gd name="T121" fmla="*/ T120 w 220"/>
                                      <a:gd name="T122" fmla="+- 0 882 690"/>
                                      <a:gd name="T123" fmla="*/ 882 h 302"/>
                                      <a:gd name="T124" fmla="+- 0 2013 1827"/>
                                      <a:gd name="T125" fmla="*/ T124 w 220"/>
                                      <a:gd name="T126" fmla="+- 0 911 690"/>
                                      <a:gd name="T127" fmla="*/ 911 h 302"/>
                                      <a:gd name="T128" fmla="+- 0 2008 1827"/>
                                      <a:gd name="T129" fmla="*/ T128 w 220"/>
                                      <a:gd name="T130" fmla="+- 0 933 690"/>
                                      <a:gd name="T131" fmla="*/ 933 h 302"/>
                                      <a:gd name="T132" fmla="+- 0 1974 1827"/>
                                      <a:gd name="T133" fmla="*/ T132 w 220"/>
                                      <a:gd name="T134" fmla="+- 0 958 690"/>
                                      <a:gd name="T135" fmla="*/ 958 h 302"/>
                                      <a:gd name="T136" fmla="+- 0 1938 1827"/>
                                      <a:gd name="T137" fmla="*/ T136 w 220"/>
                                      <a:gd name="T138" fmla="+- 0 961 690"/>
                                      <a:gd name="T139" fmla="*/ 961 h 302"/>
                                      <a:gd name="T140" fmla="+- 0 1899 1827"/>
                                      <a:gd name="T141" fmla="*/ T140 w 220"/>
                                      <a:gd name="T142" fmla="+- 0 953 690"/>
                                      <a:gd name="T143" fmla="*/ 953 h 302"/>
                                      <a:gd name="T144" fmla="+- 0 1864 1827"/>
                                      <a:gd name="T145" fmla="*/ T144 w 220"/>
                                      <a:gd name="T146" fmla="+- 0 934 690"/>
                                      <a:gd name="T147" fmla="*/ 934 h 302"/>
                                      <a:gd name="T148" fmla="+- 0 1827 1827"/>
                                      <a:gd name="T149" fmla="*/ T148 w 220"/>
                                      <a:gd name="T150" fmla="+- 0 944 690"/>
                                      <a:gd name="T151" fmla="*/ 94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0" h="302">
                                        <a:moveTo>
                                          <a:pt x="0" y="254"/>
                                        </a:moveTo>
                                        <a:lnTo>
                                          <a:pt x="7" y="260"/>
                                        </a:lnTo>
                                        <a:lnTo>
                                          <a:pt x="24" y="273"/>
                                        </a:lnTo>
                                        <a:lnTo>
                                          <a:pt x="41" y="283"/>
                                        </a:lnTo>
                                        <a:lnTo>
                                          <a:pt x="59" y="291"/>
                                        </a:lnTo>
                                        <a:lnTo>
                                          <a:pt x="78" y="297"/>
                                        </a:lnTo>
                                        <a:lnTo>
                                          <a:pt x="98" y="300"/>
                                        </a:lnTo>
                                        <a:lnTo>
                                          <a:pt x="120" y="301"/>
                                        </a:lnTo>
                                        <a:lnTo>
                                          <a:pt x="133" y="301"/>
                                        </a:lnTo>
                                        <a:lnTo>
                                          <a:pt x="157" y="296"/>
                                        </a:lnTo>
                                        <a:lnTo>
                                          <a:pt x="178" y="288"/>
                                        </a:lnTo>
                                        <a:lnTo>
                                          <a:pt x="195" y="275"/>
                                        </a:lnTo>
                                        <a:lnTo>
                                          <a:pt x="209" y="259"/>
                                        </a:lnTo>
                                        <a:lnTo>
                                          <a:pt x="217" y="240"/>
                                        </a:lnTo>
                                        <a:lnTo>
                                          <a:pt x="220" y="218"/>
                                        </a:lnTo>
                                        <a:lnTo>
                                          <a:pt x="220" y="217"/>
                                        </a:lnTo>
                                        <a:lnTo>
                                          <a:pt x="216" y="192"/>
                                        </a:lnTo>
                                        <a:lnTo>
                                          <a:pt x="207" y="176"/>
                                        </a:lnTo>
                                        <a:lnTo>
                                          <a:pt x="194" y="162"/>
                                        </a:lnTo>
                                        <a:lnTo>
                                          <a:pt x="176" y="151"/>
                                        </a:lnTo>
                                        <a:lnTo>
                                          <a:pt x="153" y="142"/>
                                        </a:lnTo>
                                        <a:lnTo>
                                          <a:pt x="124" y="134"/>
                                        </a:lnTo>
                                        <a:lnTo>
                                          <a:pt x="94" y="127"/>
                                        </a:lnTo>
                                        <a:lnTo>
                                          <a:pt x="69" y="117"/>
                                        </a:lnTo>
                                        <a:lnTo>
                                          <a:pt x="54" y="106"/>
                                        </a:lnTo>
                                        <a:lnTo>
                                          <a:pt x="47" y="93"/>
                                        </a:lnTo>
                                        <a:lnTo>
                                          <a:pt x="45" y="77"/>
                                        </a:lnTo>
                                        <a:lnTo>
                                          <a:pt x="48" y="59"/>
                                        </a:lnTo>
                                        <a:lnTo>
                                          <a:pt x="61" y="44"/>
                                        </a:lnTo>
                                        <a:lnTo>
                                          <a:pt x="81" y="33"/>
                                        </a:lnTo>
                                        <a:lnTo>
                                          <a:pt x="107" y="29"/>
                                        </a:lnTo>
                                        <a:lnTo>
                                          <a:pt x="117" y="30"/>
                                        </a:lnTo>
                                        <a:lnTo>
                                          <a:pt x="137" y="33"/>
                                        </a:lnTo>
                                        <a:lnTo>
                                          <a:pt x="155" y="39"/>
                                        </a:lnTo>
                                        <a:lnTo>
                                          <a:pt x="174" y="48"/>
                                        </a:lnTo>
                                        <a:lnTo>
                                          <a:pt x="192" y="61"/>
                                        </a:lnTo>
                                        <a:lnTo>
                                          <a:pt x="211" y="36"/>
                                        </a:lnTo>
                                        <a:lnTo>
                                          <a:pt x="203" y="30"/>
                                        </a:lnTo>
                                        <a:lnTo>
                                          <a:pt x="187" y="19"/>
                                        </a:lnTo>
                                        <a:lnTo>
                                          <a:pt x="169" y="10"/>
                                        </a:lnTo>
                                        <a:lnTo>
                                          <a:pt x="150" y="4"/>
                                        </a:lnTo>
                                        <a:lnTo>
                                          <a:pt x="130" y="1"/>
                                        </a:lnTo>
                                        <a:lnTo>
                                          <a:pt x="108" y="0"/>
                                        </a:lnTo>
                                        <a:lnTo>
                                          <a:pt x="101" y="0"/>
                                        </a:lnTo>
                                        <a:lnTo>
                                          <a:pt x="76" y="4"/>
                                        </a:lnTo>
                                        <a:lnTo>
                                          <a:pt x="55" y="12"/>
                                        </a:lnTo>
                                        <a:lnTo>
                                          <a:pt x="37" y="24"/>
                                        </a:lnTo>
                                        <a:lnTo>
                                          <a:pt x="23" y="40"/>
                                        </a:lnTo>
                                        <a:lnTo>
                                          <a:pt x="14" y="59"/>
                                        </a:lnTo>
                                        <a:lnTo>
                                          <a:pt x="11" y="80"/>
                                        </a:lnTo>
                                        <a:lnTo>
                                          <a:pt x="12" y="91"/>
                                        </a:lnTo>
                                        <a:lnTo>
                                          <a:pt x="16" y="110"/>
                                        </a:lnTo>
                                        <a:lnTo>
                                          <a:pt x="25" y="125"/>
                                        </a:lnTo>
                                        <a:lnTo>
                                          <a:pt x="39" y="138"/>
                                        </a:lnTo>
                                        <a:lnTo>
                                          <a:pt x="58" y="149"/>
                                        </a:lnTo>
                                        <a:lnTo>
                                          <a:pt x="81" y="158"/>
                                        </a:lnTo>
                                        <a:lnTo>
                                          <a:pt x="110" y="165"/>
                                        </a:lnTo>
                                        <a:lnTo>
                                          <a:pt x="135" y="171"/>
                                        </a:lnTo>
                                        <a:lnTo>
                                          <a:pt x="160" y="181"/>
                                        </a:lnTo>
                                        <a:lnTo>
                                          <a:pt x="176" y="192"/>
                                        </a:lnTo>
                                        <a:lnTo>
                                          <a:pt x="184" y="205"/>
                                        </a:lnTo>
                                        <a:lnTo>
                                          <a:pt x="186" y="221"/>
                                        </a:lnTo>
                                        <a:lnTo>
                                          <a:pt x="186" y="224"/>
                                        </a:lnTo>
                                        <a:lnTo>
                                          <a:pt x="181" y="243"/>
                                        </a:lnTo>
                                        <a:lnTo>
                                          <a:pt x="167" y="258"/>
                                        </a:lnTo>
                                        <a:lnTo>
                                          <a:pt x="147" y="268"/>
                                        </a:lnTo>
                                        <a:lnTo>
                                          <a:pt x="121" y="271"/>
                                        </a:lnTo>
                                        <a:lnTo>
                                          <a:pt x="111" y="271"/>
                                        </a:lnTo>
                                        <a:lnTo>
                                          <a:pt x="91" y="269"/>
                                        </a:lnTo>
                                        <a:lnTo>
                                          <a:pt x="72" y="263"/>
                                        </a:lnTo>
                                        <a:lnTo>
                                          <a:pt x="54" y="255"/>
                                        </a:lnTo>
                                        <a:lnTo>
                                          <a:pt x="37" y="244"/>
                                        </a:lnTo>
                                        <a:lnTo>
                                          <a:pt x="20" y="230"/>
                                        </a:lnTo>
                                        <a:lnTo>
                                          <a:pt x="0" y="254"/>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670A4C2" id="Group 123" o:spid="_x0000_s1026" style="position:absolute;margin-left:40.3pt;margin-top:34.25pt;width:67.4pt;height:15.6pt;z-index:-251649024;mso-position-horizontal-relative:page;mso-position-vertical-relative:page" coordorigin="704,685" coordsize="13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">
              <v:group id="Group 124" o:spid="_x0000_s1027" style="position:absolute;left:709;top:692;width:328;height:295" coordorigin="709,692" coordsize="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4" o:spid="_x0000_s1028" style="position:absolute;left:709;top:692;width:328;height:295;visibility:visible;mso-wrap-style:square;v-text-anchor:top" coordsize="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" path="m130,179r89,64l241,295r87,l203,,125,,,295r85,l106,243r113,l130,179,163,96r33,83l130,179xe" fillcolor="#221f20" stroked="f">
                  <v:path arrowok="t" o:connecttype="custom" o:connectlocs="130,871;219,935;241,987;328,987;203,692;125,692;0,987;85,987;106,935;219,935;130,871;163,788;196,871;130,871" o:connectangles="0,0,0,0,0,0,0,0,0,0,0,0,0,0"/>
                </v:shape>
                <v:group id="Group 125" o:spid="_x0000_s1029" style="position:absolute;left:1064;top:694;width:220;height:293" coordorigin="1064,694" coordsize="2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">
                  <v:shape id="Freeform 133" o:spid="_x0000_s1030" style="position:absolute;left:1064;top:694;width:220;height:293;visibility:visible;mso-wrap-style:square;v-text-anchor:top" coordsize="2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" path="m33,30r74,l110,,,,,293r33,l33,30xe" fillcolor="#221f20" stroked="f">
                    <v:path arrowok="t" o:connecttype="custom" o:connectlocs="33,724;107,724;110,694;0,694;0,987;33,987;33,724" o:connectangles="0,0,0,0,0,0,0"/>
                  </v:shape>
                  <v:shape id="Freeform 132" o:spid="_x0000_s1031" style="position:absolute;left:1064;top:694;width:220;height:293;visibility:visible;mso-wrap-style:square;v-text-anchor:top" coordsize="2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" path="m107,30r28,3l156,41r16,13l183,72r3,22l186,98r-5,21l170,136r-16,12l132,157r-26,2l33,159r,31l104,190r13,-1l140,186r22,-7l181,168r16,-13l209,138r8,-21l220,94r,-6l216,66,208,47,196,30,179,17,159,8,136,2,110,r-3,30xe" fillcolor="#221f20" stroked="f">
                    <v:path arrowok="t" o:connecttype="custom" o:connectlocs="107,724;135,727;156,735;172,748;183,766;186,788;186,792;181,813;170,830;154,842;132,851;106,853;33,853;33,884;104,884;117,883;140,880;162,873;181,862;197,849;209,832;217,811;220,788;220,782;216,760;208,741;196,724;179,711;159,702;136,696;110,694;107,724" o:connectangles="0,0,0,0,0,0,0,0,0,0,0,0,0,0,0,0,0,0,0,0,0,0,0,0,0,0,0,0,0,0,0,0"/>
                  </v:shape>
                  <v:group id="Group 126" o:spid="_x0000_s1032" style="position:absolute;left:1327;top:694;width:198;height:293" coordorigin="1327,694" coordsize="19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tw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">
                    <v:shape id="Freeform 131" o:spid="_x0000_s1033" style="position:absolute;left:1327;top:694;width:198;height:293;visibility:visible;mso-wrap-style:square;v-text-anchor:top" coordsize="19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" path="m33,262l33,,,,,293r198,l198,262r-165,xe" fillcolor="#221f20" stroked="f">
                      <v:path arrowok="t" o:connecttype="custom" o:connectlocs="33,956;33,694;0,694;0,987;198,987;198,956;33,956" o:connectangles="0,0,0,0,0,0,0"/>
                    </v:shape>
                    <v:group id="Group 127" o:spid="_x0000_s1034" style="position:absolute;left:1540;top:694;width:244;height:298" coordorigin="1540,694" coordsize="2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">
                      <v:shape id="Freeform 130" o:spid="_x0000_s1035" style="position:absolute;left:1540;top:694;width:244;height:298;visibility:visible;mso-wrap-style:square;v-text-anchor:top" coordsize="24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" path="m42,217l35,195,33,168,33,,,,,170r1,22l6,217r8,21l26,256r14,15l57,282r20,9l98,296r24,2l144,296r22,-4l185,283r18,-11l217,258r12,-18l237,219r6,-24l244,168,244,,211,r,170l211,186r-5,25l197,231r-14,16l166,258r-20,7l123,267r-16,-1l85,260,67,250,53,236,42,217xe" fillcolor="#221f20" stroked="f">
                        <v:path arrowok="t" o:connecttype="custom" o:connectlocs="42,911;35,889;33,862;33,694;0,694;0,864;1,886;6,911;14,932;26,950;40,965;57,976;77,985;98,990;122,992;144,990;166,986;185,977;203,966;217,952;229,934;237,913;243,889;244,862;244,694;211,694;211,864;211,880;206,905;197,925;183,941;166,952;146,959;123,961;107,960;85,954;67,944;53,930;42,911" o:connectangles="0,0,0,0,0,0,0,0,0,0,0,0,0,0,0,0,0,0,0,0,0,0,0,0,0,0,0,0,0,0,0,0,0,0,0,0,0,0,0"/>
                      </v:shape>
                      <v:group id="Group 128" o:spid="_x0000_s1036" style="position:absolute;left:1827;top:690;width:220;height:302" coordorigin="1827,690" coordsize="22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9" o:spid="_x0000_s1037" style="position:absolute;left:1827;top:690;width:220;height:302;visibility:visible;mso-wrap-style:square;v-text-anchor:top" coordsize="22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" path="m,254r7,6l24,273r17,10l59,291r19,6l98,300r22,1l133,301r24,-5l178,288r17,-13l209,259r8,-19l220,218r,-1l216,192r-9,-16l194,162,176,151r-23,-9l124,134,94,127,69,117,54,106,47,93,45,77,48,59,61,44,81,33r26,-4l117,30r20,3l155,39r19,9l192,61,211,36r-8,-6l187,19,169,10,150,4,130,1,108,r-7,l76,4,55,12,37,24,23,40,14,59,11,80r1,11l16,110r9,15l39,138r19,11l81,158r29,7l135,171r25,10l176,192r8,13l186,221r,3l181,243r-14,15l147,268r-26,3l111,271,91,269,72,263,54,255,37,244,20,230,,254xe" fillcolor="#221f20" stroked="f">
                          <v:path arrowok="t" o:connecttype="custom" o:connectlocs="7,950;41,973;78,987;120,991;157,986;195,965;217,930;220,907;207,866;176,841;124,824;69,807;47,783;45,767;61,734;107,719;137,723;174,738;211,726;187,709;150,694;108,690;76,694;37,714;14,749;11,770;16,800;39,828;81,848;135,861;176,882;186,911;181,933;147,958;111,961;72,953;37,934;0,944" o:connectangles="0,0,0,0,0,0,0,0,0,0,0,0,0,0,0,0,0,0,0,0,0,0,0,0,0,0,0,0,0,0,0,0,0,0,0,0,0,0"/>
                        </v:shape>
                      </v:group>
                    </v:group>
                  </v:group>
                </v:group>
              </v:group>
              <w10:wrap anchorx="page" anchory="page"/>
            </v:group>
          </w:pict>
        </mc:Fallback>
      </mc:AlternateContent>
    </w:r>
    <w:r w:rsidRPr="006B44F6">
      <w:rPr>
        <w:noProof/>
        <w:sz w:val="20"/>
        <w:szCs w:val="20"/>
        <w:lang w:val="tr-TR" w:eastAsia="tr-TR"/>
      </w:rPr>
      <mc:AlternateContent>
        <mc:Choice Requires="wpg">
          <w:drawing>
            <wp:anchor distT="0" distB="0" distL="114300" distR="114300" simplePos="0" relativeHeight="251660288" behindDoc="1" locked="0" layoutInCell="1" allowOverlap="1" wp14:anchorId="206231E3" wp14:editId="72208610">
              <wp:simplePos x="0" y="0"/>
              <wp:positionH relativeFrom="page">
                <wp:posOffset>1372235</wp:posOffset>
              </wp:positionH>
              <wp:positionV relativeFrom="page">
                <wp:posOffset>368935</wp:posOffset>
              </wp:positionV>
              <wp:extent cx="9525" cy="329565"/>
              <wp:effectExtent l="635" t="6985" r="8890" b="6350"/>
              <wp:wrapNone/>
              <wp:docPr id="15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329565"/>
                        <a:chOff x="2161" y="581"/>
                        <a:chExt cx="15" cy="519"/>
                      </a:xfrm>
                    </wpg:grpSpPr>
                    <wpg:grpSp>
                      <wpg:cNvPr id="152" name="Group 153"/>
                      <wpg:cNvGrpSpPr>
                        <a:grpSpLocks/>
                      </wpg:cNvGrpSpPr>
                      <wpg:grpSpPr bwMode="auto">
                        <a:xfrm>
                          <a:off x="2169" y="1093"/>
                          <a:ext cx="0" cy="0"/>
                          <a:chOff x="2169" y="1093"/>
                          <a:chExt cx="0" cy="0"/>
                        </a:xfrm>
                      </wpg:grpSpPr>
                      <wps:wsp>
                        <wps:cNvPr id="153" name="Freeform 156"/>
                        <wps:cNvSpPr>
                          <a:spLocks/>
                        </wps:cNvSpPr>
                        <wps:spPr bwMode="auto">
                          <a:xfrm>
                            <a:off x="2169" y="1093"/>
                            <a:ext cx="0" cy="0"/>
                          </a:xfrm>
                          <a:custGeom>
                            <a:avLst/>
                            <a:gdLst/>
                            <a:ahLst/>
                            <a:cxnLst>
                              <a:cxn ang="0">
                                <a:pos x="0" y="0"/>
                              </a:cxn>
                              <a:cxn ang="0">
                                <a:pos x="0" y="0"/>
                              </a:cxn>
                            </a:cxnLst>
                            <a:rect l="0" t="0" r="r" b="b"/>
                            <a:pathLst>
                              <a:path>
                                <a:moveTo>
                                  <a:pt x="0" y="0"/>
                                </a:moveTo>
                                <a:lnTo>
                                  <a:pt x="0" y="0"/>
                                </a:lnTo>
                              </a:path>
                            </a:pathLst>
                          </a:custGeom>
                          <a:noFill/>
                          <a:ln w="1270">
                            <a:solidFill>
                              <a:srgbClr val="22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4" name="Group 154"/>
                        <wpg:cNvGrpSpPr>
                          <a:grpSpLocks/>
                        </wpg:cNvGrpSpPr>
                        <wpg:grpSpPr bwMode="auto">
                          <a:xfrm>
                            <a:off x="2169" y="589"/>
                            <a:ext cx="0" cy="504"/>
                            <a:chOff x="2169" y="589"/>
                            <a:chExt cx="0" cy="504"/>
                          </a:xfrm>
                        </wpg:grpSpPr>
                        <wps:wsp>
                          <wps:cNvPr id="155" name="Freeform 155"/>
                          <wps:cNvSpPr>
                            <a:spLocks/>
                          </wps:cNvSpPr>
                          <wps:spPr bwMode="auto">
                            <a:xfrm>
                              <a:off x="2169" y="589"/>
                              <a:ext cx="0" cy="504"/>
                            </a:xfrm>
                            <a:custGeom>
                              <a:avLst/>
                              <a:gdLst>
                                <a:gd name="T0" fmla="+- 0 589 589"/>
                                <a:gd name="T1" fmla="*/ 589 h 504"/>
                                <a:gd name="T2" fmla="+- 0 1093 589"/>
                                <a:gd name="T3" fmla="*/ 1093 h 504"/>
                              </a:gdLst>
                              <a:ahLst/>
                              <a:cxnLst>
                                <a:cxn ang="0">
                                  <a:pos x="0" y="T1"/>
                                </a:cxn>
                                <a:cxn ang="0">
                                  <a:pos x="0" y="T3"/>
                                </a:cxn>
                              </a:cxnLst>
                              <a:rect l="0" t="0" r="r" b="b"/>
                              <a:pathLst>
                                <a:path h="504">
                                  <a:moveTo>
                                    <a:pt x="0" y="0"/>
                                  </a:moveTo>
                                  <a:lnTo>
                                    <a:pt x="0" y="504"/>
                                  </a:lnTo>
                                </a:path>
                              </a:pathLst>
                            </a:custGeom>
                            <a:noFill/>
                            <a:ln w="9334">
                              <a:solidFill>
                                <a:srgbClr val="22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CE6F96D" id="Group 152" o:spid="_x0000_s1026" style="position:absolute;margin-left:108.05pt;margin-top:29.05pt;width:.75pt;height:25.95pt;z-index:-251656192;mso-position-horizontal-relative:page;mso-position-vertical-relative:page" coordorigin="2161,581" coordsize="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">
              <v:group id="Group 153" o:spid="_x0000_s1027" style="position:absolute;left:2169;top:1093;width:0;height:0" coordorigin="2169,10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6" o:spid="_x0000_s1028" style="position:absolute;left:2169;top:10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" path="m,l,e" filled="f" strokecolor="#221f20" strokeweight=".1pt">
                  <v:path arrowok="t" o:connecttype="custom" o:connectlocs="0,0;0,0" o:connectangles="0,0"/>
                </v:shape>
                <v:group id="Group 154" o:spid="_x0000_s1029" style="position:absolute;left:2169;top:589;width:0;height:504" coordorigin="2169,589" coordsize="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55" o:spid="_x0000_s1030" style="position:absolute;left:2169;top:589;width:0;height:504;visibility:visible;mso-wrap-style:square;v-text-anchor:top" coordsize="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" path="m,l,504e" filled="f" strokecolor="#221f20" strokeweight=".25928mm">
                    <v:path arrowok="t" o:connecttype="custom" o:connectlocs="0,589;0,1093" o:connectangles="0,0"/>
                  </v:shape>
                </v:group>
              </v:group>
              <w10:wrap anchorx="page" anchory="page"/>
            </v:group>
          </w:pict>
        </mc:Fallback>
      </mc:AlternateContent>
    </w:r>
    <w:r w:rsidRPr="006B44F6">
      <w:rPr>
        <w:noProof/>
        <w:sz w:val="20"/>
        <w:szCs w:val="20"/>
        <w:lang w:val="tr-TR" w:eastAsia="tr-TR"/>
      </w:rPr>
      <mc:AlternateContent>
        <mc:Choice Requires="wpg">
          <w:drawing>
            <wp:anchor distT="0" distB="0" distL="114300" distR="114300" simplePos="0" relativeHeight="251661312" behindDoc="1" locked="0" layoutInCell="1" allowOverlap="1" wp14:anchorId="64C40148" wp14:editId="4E720F88">
              <wp:simplePos x="0" y="0"/>
              <wp:positionH relativeFrom="page">
                <wp:posOffset>1450975</wp:posOffset>
              </wp:positionH>
              <wp:positionV relativeFrom="page">
                <wp:posOffset>493395</wp:posOffset>
              </wp:positionV>
              <wp:extent cx="50165" cy="80645"/>
              <wp:effectExtent l="3175" t="0" r="3810" b="0"/>
              <wp:wrapNone/>
              <wp:docPr id="14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80645"/>
                        <a:chOff x="2285" y="777"/>
                        <a:chExt cx="79" cy="127"/>
                      </a:xfrm>
                    </wpg:grpSpPr>
                    <wps:wsp>
                      <wps:cNvPr id="150" name="Freeform 151"/>
                      <wps:cNvSpPr>
                        <a:spLocks/>
                      </wps:cNvSpPr>
                      <wps:spPr bwMode="auto">
                        <a:xfrm>
                          <a:off x="2285" y="777"/>
                          <a:ext cx="79" cy="127"/>
                        </a:xfrm>
                        <a:custGeom>
                          <a:avLst/>
                          <a:gdLst>
                            <a:gd name="T0" fmla="+- 0 2298 2285"/>
                            <a:gd name="T1" fmla="*/ T0 w 79"/>
                            <a:gd name="T2" fmla="+- 0 892 777"/>
                            <a:gd name="T3" fmla="*/ 892 h 127"/>
                            <a:gd name="T4" fmla="+- 0 2298 2285"/>
                            <a:gd name="T5" fmla="*/ T4 w 79"/>
                            <a:gd name="T6" fmla="+- 0 846 777"/>
                            <a:gd name="T7" fmla="*/ 846 h 127"/>
                            <a:gd name="T8" fmla="+- 0 2354 2285"/>
                            <a:gd name="T9" fmla="*/ T8 w 79"/>
                            <a:gd name="T10" fmla="+- 0 846 777"/>
                            <a:gd name="T11" fmla="*/ 846 h 127"/>
                            <a:gd name="T12" fmla="+- 0 2354 2285"/>
                            <a:gd name="T13" fmla="*/ T12 w 79"/>
                            <a:gd name="T14" fmla="+- 0 834 777"/>
                            <a:gd name="T15" fmla="*/ 834 h 127"/>
                            <a:gd name="T16" fmla="+- 0 2298 2285"/>
                            <a:gd name="T17" fmla="*/ T16 w 79"/>
                            <a:gd name="T18" fmla="+- 0 834 777"/>
                            <a:gd name="T19" fmla="*/ 834 h 127"/>
                            <a:gd name="T20" fmla="+- 0 2298 2285"/>
                            <a:gd name="T21" fmla="*/ T20 w 79"/>
                            <a:gd name="T22" fmla="+- 0 789 777"/>
                            <a:gd name="T23" fmla="*/ 789 h 127"/>
                            <a:gd name="T24" fmla="+- 0 2363 2285"/>
                            <a:gd name="T25" fmla="*/ T24 w 79"/>
                            <a:gd name="T26" fmla="+- 0 789 777"/>
                            <a:gd name="T27" fmla="*/ 789 h 127"/>
                            <a:gd name="T28" fmla="+- 0 2363 2285"/>
                            <a:gd name="T29" fmla="*/ T28 w 79"/>
                            <a:gd name="T30" fmla="+- 0 777 777"/>
                            <a:gd name="T31" fmla="*/ 777 h 127"/>
                            <a:gd name="T32" fmla="+- 0 2285 2285"/>
                            <a:gd name="T33" fmla="*/ T32 w 79"/>
                            <a:gd name="T34" fmla="+- 0 777 777"/>
                            <a:gd name="T35" fmla="*/ 777 h 127"/>
                            <a:gd name="T36" fmla="+- 0 2285 2285"/>
                            <a:gd name="T37" fmla="*/ T36 w 79"/>
                            <a:gd name="T38" fmla="+- 0 904 777"/>
                            <a:gd name="T39" fmla="*/ 904 h 127"/>
                            <a:gd name="T40" fmla="+- 0 2363 2285"/>
                            <a:gd name="T41" fmla="*/ T40 w 79"/>
                            <a:gd name="T42" fmla="+- 0 904 777"/>
                            <a:gd name="T43" fmla="*/ 904 h 127"/>
                            <a:gd name="T44" fmla="+- 0 2363 2285"/>
                            <a:gd name="T45" fmla="*/ T44 w 79"/>
                            <a:gd name="T46" fmla="+- 0 892 777"/>
                            <a:gd name="T47" fmla="*/ 892 h 127"/>
                            <a:gd name="T48" fmla="+- 0 2298 2285"/>
                            <a:gd name="T49" fmla="*/ T48 w 79"/>
                            <a:gd name="T50" fmla="+- 0 892 777"/>
                            <a:gd name="T51" fmla="*/ 89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27">
                              <a:moveTo>
                                <a:pt x="13" y="115"/>
                              </a:moveTo>
                              <a:lnTo>
                                <a:pt x="13" y="69"/>
                              </a:lnTo>
                              <a:lnTo>
                                <a:pt x="69" y="69"/>
                              </a:lnTo>
                              <a:lnTo>
                                <a:pt x="69" y="57"/>
                              </a:lnTo>
                              <a:lnTo>
                                <a:pt x="13" y="57"/>
                              </a:lnTo>
                              <a:lnTo>
                                <a:pt x="13" y="12"/>
                              </a:lnTo>
                              <a:lnTo>
                                <a:pt x="78" y="12"/>
                              </a:lnTo>
                              <a:lnTo>
                                <a:pt x="78" y="0"/>
                              </a:lnTo>
                              <a:lnTo>
                                <a:pt x="0" y="0"/>
                              </a:lnTo>
                              <a:lnTo>
                                <a:pt x="0" y="127"/>
                              </a:lnTo>
                              <a:lnTo>
                                <a:pt x="78" y="127"/>
                              </a:lnTo>
                              <a:lnTo>
                                <a:pt x="78" y="115"/>
                              </a:lnTo>
                              <a:lnTo>
                                <a:pt x="13" y="115"/>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69C8F" id="Group 150" o:spid="_x0000_s1026" style="position:absolute;margin-left:114.25pt;margin-top:38.85pt;width:3.95pt;height:6.35pt;z-index:-251655168;mso-position-horizontal-relative:page;mso-position-vertical-relative:page" coordorigin="2285,777" coordsize="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">
              <v:shape id="Freeform 151" o:spid="_x0000_s1027" style="position:absolute;left:2285;top:77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" path="m13,115r,-46l69,69r,-12l13,57r,-45l78,12,78,,,,,127r78,l78,115r-65,xe" fillcolor="#221f20" stroked="f">
                <v:path arrowok="t" o:connecttype="custom" o:connectlocs="13,892;13,846;69,846;69,834;13,834;13,789;78,789;78,777;0,777;0,904;78,904;78,892;13,892" o:connectangles="0,0,0,0,0,0,0,0,0,0,0,0,0"/>
              </v:shape>
              <w10:wrap anchorx="page" anchory="page"/>
            </v:group>
          </w:pict>
        </mc:Fallback>
      </mc:AlternateContent>
    </w:r>
    <w:r w:rsidRPr="006B44F6">
      <w:rPr>
        <w:noProof/>
        <w:sz w:val="20"/>
        <w:szCs w:val="20"/>
        <w:lang w:val="tr-TR" w:eastAsia="tr-TR"/>
      </w:rPr>
      <mc:AlternateContent>
        <mc:Choice Requires="wpg">
          <w:drawing>
            <wp:anchor distT="0" distB="0" distL="114300" distR="114300" simplePos="0" relativeHeight="251662336" behindDoc="1" locked="0" layoutInCell="1" allowOverlap="1" wp14:anchorId="08CAAF39" wp14:editId="62B0D6E0">
              <wp:simplePos x="0" y="0"/>
              <wp:positionH relativeFrom="page">
                <wp:posOffset>1565910</wp:posOffset>
              </wp:positionH>
              <wp:positionV relativeFrom="page">
                <wp:posOffset>493395</wp:posOffset>
              </wp:positionV>
              <wp:extent cx="59690" cy="80645"/>
              <wp:effectExtent l="3810" t="7620" r="3175" b="6985"/>
              <wp:wrapNone/>
              <wp:docPr id="14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80645"/>
                        <a:chOff x="2466" y="777"/>
                        <a:chExt cx="94" cy="127"/>
                      </a:xfrm>
                    </wpg:grpSpPr>
                    <wps:wsp>
                      <wps:cNvPr id="148" name="Freeform 149"/>
                      <wps:cNvSpPr>
                        <a:spLocks/>
                      </wps:cNvSpPr>
                      <wps:spPr bwMode="auto">
                        <a:xfrm>
                          <a:off x="2466" y="777"/>
                          <a:ext cx="94" cy="127"/>
                        </a:xfrm>
                        <a:custGeom>
                          <a:avLst/>
                          <a:gdLst>
                            <a:gd name="T0" fmla="+- 0 2480 2466"/>
                            <a:gd name="T1" fmla="*/ T0 w 94"/>
                            <a:gd name="T2" fmla="+- 0 904 777"/>
                            <a:gd name="T3" fmla="*/ 904 h 127"/>
                            <a:gd name="T4" fmla="+- 0 2480 2466"/>
                            <a:gd name="T5" fmla="*/ T4 w 94"/>
                            <a:gd name="T6" fmla="+- 0 802 777"/>
                            <a:gd name="T7" fmla="*/ 802 h 127"/>
                            <a:gd name="T8" fmla="+- 0 2547 2466"/>
                            <a:gd name="T9" fmla="*/ T8 w 94"/>
                            <a:gd name="T10" fmla="+- 0 904 777"/>
                            <a:gd name="T11" fmla="*/ 904 h 127"/>
                            <a:gd name="T12" fmla="+- 0 2560 2466"/>
                            <a:gd name="T13" fmla="*/ T12 w 94"/>
                            <a:gd name="T14" fmla="+- 0 904 777"/>
                            <a:gd name="T15" fmla="*/ 904 h 127"/>
                            <a:gd name="T16" fmla="+- 0 2560 2466"/>
                            <a:gd name="T17" fmla="*/ T16 w 94"/>
                            <a:gd name="T18" fmla="+- 0 777 777"/>
                            <a:gd name="T19" fmla="*/ 777 h 127"/>
                            <a:gd name="T20" fmla="+- 0 2546 2466"/>
                            <a:gd name="T21" fmla="*/ T20 w 94"/>
                            <a:gd name="T22" fmla="+- 0 777 777"/>
                            <a:gd name="T23" fmla="*/ 777 h 127"/>
                            <a:gd name="T24" fmla="+- 0 2546 2466"/>
                            <a:gd name="T25" fmla="*/ T24 w 94"/>
                            <a:gd name="T26" fmla="+- 0 878 777"/>
                            <a:gd name="T27" fmla="*/ 878 h 127"/>
                            <a:gd name="T28" fmla="+- 0 2479 2466"/>
                            <a:gd name="T29" fmla="*/ T28 w 94"/>
                            <a:gd name="T30" fmla="+- 0 777 777"/>
                            <a:gd name="T31" fmla="*/ 777 h 127"/>
                            <a:gd name="T32" fmla="+- 0 2466 2466"/>
                            <a:gd name="T33" fmla="*/ T32 w 94"/>
                            <a:gd name="T34" fmla="+- 0 777 777"/>
                            <a:gd name="T35" fmla="*/ 777 h 127"/>
                            <a:gd name="T36" fmla="+- 0 2466 2466"/>
                            <a:gd name="T37" fmla="*/ T36 w 94"/>
                            <a:gd name="T38" fmla="+- 0 904 777"/>
                            <a:gd name="T39" fmla="*/ 904 h 127"/>
                            <a:gd name="T40" fmla="+- 0 2480 2466"/>
                            <a:gd name="T41" fmla="*/ T40 w 94"/>
                            <a:gd name="T42" fmla="+- 0 904 777"/>
                            <a:gd name="T43" fmla="*/ 90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27">
                              <a:moveTo>
                                <a:pt x="14" y="127"/>
                              </a:moveTo>
                              <a:lnTo>
                                <a:pt x="14" y="25"/>
                              </a:lnTo>
                              <a:lnTo>
                                <a:pt x="81" y="127"/>
                              </a:lnTo>
                              <a:lnTo>
                                <a:pt x="94" y="127"/>
                              </a:lnTo>
                              <a:lnTo>
                                <a:pt x="94" y="0"/>
                              </a:lnTo>
                              <a:lnTo>
                                <a:pt x="80" y="0"/>
                              </a:lnTo>
                              <a:lnTo>
                                <a:pt x="80" y="101"/>
                              </a:lnTo>
                              <a:lnTo>
                                <a:pt x="13" y="0"/>
                              </a:lnTo>
                              <a:lnTo>
                                <a:pt x="0" y="0"/>
                              </a:lnTo>
                              <a:lnTo>
                                <a:pt x="0" y="127"/>
                              </a:lnTo>
                              <a:lnTo>
                                <a:pt x="14" y="127"/>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016A9" id="Group 148" o:spid="_x0000_s1026" style="position:absolute;margin-left:123.3pt;margin-top:38.85pt;width:4.7pt;height:6.35pt;z-index:-251654144;mso-position-horizontal-relative:page;mso-position-vertical-relative:page" coordorigin="2466,777" coordsize="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">
              <v:shape id="Freeform 149" o:spid="_x0000_s1027" style="position:absolute;left:2466;top:777;width:94;height:127;visibility:visible;mso-wrap-style:square;v-text-anchor:top" coordsize="9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" path="m14,127l14,25,81,127r13,l94,,80,r,101l13,,,,,127r14,xe" fillcolor="#221f20" stroked="f">
                <v:path arrowok="t" o:connecttype="custom" o:connectlocs="14,904;14,802;81,904;94,904;94,777;80,777;80,878;13,777;0,777;0,904;14,904" o:connectangles="0,0,0,0,0,0,0,0,0,0,0"/>
              </v:shape>
              <w10:wrap anchorx="page" anchory="page"/>
            </v:group>
          </w:pict>
        </mc:Fallback>
      </mc:AlternateContent>
    </w:r>
    <w:r w:rsidRPr="006B44F6">
      <w:rPr>
        <w:noProof/>
        <w:sz w:val="20"/>
        <w:szCs w:val="20"/>
        <w:lang w:val="tr-TR" w:eastAsia="tr-TR"/>
      </w:rPr>
      <mc:AlternateContent>
        <mc:Choice Requires="wpg">
          <w:drawing>
            <wp:anchor distT="0" distB="0" distL="114300" distR="114300" simplePos="0" relativeHeight="251663360" behindDoc="1" locked="0" layoutInCell="1" allowOverlap="1" wp14:anchorId="35303FEB" wp14:editId="1710ED78">
              <wp:simplePos x="0" y="0"/>
              <wp:positionH relativeFrom="page">
                <wp:posOffset>1696085</wp:posOffset>
              </wp:positionH>
              <wp:positionV relativeFrom="page">
                <wp:posOffset>493395</wp:posOffset>
              </wp:positionV>
              <wp:extent cx="50165" cy="80645"/>
              <wp:effectExtent l="635" t="0" r="0" b="0"/>
              <wp:wrapNone/>
              <wp:docPr id="14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80645"/>
                        <a:chOff x="2671" y="777"/>
                        <a:chExt cx="79" cy="127"/>
                      </a:xfrm>
                    </wpg:grpSpPr>
                    <wps:wsp>
                      <wps:cNvPr id="146" name="Freeform 147"/>
                      <wps:cNvSpPr>
                        <a:spLocks/>
                      </wps:cNvSpPr>
                      <wps:spPr bwMode="auto">
                        <a:xfrm>
                          <a:off x="2671" y="777"/>
                          <a:ext cx="79" cy="127"/>
                        </a:xfrm>
                        <a:custGeom>
                          <a:avLst/>
                          <a:gdLst>
                            <a:gd name="T0" fmla="+- 0 2684 2671"/>
                            <a:gd name="T1" fmla="*/ T0 w 79"/>
                            <a:gd name="T2" fmla="+- 0 892 777"/>
                            <a:gd name="T3" fmla="*/ 892 h 127"/>
                            <a:gd name="T4" fmla="+- 0 2684 2671"/>
                            <a:gd name="T5" fmla="*/ T4 w 79"/>
                            <a:gd name="T6" fmla="+- 0 846 777"/>
                            <a:gd name="T7" fmla="*/ 846 h 127"/>
                            <a:gd name="T8" fmla="+- 0 2740 2671"/>
                            <a:gd name="T9" fmla="*/ T8 w 79"/>
                            <a:gd name="T10" fmla="+- 0 846 777"/>
                            <a:gd name="T11" fmla="*/ 846 h 127"/>
                            <a:gd name="T12" fmla="+- 0 2740 2671"/>
                            <a:gd name="T13" fmla="*/ T12 w 79"/>
                            <a:gd name="T14" fmla="+- 0 834 777"/>
                            <a:gd name="T15" fmla="*/ 834 h 127"/>
                            <a:gd name="T16" fmla="+- 0 2684 2671"/>
                            <a:gd name="T17" fmla="*/ T16 w 79"/>
                            <a:gd name="T18" fmla="+- 0 834 777"/>
                            <a:gd name="T19" fmla="*/ 834 h 127"/>
                            <a:gd name="T20" fmla="+- 0 2684 2671"/>
                            <a:gd name="T21" fmla="*/ T20 w 79"/>
                            <a:gd name="T22" fmla="+- 0 789 777"/>
                            <a:gd name="T23" fmla="*/ 789 h 127"/>
                            <a:gd name="T24" fmla="+- 0 2750 2671"/>
                            <a:gd name="T25" fmla="*/ T24 w 79"/>
                            <a:gd name="T26" fmla="+- 0 789 777"/>
                            <a:gd name="T27" fmla="*/ 789 h 127"/>
                            <a:gd name="T28" fmla="+- 0 2750 2671"/>
                            <a:gd name="T29" fmla="*/ T28 w 79"/>
                            <a:gd name="T30" fmla="+- 0 777 777"/>
                            <a:gd name="T31" fmla="*/ 777 h 127"/>
                            <a:gd name="T32" fmla="+- 0 2671 2671"/>
                            <a:gd name="T33" fmla="*/ T32 w 79"/>
                            <a:gd name="T34" fmla="+- 0 777 777"/>
                            <a:gd name="T35" fmla="*/ 777 h 127"/>
                            <a:gd name="T36" fmla="+- 0 2671 2671"/>
                            <a:gd name="T37" fmla="*/ T36 w 79"/>
                            <a:gd name="T38" fmla="+- 0 904 777"/>
                            <a:gd name="T39" fmla="*/ 904 h 127"/>
                            <a:gd name="T40" fmla="+- 0 2750 2671"/>
                            <a:gd name="T41" fmla="*/ T40 w 79"/>
                            <a:gd name="T42" fmla="+- 0 904 777"/>
                            <a:gd name="T43" fmla="*/ 904 h 127"/>
                            <a:gd name="T44" fmla="+- 0 2750 2671"/>
                            <a:gd name="T45" fmla="*/ T44 w 79"/>
                            <a:gd name="T46" fmla="+- 0 892 777"/>
                            <a:gd name="T47" fmla="*/ 892 h 127"/>
                            <a:gd name="T48" fmla="+- 0 2684 2671"/>
                            <a:gd name="T49" fmla="*/ T48 w 79"/>
                            <a:gd name="T50" fmla="+- 0 892 777"/>
                            <a:gd name="T51" fmla="*/ 89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 h="127">
                              <a:moveTo>
                                <a:pt x="13" y="115"/>
                              </a:moveTo>
                              <a:lnTo>
                                <a:pt x="13" y="69"/>
                              </a:lnTo>
                              <a:lnTo>
                                <a:pt x="69" y="69"/>
                              </a:lnTo>
                              <a:lnTo>
                                <a:pt x="69" y="57"/>
                              </a:lnTo>
                              <a:lnTo>
                                <a:pt x="13" y="57"/>
                              </a:lnTo>
                              <a:lnTo>
                                <a:pt x="13" y="12"/>
                              </a:lnTo>
                              <a:lnTo>
                                <a:pt x="79" y="12"/>
                              </a:lnTo>
                              <a:lnTo>
                                <a:pt x="79" y="0"/>
                              </a:lnTo>
                              <a:lnTo>
                                <a:pt x="0" y="0"/>
                              </a:lnTo>
                              <a:lnTo>
                                <a:pt x="0" y="127"/>
                              </a:lnTo>
                              <a:lnTo>
                                <a:pt x="79" y="127"/>
                              </a:lnTo>
                              <a:lnTo>
                                <a:pt x="79" y="115"/>
                              </a:lnTo>
                              <a:lnTo>
                                <a:pt x="13" y="115"/>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2B549" id="Group 146" o:spid="_x0000_s1026" style="position:absolute;margin-left:133.55pt;margin-top:38.85pt;width:3.95pt;height:6.35pt;z-index:-251653120;mso-position-horizontal-relative:page;mso-position-vertical-relative:page" coordorigin="2671,777" coordsize="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">
              <v:shape id="Freeform 147" o:spid="_x0000_s1027" style="position:absolute;left:2671;top:77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" path="m13,115r,-46l69,69r,-12l13,57r,-45l79,12,79,,,,,127r79,l79,115r-66,xe" fillcolor="#221f20" stroked="f">
                <v:path arrowok="t" o:connecttype="custom" o:connectlocs="13,892;13,846;69,846;69,834;13,834;13,789;79,789;79,777;0,777;0,904;79,904;79,892;13,892" o:connectangles="0,0,0,0,0,0,0,0,0,0,0,0,0"/>
              </v:shape>
              <w10:wrap anchorx="page" anchory="page"/>
            </v:group>
          </w:pict>
        </mc:Fallback>
      </mc:AlternateContent>
    </w:r>
    <w:r w:rsidRPr="006B44F6">
      <w:rPr>
        <w:noProof/>
        <w:sz w:val="20"/>
        <w:szCs w:val="20"/>
        <w:lang w:val="tr-TR" w:eastAsia="tr-TR"/>
      </w:rPr>
      <mc:AlternateContent>
        <mc:Choice Requires="wpg">
          <w:drawing>
            <wp:anchor distT="0" distB="0" distL="114300" distR="114300" simplePos="0" relativeHeight="251664384" behindDoc="1" locked="0" layoutInCell="1" allowOverlap="1" wp14:anchorId="7F72D8ED" wp14:editId="73F8EF1C">
              <wp:simplePos x="0" y="0"/>
              <wp:positionH relativeFrom="page">
                <wp:posOffset>1811020</wp:posOffset>
              </wp:positionH>
              <wp:positionV relativeFrom="page">
                <wp:posOffset>493395</wp:posOffset>
              </wp:positionV>
              <wp:extent cx="56515" cy="80645"/>
              <wp:effectExtent l="1270" t="7620" r="8890" b="6985"/>
              <wp:wrapNone/>
              <wp:docPr id="1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 cy="80645"/>
                        <a:chOff x="2852" y="777"/>
                        <a:chExt cx="89" cy="127"/>
                      </a:xfrm>
                    </wpg:grpSpPr>
                    <wps:wsp>
                      <wps:cNvPr id="143" name="Freeform 145"/>
                      <wps:cNvSpPr>
                        <a:spLocks/>
                      </wps:cNvSpPr>
                      <wps:spPr bwMode="auto">
                        <a:xfrm>
                          <a:off x="2852" y="777"/>
                          <a:ext cx="89" cy="127"/>
                        </a:xfrm>
                        <a:custGeom>
                          <a:avLst/>
                          <a:gdLst>
                            <a:gd name="T0" fmla="+- 0 2941 2852"/>
                            <a:gd name="T1" fmla="*/ T0 w 89"/>
                            <a:gd name="T2" fmla="+- 0 904 777"/>
                            <a:gd name="T3" fmla="*/ 904 h 127"/>
                            <a:gd name="T4" fmla="+- 0 2911 2852"/>
                            <a:gd name="T5" fmla="*/ T4 w 89"/>
                            <a:gd name="T6" fmla="+- 0 846 777"/>
                            <a:gd name="T7" fmla="*/ 846 h 127"/>
                            <a:gd name="T8" fmla="+- 0 2915 2852"/>
                            <a:gd name="T9" fmla="*/ T8 w 89"/>
                            <a:gd name="T10" fmla="+- 0 845 777"/>
                            <a:gd name="T11" fmla="*/ 845 h 127"/>
                            <a:gd name="T12" fmla="+- 0 2932 2852"/>
                            <a:gd name="T13" fmla="*/ T12 w 89"/>
                            <a:gd name="T14" fmla="+- 0 833 777"/>
                            <a:gd name="T15" fmla="*/ 833 h 127"/>
                            <a:gd name="T16" fmla="+- 0 2925 2852"/>
                            <a:gd name="T17" fmla="*/ T16 w 89"/>
                            <a:gd name="T18" fmla="+- 0 797 777"/>
                            <a:gd name="T19" fmla="*/ 797 h 127"/>
                            <a:gd name="T20" fmla="+- 0 2925 2852"/>
                            <a:gd name="T21" fmla="*/ T20 w 89"/>
                            <a:gd name="T22" fmla="+- 0 828 777"/>
                            <a:gd name="T23" fmla="*/ 828 h 127"/>
                            <a:gd name="T24" fmla="+- 0 2914 2852"/>
                            <a:gd name="T25" fmla="*/ T24 w 89"/>
                            <a:gd name="T26" fmla="+- 0 835 777"/>
                            <a:gd name="T27" fmla="*/ 835 h 127"/>
                            <a:gd name="T28" fmla="+- 0 2866 2852"/>
                            <a:gd name="T29" fmla="*/ T28 w 89"/>
                            <a:gd name="T30" fmla="+- 0 835 777"/>
                            <a:gd name="T31" fmla="*/ 835 h 127"/>
                            <a:gd name="T32" fmla="+- 0 2866 2852"/>
                            <a:gd name="T33" fmla="*/ T32 w 89"/>
                            <a:gd name="T34" fmla="+- 0 789 777"/>
                            <a:gd name="T35" fmla="*/ 789 h 127"/>
                            <a:gd name="T36" fmla="+- 0 2901 2852"/>
                            <a:gd name="T37" fmla="*/ T36 w 89"/>
                            <a:gd name="T38" fmla="+- 0 777 777"/>
                            <a:gd name="T39" fmla="*/ 777 h 127"/>
                            <a:gd name="T40" fmla="+- 0 2852 2852"/>
                            <a:gd name="T41" fmla="*/ T40 w 89"/>
                            <a:gd name="T42" fmla="+- 0 777 777"/>
                            <a:gd name="T43" fmla="*/ 777 h 127"/>
                            <a:gd name="T44" fmla="+- 0 2852 2852"/>
                            <a:gd name="T45" fmla="*/ T44 w 89"/>
                            <a:gd name="T46" fmla="+- 0 904 777"/>
                            <a:gd name="T47" fmla="*/ 904 h 127"/>
                            <a:gd name="T48" fmla="+- 0 2866 2852"/>
                            <a:gd name="T49" fmla="*/ T48 w 89"/>
                            <a:gd name="T50" fmla="+- 0 904 777"/>
                            <a:gd name="T51" fmla="*/ 904 h 127"/>
                            <a:gd name="T52" fmla="+- 0 2866 2852"/>
                            <a:gd name="T53" fmla="*/ T52 w 89"/>
                            <a:gd name="T54" fmla="+- 0 847 777"/>
                            <a:gd name="T55" fmla="*/ 847 h 127"/>
                            <a:gd name="T56" fmla="+- 0 2896 2852"/>
                            <a:gd name="T57" fmla="*/ T56 w 89"/>
                            <a:gd name="T58" fmla="+- 0 847 777"/>
                            <a:gd name="T59" fmla="*/ 847 h 127"/>
                            <a:gd name="T60" fmla="+- 0 2925 2852"/>
                            <a:gd name="T61" fmla="*/ T60 w 89"/>
                            <a:gd name="T62" fmla="+- 0 904 777"/>
                            <a:gd name="T63" fmla="*/ 904 h 127"/>
                            <a:gd name="T64" fmla="+- 0 2941 2852"/>
                            <a:gd name="T65" fmla="*/ T64 w 89"/>
                            <a:gd name="T66" fmla="+- 0 904 777"/>
                            <a:gd name="T67" fmla="*/ 90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127">
                              <a:moveTo>
                                <a:pt x="89" y="127"/>
                              </a:moveTo>
                              <a:lnTo>
                                <a:pt x="59" y="69"/>
                              </a:lnTo>
                              <a:lnTo>
                                <a:pt x="63" y="68"/>
                              </a:lnTo>
                              <a:lnTo>
                                <a:pt x="80" y="56"/>
                              </a:lnTo>
                              <a:lnTo>
                                <a:pt x="73" y="20"/>
                              </a:lnTo>
                              <a:lnTo>
                                <a:pt x="73" y="51"/>
                              </a:lnTo>
                              <a:lnTo>
                                <a:pt x="62" y="58"/>
                              </a:lnTo>
                              <a:lnTo>
                                <a:pt x="14" y="58"/>
                              </a:lnTo>
                              <a:lnTo>
                                <a:pt x="14" y="12"/>
                              </a:lnTo>
                              <a:lnTo>
                                <a:pt x="49" y="0"/>
                              </a:lnTo>
                              <a:lnTo>
                                <a:pt x="0" y="0"/>
                              </a:lnTo>
                              <a:lnTo>
                                <a:pt x="0" y="127"/>
                              </a:lnTo>
                              <a:lnTo>
                                <a:pt x="14" y="127"/>
                              </a:lnTo>
                              <a:lnTo>
                                <a:pt x="14" y="70"/>
                              </a:lnTo>
                              <a:lnTo>
                                <a:pt x="44" y="70"/>
                              </a:lnTo>
                              <a:lnTo>
                                <a:pt x="73" y="127"/>
                              </a:lnTo>
                              <a:lnTo>
                                <a:pt x="89" y="127"/>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4"/>
                      <wps:cNvSpPr>
                        <a:spLocks/>
                      </wps:cNvSpPr>
                      <wps:spPr bwMode="auto">
                        <a:xfrm>
                          <a:off x="2852" y="777"/>
                          <a:ext cx="89" cy="127"/>
                        </a:xfrm>
                        <a:custGeom>
                          <a:avLst/>
                          <a:gdLst>
                            <a:gd name="T0" fmla="+- 0 2866 2852"/>
                            <a:gd name="T1" fmla="*/ T0 w 89"/>
                            <a:gd name="T2" fmla="+- 0 789 777"/>
                            <a:gd name="T3" fmla="*/ 789 h 127"/>
                            <a:gd name="T4" fmla="+- 0 2914 2852"/>
                            <a:gd name="T5" fmla="*/ T4 w 89"/>
                            <a:gd name="T6" fmla="+- 0 789 777"/>
                            <a:gd name="T7" fmla="*/ 789 h 127"/>
                            <a:gd name="T8" fmla="+- 0 2925 2852"/>
                            <a:gd name="T9" fmla="*/ T8 w 89"/>
                            <a:gd name="T10" fmla="+- 0 797 777"/>
                            <a:gd name="T11" fmla="*/ 797 h 127"/>
                            <a:gd name="T12" fmla="+- 0 2932 2852"/>
                            <a:gd name="T13" fmla="*/ T12 w 89"/>
                            <a:gd name="T14" fmla="+- 0 833 777"/>
                            <a:gd name="T15" fmla="*/ 833 h 127"/>
                            <a:gd name="T16" fmla="+- 0 2938 2852"/>
                            <a:gd name="T17" fmla="*/ T16 w 89"/>
                            <a:gd name="T18" fmla="+- 0 812 777"/>
                            <a:gd name="T19" fmla="*/ 812 h 127"/>
                            <a:gd name="T20" fmla="+- 0 2936 2852"/>
                            <a:gd name="T21" fmla="*/ T20 w 89"/>
                            <a:gd name="T22" fmla="+- 0 799 777"/>
                            <a:gd name="T23" fmla="*/ 799 h 127"/>
                            <a:gd name="T24" fmla="+- 0 2923 2852"/>
                            <a:gd name="T25" fmla="*/ T24 w 89"/>
                            <a:gd name="T26" fmla="+- 0 783 777"/>
                            <a:gd name="T27" fmla="*/ 783 h 127"/>
                            <a:gd name="T28" fmla="+- 0 2901 2852"/>
                            <a:gd name="T29" fmla="*/ T28 w 89"/>
                            <a:gd name="T30" fmla="+- 0 777 777"/>
                            <a:gd name="T31" fmla="*/ 777 h 127"/>
                            <a:gd name="T32" fmla="+- 0 2866 2852"/>
                            <a:gd name="T33" fmla="*/ T32 w 89"/>
                            <a:gd name="T34" fmla="+- 0 789 777"/>
                            <a:gd name="T35" fmla="*/ 789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127">
                              <a:moveTo>
                                <a:pt x="14" y="12"/>
                              </a:moveTo>
                              <a:lnTo>
                                <a:pt x="62" y="12"/>
                              </a:lnTo>
                              <a:lnTo>
                                <a:pt x="73" y="20"/>
                              </a:lnTo>
                              <a:lnTo>
                                <a:pt x="80" y="56"/>
                              </a:lnTo>
                              <a:lnTo>
                                <a:pt x="86" y="35"/>
                              </a:lnTo>
                              <a:lnTo>
                                <a:pt x="84" y="22"/>
                              </a:lnTo>
                              <a:lnTo>
                                <a:pt x="71" y="6"/>
                              </a:lnTo>
                              <a:lnTo>
                                <a:pt x="49" y="0"/>
                              </a:lnTo>
                              <a:lnTo>
                                <a:pt x="14" y="12"/>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36E09" id="Group 143" o:spid="_x0000_s1026" style="position:absolute;margin-left:142.6pt;margin-top:38.85pt;width:4.45pt;height:6.35pt;z-index:-251652096;mso-position-horizontal-relative:page;mso-position-vertical-relative:page" coordorigin="2852,777" coordsize="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">
              <v:shape id="Freeform 145" o:spid="_x0000_s1027" style="position:absolute;left:2852;top:777;width:89;height:127;visibility:visible;mso-wrap-style:square;v-text-anchor:top" coordsize="8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" path="m89,127l59,69r4,-1l80,56,73,20r,31l62,58r-48,l14,12,49,,,,,127r14,l14,70r30,l73,127r16,xe" fillcolor="#221f20" stroked="f">
                <v:path arrowok="t" o:connecttype="custom" o:connectlocs="89,904;59,846;63,845;80,833;73,797;73,828;62,835;14,835;14,789;49,777;0,777;0,904;14,904;14,847;44,847;73,904;89,904" o:connectangles="0,0,0,0,0,0,0,0,0,0,0,0,0,0,0,0,0"/>
              </v:shape>
              <v:shape id="Freeform 144" o:spid="_x0000_s1028" style="position:absolute;left:2852;top:777;width:89;height:127;visibility:visible;mso-wrap-style:square;v-text-anchor:top" coordsize="8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" path="m14,12r48,l73,20r7,36l86,35,84,22,71,6,49,,14,12xe" fillcolor="#221f20" stroked="f">
                <v:path arrowok="t" o:connecttype="custom" o:connectlocs="14,789;62,789;73,797;80,833;86,812;84,799;71,783;49,777;14,789" o:connectangles="0,0,0,0,0,0,0,0,0"/>
              </v:shape>
              <w10:wrap anchorx="page" anchory="page"/>
            </v:group>
          </w:pict>
        </mc:Fallback>
      </mc:AlternateContent>
    </w:r>
    <w:r w:rsidRPr="006B44F6">
      <w:rPr>
        <w:noProof/>
        <w:sz w:val="20"/>
        <w:szCs w:val="20"/>
        <w:lang w:val="tr-TR" w:eastAsia="tr-TR"/>
      </w:rPr>
      <mc:AlternateContent>
        <mc:Choice Requires="wpg">
          <w:drawing>
            <wp:anchor distT="0" distB="0" distL="114300" distR="114300" simplePos="0" relativeHeight="251665408" behindDoc="1" locked="0" layoutInCell="1" allowOverlap="1" wp14:anchorId="2FF9FE7B" wp14:editId="24A49186">
              <wp:simplePos x="0" y="0"/>
              <wp:positionH relativeFrom="page">
                <wp:posOffset>1920875</wp:posOffset>
              </wp:positionH>
              <wp:positionV relativeFrom="page">
                <wp:posOffset>493395</wp:posOffset>
              </wp:positionV>
              <wp:extent cx="43180" cy="81280"/>
              <wp:effectExtent l="6350" t="7620" r="7620" b="6350"/>
              <wp:wrapNone/>
              <wp:docPr id="14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81280"/>
                        <a:chOff x="3025" y="777"/>
                        <a:chExt cx="68" cy="128"/>
                      </a:xfrm>
                    </wpg:grpSpPr>
                    <wps:wsp>
                      <wps:cNvPr id="141" name="Freeform 142"/>
                      <wps:cNvSpPr>
                        <a:spLocks/>
                      </wps:cNvSpPr>
                      <wps:spPr bwMode="auto">
                        <a:xfrm>
                          <a:off x="3025" y="777"/>
                          <a:ext cx="68" cy="128"/>
                        </a:xfrm>
                        <a:custGeom>
                          <a:avLst/>
                          <a:gdLst>
                            <a:gd name="T0" fmla="+- 0 3034 3025"/>
                            <a:gd name="T1" fmla="*/ T0 w 68"/>
                            <a:gd name="T2" fmla="+- 0 884 777"/>
                            <a:gd name="T3" fmla="*/ 884 h 128"/>
                            <a:gd name="T4" fmla="+- 0 3025 3025"/>
                            <a:gd name="T5" fmla="*/ T4 w 68"/>
                            <a:gd name="T6" fmla="+- 0 893 777"/>
                            <a:gd name="T7" fmla="*/ 893 h 128"/>
                            <a:gd name="T8" fmla="+- 0 3033 3025"/>
                            <a:gd name="T9" fmla="*/ T8 w 68"/>
                            <a:gd name="T10" fmla="+- 0 901 777"/>
                            <a:gd name="T11" fmla="*/ 901 h 128"/>
                            <a:gd name="T12" fmla="+- 0 3042 3025"/>
                            <a:gd name="T13" fmla="*/ T12 w 68"/>
                            <a:gd name="T14" fmla="+- 0 905 777"/>
                            <a:gd name="T15" fmla="*/ 905 h 128"/>
                            <a:gd name="T16" fmla="+- 0 3054 3025"/>
                            <a:gd name="T17" fmla="*/ T16 w 68"/>
                            <a:gd name="T18" fmla="+- 0 905 777"/>
                            <a:gd name="T19" fmla="*/ 905 h 128"/>
                            <a:gd name="T20" fmla="+- 0 3072 3025"/>
                            <a:gd name="T21" fmla="*/ T20 w 68"/>
                            <a:gd name="T22" fmla="+- 0 901 777"/>
                            <a:gd name="T23" fmla="*/ 901 h 128"/>
                            <a:gd name="T24" fmla="+- 0 3088 3025"/>
                            <a:gd name="T25" fmla="*/ T24 w 68"/>
                            <a:gd name="T26" fmla="+- 0 888 777"/>
                            <a:gd name="T27" fmla="*/ 888 h 128"/>
                            <a:gd name="T28" fmla="+- 0 3094 3025"/>
                            <a:gd name="T29" fmla="*/ T28 w 68"/>
                            <a:gd name="T30" fmla="+- 0 865 777"/>
                            <a:gd name="T31" fmla="*/ 865 h 128"/>
                            <a:gd name="T32" fmla="+- 0 3094 3025"/>
                            <a:gd name="T33" fmla="*/ T32 w 68"/>
                            <a:gd name="T34" fmla="+- 0 777 777"/>
                            <a:gd name="T35" fmla="*/ 777 h 128"/>
                            <a:gd name="T36" fmla="+- 0 3080 3025"/>
                            <a:gd name="T37" fmla="*/ T36 w 68"/>
                            <a:gd name="T38" fmla="+- 0 777 777"/>
                            <a:gd name="T39" fmla="*/ 777 h 128"/>
                            <a:gd name="T40" fmla="+- 0 3080 3025"/>
                            <a:gd name="T41" fmla="*/ T40 w 68"/>
                            <a:gd name="T42" fmla="+- 0 882 777"/>
                            <a:gd name="T43" fmla="*/ 882 h 128"/>
                            <a:gd name="T44" fmla="+- 0 3071 3025"/>
                            <a:gd name="T45" fmla="*/ T44 w 68"/>
                            <a:gd name="T46" fmla="+- 0 893 777"/>
                            <a:gd name="T47" fmla="*/ 893 h 128"/>
                            <a:gd name="T48" fmla="+- 0 3044 3025"/>
                            <a:gd name="T49" fmla="*/ T48 w 68"/>
                            <a:gd name="T50" fmla="+- 0 893 777"/>
                            <a:gd name="T51" fmla="*/ 893 h 128"/>
                            <a:gd name="T52" fmla="+- 0 3039 3025"/>
                            <a:gd name="T53" fmla="*/ T52 w 68"/>
                            <a:gd name="T54" fmla="+- 0 889 777"/>
                            <a:gd name="T55" fmla="*/ 889 h 128"/>
                            <a:gd name="T56" fmla="+- 0 3034 3025"/>
                            <a:gd name="T57" fmla="*/ T56 w 68"/>
                            <a:gd name="T58" fmla="+- 0 884 777"/>
                            <a:gd name="T59" fmla="*/ 88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 h="128">
                              <a:moveTo>
                                <a:pt x="9" y="107"/>
                              </a:moveTo>
                              <a:lnTo>
                                <a:pt x="0" y="116"/>
                              </a:lnTo>
                              <a:lnTo>
                                <a:pt x="8" y="124"/>
                              </a:lnTo>
                              <a:lnTo>
                                <a:pt x="17" y="128"/>
                              </a:lnTo>
                              <a:lnTo>
                                <a:pt x="29" y="128"/>
                              </a:lnTo>
                              <a:lnTo>
                                <a:pt x="47" y="124"/>
                              </a:lnTo>
                              <a:lnTo>
                                <a:pt x="63" y="111"/>
                              </a:lnTo>
                              <a:lnTo>
                                <a:pt x="69" y="88"/>
                              </a:lnTo>
                              <a:lnTo>
                                <a:pt x="69" y="0"/>
                              </a:lnTo>
                              <a:lnTo>
                                <a:pt x="55" y="0"/>
                              </a:lnTo>
                              <a:lnTo>
                                <a:pt x="55" y="105"/>
                              </a:lnTo>
                              <a:lnTo>
                                <a:pt x="46" y="116"/>
                              </a:lnTo>
                              <a:lnTo>
                                <a:pt x="19" y="116"/>
                              </a:lnTo>
                              <a:lnTo>
                                <a:pt x="14" y="112"/>
                              </a:lnTo>
                              <a:lnTo>
                                <a:pt x="9" y="107"/>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B1AA7" id="Group 141" o:spid="_x0000_s1026" style="position:absolute;margin-left:151.25pt;margin-top:38.85pt;width:3.4pt;height:6.4pt;z-index:-251651072;mso-position-horizontal-relative:page;mso-position-vertical-relative:page" coordorigin="3025,777" coordsize="6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">
              <v:shape id="Freeform 142" o:spid="_x0000_s1027" style="position:absolute;left:3025;top:777;width:68;height:128;visibility:visible;mso-wrap-style:square;v-text-anchor:top" coordsize="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" path="m9,107l,116r8,8l17,128r12,l47,124,63,111,69,88,69,,55,r,105l46,116r-27,l14,112,9,107xe" fillcolor="#221f20" stroked="f">
                <v:path arrowok="t" o:connecttype="custom" o:connectlocs="9,884;0,893;8,901;17,905;29,905;47,901;63,888;69,865;69,777;55,777;55,882;46,893;19,893;14,889;9,884" o:connectangles="0,0,0,0,0,0,0,0,0,0,0,0,0,0,0"/>
              </v:shape>
              <w10:wrap anchorx="page" anchory="page"/>
            </v:group>
          </w:pict>
        </mc:Fallback>
      </mc:AlternateContent>
    </w:r>
    <w:r w:rsidRPr="006B44F6">
      <w:rPr>
        <w:noProof/>
        <w:sz w:val="20"/>
        <w:szCs w:val="20"/>
        <w:lang w:val="tr-TR" w:eastAsia="tr-TR"/>
      </w:rPr>
      <mc:AlternateContent>
        <mc:Choice Requires="wpg">
          <w:drawing>
            <wp:anchor distT="0" distB="0" distL="114300" distR="114300" simplePos="0" relativeHeight="251666432" behindDoc="1" locked="0" layoutInCell="1" allowOverlap="1" wp14:anchorId="586F772D" wp14:editId="473BEDB6">
              <wp:simplePos x="0" y="0"/>
              <wp:positionH relativeFrom="page">
                <wp:posOffset>2030730</wp:posOffset>
              </wp:positionH>
              <wp:positionV relativeFrom="page">
                <wp:posOffset>470535</wp:posOffset>
              </wp:positionV>
              <wp:extent cx="15240" cy="108585"/>
              <wp:effectExtent l="1905" t="3810" r="1905" b="1905"/>
              <wp:wrapNone/>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08585"/>
                        <a:chOff x="3198" y="741"/>
                        <a:chExt cx="24" cy="171"/>
                      </a:xfrm>
                    </wpg:grpSpPr>
                    <wpg:grpSp>
                      <wpg:cNvPr id="135" name="Group 136"/>
                      <wpg:cNvGrpSpPr>
                        <a:grpSpLocks/>
                      </wpg:cNvGrpSpPr>
                      <wpg:grpSpPr bwMode="auto">
                        <a:xfrm>
                          <a:off x="3203" y="748"/>
                          <a:ext cx="14" cy="155"/>
                          <a:chOff x="3203" y="748"/>
                          <a:chExt cx="14" cy="155"/>
                        </a:xfrm>
                      </wpg:grpSpPr>
                      <wps:wsp>
                        <wps:cNvPr id="136" name="Freeform 140"/>
                        <wps:cNvSpPr>
                          <a:spLocks/>
                        </wps:cNvSpPr>
                        <wps:spPr bwMode="auto">
                          <a:xfrm>
                            <a:off x="3203" y="748"/>
                            <a:ext cx="14" cy="155"/>
                          </a:xfrm>
                          <a:custGeom>
                            <a:avLst/>
                            <a:gdLst>
                              <a:gd name="T0" fmla="+- 0 3203 3203"/>
                              <a:gd name="T1" fmla="*/ T0 w 14"/>
                              <a:gd name="T2" fmla="+- 0 777 748"/>
                              <a:gd name="T3" fmla="*/ 777 h 155"/>
                              <a:gd name="T4" fmla="+- 0 3203 3203"/>
                              <a:gd name="T5" fmla="*/ T4 w 14"/>
                              <a:gd name="T6" fmla="+- 0 904 748"/>
                              <a:gd name="T7" fmla="*/ 904 h 155"/>
                              <a:gd name="T8" fmla="+- 0 3217 3203"/>
                              <a:gd name="T9" fmla="*/ T8 w 14"/>
                              <a:gd name="T10" fmla="+- 0 904 748"/>
                              <a:gd name="T11" fmla="*/ 904 h 155"/>
                              <a:gd name="T12" fmla="+- 0 3217 3203"/>
                              <a:gd name="T13" fmla="*/ T12 w 14"/>
                              <a:gd name="T14" fmla="+- 0 777 748"/>
                              <a:gd name="T15" fmla="*/ 777 h 155"/>
                              <a:gd name="T16" fmla="+- 0 3203 3203"/>
                              <a:gd name="T17" fmla="*/ T16 w 14"/>
                              <a:gd name="T18" fmla="+- 0 777 748"/>
                              <a:gd name="T19" fmla="*/ 777 h 155"/>
                            </a:gdLst>
                            <a:ahLst/>
                            <a:cxnLst>
                              <a:cxn ang="0">
                                <a:pos x="T1" y="T3"/>
                              </a:cxn>
                              <a:cxn ang="0">
                                <a:pos x="T5" y="T7"/>
                              </a:cxn>
                              <a:cxn ang="0">
                                <a:pos x="T9" y="T11"/>
                              </a:cxn>
                              <a:cxn ang="0">
                                <a:pos x="T13" y="T15"/>
                              </a:cxn>
                              <a:cxn ang="0">
                                <a:pos x="T17" y="T19"/>
                              </a:cxn>
                            </a:cxnLst>
                            <a:rect l="0" t="0" r="r" b="b"/>
                            <a:pathLst>
                              <a:path w="14" h="155">
                                <a:moveTo>
                                  <a:pt x="0" y="29"/>
                                </a:moveTo>
                                <a:lnTo>
                                  <a:pt x="0" y="156"/>
                                </a:lnTo>
                                <a:lnTo>
                                  <a:pt x="14" y="156"/>
                                </a:lnTo>
                                <a:lnTo>
                                  <a:pt x="14" y="29"/>
                                </a:lnTo>
                                <a:lnTo>
                                  <a:pt x="0" y="29"/>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9"/>
                        <wps:cNvSpPr>
                          <a:spLocks/>
                        </wps:cNvSpPr>
                        <wps:spPr bwMode="auto">
                          <a:xfrm>
                            <a:off x="3203" y="748"/>
                            <a:ext cx="14" cy="155"/>
                          </a:xfrm>
                          <a:custGeom>
                            <a:avLst/>
                            <a:gdLst>
                              <a:gd name="T0" fmla="+- 0 3203 3203"/>
                              <a:gd name="T1" fmla="*/ T0 w 14"/>
                              <a:gd name="T2" fmla="+- 0 748 748"/>
                              <a:gd name="T3" fmla="*/ 748 h 155"/>
                              <a:gd name="T4" fmla="+- 0 3203 3203"/>
                              <a:gd name="T5" fmla="*/ T4 w 14"/>
                              <a:gd name="T6" fmla="+- 0 762 748"/>
                              <a:gd name="T7" fmla="*/ 762 h 155"/>
                              <a:gd name="T8" fmla="+- 0 3216 3203"/>
                              <a:gd name="T9" fmla="*/ T8 w 14"/>
                              <a:gd name="T10" fmla="+- 0 762 748"/>
                              <a:gd name="T11" fmla="*/ 762 h 155"/>
                              <a:gd name="T12" fmla="+- 0 3216 3203"/>
                              <a:gd name="T13" fmla="*/ T12 w 14"/>
                              <a:gd name="T14" fmla="+- 0 748 748"/>
                              <a:gd name="T15" fmla="*/ 748 h 155"/>
                              <a:gd name="T16" fmla="+- 0 3203 3203"/>
                              <a:gd name="T17" fmla="*/ T16 w 14"/>
                              <a:gd name="T18" fmla="+- 0 748 748"/>
                              <a:gd name="T19" fmla="*/ 748 h 155"/>
                            </a:gdLst>
                            <a:ahLst/>
                            <a:cxnLst>
                              <a:cxn ang="0">
                                <a:pos x="T1" y="T3"/>
                              </a:cxn>
                              <a:cxn ang="0">
                                <a:pos x="T5" y="T7"/>
                              </a:cxn>
                              <a:cxn ang="0">
                                <a:pos x="T9" y="T11"/>
                              </a:cxn>
                              <a:cxn ang="0">
                                <a:pos x="T13" y="T15"/>
                              </a:cxn>
                              <a:cxn ang="0">
                                <a:pos x="T17" y="T19"/>
                              </a:cxn>
                            </a:cxnLst>
                            <a:rect l="0" t="0" r="r" b="b"/>
                            <a:pathLst>
                              <a:path w="14" h="155">
                                <a:moveTo>
                                  <a:pt x="0" y="0"/>
                                </a:moveTo>
                                <a:lnTo>
                                  <a:pt x="0" y="14"/>
                                </a:lnTo>
                                <a:lnTo>
                                  <a:pt x="13" y="14"/>
                                </a:lnTo>
                                <a:lnTo>
                                  <a:pt x="13" y="0"/>
                                </a:lnTo>
                                <a:lnTo>
                                  <a:pt x="0" y="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8" name="Group 137"/>
                        <wpg:cNvGrpSpPr>
                          <a:grpSpLocks/>
                        </wpg:cNvGrpSpPr>
                        <wpg:grpSpPr bwMode="auto">
                          <a:xfrm>
                            <a:off x="3210" y="748"/>
                            <a:ext cx="0" cy="155"/>
                            <a:chOff x="3210" y="748"/>
                            <a:chExt cx="0" cy="155"/>
                          </a:xfrm>
                        </wpg:grpSpPr>
                        <wps:wsp>
                          <wps:cNvPr id="139" name="Freeform 138"/>
                          <wps:cNvSpPr>
                            <a:spLocks/>
                          </wps:cNvSpPr>
                          <wps:spPr bwMode="auto">
                            <a:xfrm>
                              <a:off x="3210" y="748"/>
                              <a:ext cx="0" cy="155"/>
                            </a:xfrm>
                            <a:custGeom>
                              <a:avLst/>
                              <a:gdLst>
                                <a:gd name="T0" fmla="+- 0 748 748"/>
                                <a:gd name="T1" fmla="*/ 748 h 155"/>
                                <a:gd name="T2" fmla="+- 0 904 748"/>
                                <a:gd name="T3" fmla="*/ 904 h 155"/>
                              </a:gdLst>
                              <a:ahLst/>
                              <a:cxnLst>
                                <a:cxn ang="0">
                                  <a:pos x="0" y="T1"/>
                                </a:cxn>
                                <a:cxn ang="0">
                                  <a:pos x="0" y="T3"/>
                                </a:cxn>
                              </a:cxnLst>
                              <a:rect l="0" t="0" r="r" b="b"/>
                              <a:pathLst>
                                <a:path h="155">
                                  <a:moveTo>
                                    <a:pt x="0" y="0"/>
                                  </a:moveTo>
                                  <a:lnTo>
                                    <a:pt x="0" y="156"/>
                                  </a:lnTo>
                                </a:path>
                              </a:pathLst>
                            </a:custGeom>
                            <a:noFill/>
                            <a:ln w="9855">
                              <a:solidFill>
                                <a:srgbClr val="22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E211EB" id="Group 135" o:spid="_x0000_s1026" style="position:absolute;margin-left:159.9pt;margin-top:37.05pt;width:1.2pt;height:8.55pt;z-index:-251650048;mso-position-horizontal-relative:page;mso-position-vertical-relative:page" coordorigin="3198,741" coordsize="2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">
              <v:group id="Group 136" o:spid="_x0000_s1027" style="position:absolute;left:3203;top:748;width:14;height:155" coordorigin="3203,748" coordsize="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40" o:spid="_x0000_s1028" style="position:absolute;left:3203;top:748;width:14;height:155;visibility:visible;mso-wrap-style:square;v-text-anchor:top" coordsize="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" path="m,29l,156r14,l14,29,,29xe" fillcolor="#221f20" stroked="f">
                  <v:path arrowok="t" o:connecttype="custom" o:connectlocs="0,777;0,904;14,904;14,777;0,777" o:connectangles="0,0,0,0,0"/>
                </v:shape>
                <v:shape id="Freeform 139" o:spid="_x0000_s1029" style="position:absolute;left:3203;top:748;width:14;height:155;visibility:visible;mso-wrap-style:square;v-text-anchor:top" coordsize="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" path="m,l,14r13,l13,,,xe" fillcolor="#221f20" stroked="f">
                  <v:path arrowok="t" o:connecttype="custom" o:connectlocs="0,748;0,762;13,762;13,748;0,748" o:connectangles="0,0,0,0,0"/>
                </v:shape>
                <v:group id="Group 137" o:spid="_x0000_s1030" style="position:absolute;left:3210;top:748;width:0;height:155" coordorigin="3210,748" coordsize="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8" o:spid="_x0000_s1031" style="position:absolute;left:3210;top:748;width:0;height:155;visibility:visible;mso-wrap-style:square;v-text-anchor:top" coordsize="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" path="m,l,156e" filled="f" strokecolor="#221f20" strokeweight=".27375mm">
                    <v:path arrowok="t" o:connecttype="custom" o:connectlocs="0,748;0,904" o:connectangles="0,0"/>
                  </v:shape>
                </v:group>
              </v:group>
              <w10:wrap anchorx="page" anchory="page"/>
            </v:group>
          </w:pict>
        </mc:Fallback>
      </mc:AlternateContent>
    </w:r>
    <w:r w:rsidRPr="006B44F6">
      <w:rPr>
        <w:noProof/>
        <w:sz w:val="20"/>
        <w:szCs w:val="20"/>
        <w:lang w:val="tr-TR" w:eastAsia="tr-TR"/>
      </w:rPr>
      <w:drawing>
        <wp:inline distT="0" distB="0" distL="0" distR="0" wp14:anchorId="611B3C54" wp14:editId="6CE63ADB">
          <wp:extent cx="2543175" cy="323850"/>
          <wp:effectExtent l="0" t="0" r="9525" b="0"/>
          <wp:docPr id="405683629" name="Resim 1" descr="A black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sim 1" descr="A black screen with black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43175" cy="323850"/>
                  </a:xfrm>
                  <a:prstGeom prst="rect">
                    <a:avLst/>
                  </a:prstGeom>
                  <a:noFill/>
                  <a:ln>
                    <a:noFill/>
                  </a:ln>
                </pic:spPr>
              </pic:pic>
            </a:graphicData>
          </a:graphic>
        </wp:inline>
      </w:drawing>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5E6"/>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D4347C"/>
    <w:multiLevelType w:val="hybridMultilevel"/>
    <w:tmpl w:val="340050E6"/>
    <w:lvl w:ilvl="0" w:tplc="04046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F01CD"/>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D87D3B"/>
    <w:multiLevelType w:val="hybridMultilevel"/>
    <w:tmpl w:val="3B848E12"/>
    <w:lvl w:ilvl="0" w:tplc="39F86968">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C4630"/>
    <w:multiLevelType w:val="hybridMultilevel"/>
    <w:tmpl w:val="C8C6FF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1C1102"/>
    <w:multiLevelType w:val="hybridMultilevel"/>
    <w:tmpl w:val="49C8051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3B1307"/>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815"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2718DC"/>
    <w:multiLevelType w:val="hybridMultilevel"/>
    <w:tmpl w:val="B9DE10C4"/>
    <w:lvl w:ilvl="0" w:tplc="171A89C4">
      <w:start w:val="64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D142E"/>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280FF8"/>
    <w:multiLevelType w:val="hybridMultilevel"/>
    <w:tmpl w:val="26366CF6"/>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AF36E50"/>
    <w:multiLevelType w:val="multilevel"/>
    <w:tmpl w:val="98F8018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16D567C"/>
    <w:multiLevelType w:val="hybridMultilevel"/>
    <w:tmpl w:val="D88E36EA"/>
    <w:lvl w:ilvl="0" w:tplc="9A508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DB0651"/>
    <w:multiLevelType w:val="hybridMultilevel"/>
    <w:tmpl w:val="0F5E0306"/>
    <w:lvl w:ilvl="0" w:tplc="F3FCBC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41DCE"/>
    <w:multiLevelType w:val="hybridMultilevel"/>
    <w:tmpl w:val="57D4BC28"/>
    <w:lvl w:ilvl="0" w:tplc="CD98EA2E">
      <w:start w:val="1"/>
      <w:numFmt w:val="bullet"/>
      <w:lvlText w:val="•"/>
      <w:lvlJc w:val="left"/>
      <w:pPr>
        <w:tabs>
          <w:tab w:val="num" w:pos="720"/>
        </w:tabs>
        <w:ind w:left="720" w:hanging="360"/>
      </w:pPr>
      <w:rPr>
        <w:rFonts w:ascii="Arial" w:hAnsi="Arial" w:hint="default"/>
      </w:rPr>
    </w:lvl>
    <w:lvl w:ilvl="1" w:tplc="8480A6D4" w:tentative="1">
      <w:start w:val="1"/>
      <w:numFmt w:val="bullet"/>
      <w:lvlText w:val="•"/>
      <w:lvlJc w:val="left"/>
      <w:pPr>
        <w:tabs>
          <w:tab w:val="num" w:pos="1440"/>
        </w:tabs>
        <w:ind w:left="1440" w:hanging="360"/>
      </w:pPr>
      <w:rPr>
        <w:rFonts w:ascii="Arial" w:hAnsi="Arial" w:hint="default"/>
      </w:rPr>
    </w:lvl>
    <w:lvl w:ilvl="2" w:tplc="AE3EFF42">
      <w:start w:val="1"/>
      <w:numFmt w:val="bullet"/>
      <w:lvlText w:val="•"/>
      <w:lvlJc w:val="left"/>
      <w:pPr>
        <w:tabs>
          <w:tab w:val="num" w:pos="2160"/>
        </w:tabs>
        <w:ind w:left="2160" w:hanging="360"/>
      </w:pPr>
      <w:rPr>
        <w:rFonts w:ascii="Arial" w:hAnsi="Arial" w:hint="default"/>
      </w:rPr>
    </w:lvl>
    <w:lvl w:ilvl="3" w:tplc="2262667A" w:tentative="1">
      <w:start w:val="1"/>
      <w:numFmt w:val="bullet"/>
      <w:lvlText w:val="•"/>
      <w:lvlJc w:val="left"/>
      <w:pPr>
        <w:tabs>
          <w:tab w:val="num" w:pos="2880"/>
        </w:tabs>
        <w:ind w:left="2880" w:hanging="360"/>
      </w:pPr>
      <w:rPr>
        <w:rFonts w:ascii="Arial" w:hAnsi="Arial" w:hint="default"/>
      </w:rPr>
    </w:lvl>
    <w:lvl w:ilvl="4" w:tplc="E370C59E" w:tentative="1">
      <w:start w:val="1"/>
      <w:numFmt w:val="bullet"/>
      <w:lvlText w:val="•"/>
      <w:lvlJc w:val="left"/>
      <w:pPr>
        <w:tabs>
          <w:tab w:val="num" w:pos="3600"/>
        </w:tabs>
        <w:ind w:left="3600" w:hanging="360"/>
      </w:pPr>
      <w:rPr>
        <w:rFonts w:ascii="Arial" w:hAnsi="Arial" w:hint="default"/>
      </w:rPr>
    </w:lvl>
    <w:lvl w:ilvl="5" w:tplc="B2587018" w:tentative="1">
      <w:start w:val="1"/>
      <w:numFmt w:val="bullet"/>
      <w:lvlText w:val="•"/>
      <w:lvlJc w:val="left"/>
      <w:pPr>
        <w:tabs>
          <w:tab w:val="num" w:pos="4320"/>
        </w:tabs>
        <w:ind w:left="4320" w:hanging="360"/>
      </w:pPr>
      <w:rPr>
        <w:rFonts w:ascii="Arial" w:hAnsi="Arial" w:hint="default"/>
      </w:rPr>
    </w:lvl>
    <w:lvl w:ilvl="6" w:tplc="DCB24EB2" w:tentative="1">
      <w:start w:val="1"/>
      <w:numFmt w:val="bullet"/>
      <w:lvlText w:val="•"/>
      <w:lvlJc w:val="left"/>
      <w:pPr>
        <w:tabs>
          <w:tab w:val="num" w:pos="5040"/>
        </w:tabs>
        <w:ind w:left="5040" w:hanging="360"/>
      </w:pPr>
      <w:rPr>
        <w:rFonts w:ascii="Arial" w:hAnsi="Arial" w:hint="default"/>
      </w:rPr>
    </w:lvl>
    <w:lvl w:ilvl="7" w:tplc="6C9071CE" w:tentative="1">
      <w:start w:val="1"/>
      <w:numFmt w:val="bullet"/>
      <w:lvlText w:val="•"/>
      <w:lvlJc w:val="left"/>
      <w:pPr>
        <w:tabs>
          <w:tab w:val="num" w:pos="5760"/>
        </w:tabs>
        <w:ind w:left="5760" w:hanging="360"/>
      </w:pPr>
      <w:rPr>
        <w:rFonts w:ascii="Arial" w:hAnsi="Arial" w:hint="default"/>
      </w:rPr>
    </w:lvl>
    <w:lvl w:ilvl="8" w:tplc="62FE3F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281DBF"/>
    <w:multiLevelType w:val="hybridMultilevel"/>
    <w:tmpl w:val="05D64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FC234B"/>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E75202"/>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7541BA7"/>
    <w:multiLevelType w:val="hybridMultilevel"/>
    <w:tmpl w:val="DDEE9882"/>
    <w:lvl w:ilvl="0" w:tplc="A7F4D2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354053"/>
    <w:multiLevelType w:val="hybridMultilevel"/>
    <w:tmpl w:val="05AE6196"/>
    <w:lvl w:ilvl="0" w:tplc="0CE8A540">
      <w:start w:val="1"/>
      <w:numFmt w:val="bullet"/>
      <w:lvlText w:val="•"/>
      <w:lvlJc w:val="left"/>
      <w:pPr>
        <w:tabs>
          <w:tab w:val="num" w:pos="720"/>
        </w:tabs>
        <w:ind w:left="720" w:hanging="360"/>
      </w:pPr>
      <w:rPr>
        <w:rFonts w:ascii="Arial" w:hAnsi="Arial" w:hint="default"/>
      </w:rPr>
    </w:lvl>
    <w:lvl w:ilvl="1" w:tplc="3C1C6328" w:tentative="1">
      <w:start w:val="1"/>
      <w:numFmt w:val="bullet"/>
      <w:lvlText w:val="•"/>
      <w:lvlJc w:val="left"/>
      <w:pPr>
        <w:tabs>
          <w:tab w:val="num" w:pos="1440"/>
        </w:tabs>
        <w:ind w:left="1440" w:hanging="360"/>
      </w:pPr>
      <w:rPr>
        <w:rFonts w:ascii="Arial" w:hAnsi="Arial" w:hint="default"/>
      </w:rPr>
    </w:lvl>
    <w:lvl w:ilvl="2" w:tplc="58A293D6" w:tentative="1">
      <w:start w:val="1"/>
      <w:numFmt w:val="bullet"/>
      <w:lvlText w:val="•"/>
      <w:lvlJc w:val="left"/>
      <w:pPr>
        <w:tabs>
          <w:tab w:val="num" w:pos="2160"/>
        </w:tabs>
        <w:ind w:left="2160" w:hanging="360"/>
      </w:pPr>
      <w:rPr>
        <w:rFonts w:ascii="Arial" w:hAnsi="Arial" w:hint="default"/>
      </w:rPr>
    </w:lvl>
    <w:lvl w:ilvl="3" w:tplc="13588608" w:tentative="1">
      <w:start w:val="1"/>
      <w:numFmt w:val="bullet"/>
      <w:lvlText w:val="•"/>
      <w:lvlJc w:val="left"/>
      <w:pPr>
        <w:tabs>
          <w:tab w:val="num" w:pos="2880"/>
        </w:tabs>
        <w:ind w:left="2880" w:hanging="360"/>
      </w:pPr>
      <w:rPr>
        <w:rFonts w:ascii="Arial" w:hAnsi="Arial" w:hint="default"/>
      </w:rPr>
    </w:lvl>
    <w:lvl w:ilvl="4" w:tplc="63EE0978" w:tentative="1">
      <w:start w:val="1"/>
      <w:numFmt w:val="bullet"/>
      <w:lvlText w:val="•"/>
      <w:lvlJc w:val="left"/>
      <w:pPr>
        <w:tabs>
          <w:tab w:val="num" w:pos="3600"/>
        </w:tabs>
        <w:ind w:left="3600" w:hanging="360"/>
      </w:pPr>
      <w:rPr>
        <w:rFonts w:ascii="Arial" w:hAnsi="Arial" w:hint="default"/>
      </w:rPr>
    </w:lvl>
    <w:lvl w:ilvl="5" w:tplc="C0BEBED4" w:tentative="1">
      <w:start w:val="1"/>
      <w:numFmt w:val="bullet"/>
      <w:lvlText w:val="•"/>
      <w:lvlJc w:val="left"/>
      <w:pPr>
        <w:tabs>
          <w:tab w:val="num" w:pos="4320"/>
        </w:tabs>
        <w:ind w:left="4320" w:hanging="360"/>
      </w:pPr>
      <w:rPr>
        <w:rFonts w:ascii="Arial" w:hAnsi="Arial" w:hint="default"/>
      </w:rPr>
    </w:lvl>
    <w:lvl w:ilvl="6" w:tplc="5E0AFBD2" w:tentative="1">
      <w:start w:val="1"/>
      <w:numFmt w:val="bullet"/>
      <w:lvlText w:val="•"/>
      <w:lvlJc w:val="left"/>
      <w:pPr>
        <w:tabs>
          <w:tab w:val="num" w:pos="5040"/>
        </w:tabs>
        <w:ind w:left="5040" w:hanging="360"/>
      </w:pPr>
      <w:rPr>
        <w:rFonts w:ascii="Arial" w:hAnsi="Arial" w:hint="default"/>
      </w:rPr>
    </w:lvl>
    <w:lvl w:ilvl="7" w:tplc="2C3C509C" w:tentative="1">
      <w:start w:val="1"/>
      <w:numFmt w:val="bullet"/>
      <w:lvlText w:val="•"/>
      <w:lvlJc w:val="left"/>
      <w:pPr>
        <w:tabs>
          <w:tab w:val="num" w:pos="5760"/>
        </w:tabs>
        <w:ind w:left="5760" w:hanging="360"/>
      </w:pPr>
      <w:rPr>
        <w:rFonts w:ascii="Arial" w:hAnsi="Arial" w:hint="default"/>
      </w:rPr>
    </w:lvl>
    <w:lvl w:ilvl="8" w:tplc="F40AB0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3412AC"/>
    <w:multiLevelType w:val="multilevel"/>
    <w:tmpl w:val="F74A871A"/>
    <w:lvl w:ilvl="0">
      <w:start w:val="2"/>
      <w:numFmt w:val="decimal"/>
      <w:lvlText w:val="%1."/>
      <w:lvlJc w:val="left"/>
      <w:pPr>
        <w:ind w:left="390" w:hanging="390"/>
      </w:pPr>
      <w:rPr>
        <w:rFonts w:hint="default"/>
      </w:rPr>
    </w:lvl>
    <w:lvl w:ilvl="1">
      <w:start w:val="2"/>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002259C"/>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95853B2"/>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306E29"/>
    <w:multiLevelType w:val="hybridMultilevel"/>
    <w:tmpl w:val="E4C87610"/>
    <w:lvl w:ilvl="0" w:tplc="D7544B1A">
      <w:start w:val="1"/>
      <w:numFmt w:val="bullet"/>
      <w:lvlText w:val="•"/>
      <w:lvlJc w:val="left"/>
      <w:pPr>
        <w:tabs>
          <w:tab w:val="num" w:pos="720"/>
        </w:tabs>
        <w:ind w:left="720" w:hanging="360"/>
      </w:pPr>
      <w:rPr>
        <w:rFonts w:ascii="Arial" w:hAnsi="Arial" w:hint="default"/>
      </w:rPr>
    </w:lvl>
    <w:lvl w:ilvl="1" w:tplc="9F807CEE" w:tentative="1">
      <w:start w:val="1"/>
      <w:numFmt w:val="bullet"/>
      <w:lvlText w:val="•"/>
      <w:lvlJc w:val="left"/>
      <w:pPr>
        <w:tabs>
          <w:tab w:val="num" w:pos="1440"/>
        </w:tabs>
        <w:ind w:left="1440" w:hanging="360"/>
      </w:pPr>
      <w:rPr>
        <w:rFonts w:ascii="Arial" w:hAnsi="Arial" w:hint="default"/>
      </w:rPr>
    </w:lvl>
    <w:lvl w:ilvl="2" w:tplc="3DC65EA8" w:tentative="1">
      <w:start w:val="1"/>
      <w:numFmt w:val="bullet"/>
      <w:lvlText w:val="•"/>
      <w:lvlJc w:val="left"/>
      <w:pPr>
        <w:tabs>
          <w:tab w:val="num" w:pos="2160"/>
        </w:tabs>
        <w:ind w:left="2160" w:hanging="360"/>
      </w:pPr>
      <w:rPr>
        <w:rFonts w:ascii="Arial" w:hAnsi="Arial" w:hint="default"/>
      </w:rPr>
    </w:lvl>
    <w:lvl w:ilvl="3" w:tplc="C374EBAA" w:tentative="1">
      <w:start w:val="1"/>
      <w:numFmt w:val="bullet"/>
      <w:lvlText w:val="•"/>
      <w:lvlJc w:val="left"/>
      <w:pPr>
        <w:tabs>
          <w:tab w:val="num" w:pos="2880"/>
        </w:tabs>
        <w:ind w:left="2880" w:hanging="360"/>
      </w:pPr>
      <w:rPr>
        <w:rFonts w:ascii="Arial" w:hAnsi="Arial" w:hint="default"/>
      </w:rPr>
    </w:lvl>
    <w:lvl w:ilvl="4" w:tplc="95C8C2EC" w:tentative="1">
      <w:start w:val="1"/>
      <w:numFmt w:val="bullet"/>
      <w:lvlText w:val="•"/>
      <w:lvlJc w:val="left"/>
      <w:pPr>
        <w:tabs>
          <w:tab w:val="num" w:pos="3600"/>
        </w:tabs>
        <w:ind w:left="3600" w:hanging="360"/>
      </w:pPr>
      <w:rPr>
        <w:rFonts w:ascii="Arial" w:hAnsi="Arial" w:hint="default"/>
      </w:rPr>
    </w:lvl>
    <w:lvl w:ilvl="5" w:tplc="741E3260" w:tentative="1">
      <w:start w:val="1"/>
      <w:numFmt w:val="bullet"/>
      <w:lvlText w:val="•"/>
      <w:lvlJc w:val="left"/>
      <w:pPr>
        <w:tabs>
          <w:tab w:val="num" w:pos="4320"/>
        </w:tabs>
        <w:ind w:left="4320" w:hanging="360"/>
      </w:pPr>
      <w:rPr>
        <w:rFonts w:ascii="Arial" w:hAnsi="Arial" w:hint="default"/>
      </w:rPr>
    </w:lvl>
    <w:lvl w:ilvl="6" w:tplc="D5E425BA" w:tentative="1">
      <w:start w:val="1"/>
      <w:numFmt w:val="bullet"/>
      <w:lvlText w:val="•"/>
      <w:lvlJc w:val="left"/>
      <w:pPr>
        <w:tabs>
          <w:tab w:val="num" w:pos="5040"/>
        </w:tabs>
        <w:ind w:left="5040" w:hanging="360"/>
      </w:pPr>
      <w:rPr>
        <w:rFonts w:ascii="Arial" w:hAnsi="Arial" w:hint="default"/>
      </w:rPr>
    </w:lvl>
    <w:lvl w:ilvl="7" w:tplc="C8808110" w:tentative="1">
      <w:start w:val="1"/>
      <w:numFmt w:val="bullet"/>
      <w:lvlText w:val="•"/>
      <w:lvlJc w:val="left"/>
      <w:pPr>
        <w:tabs>
          <w:tab w:val="num" w:pos="5760"/>
        </w:tabs>
        <w:ind w:left="5760" w:hanging="360"/>
      </w:pPr>
      <w:rPr>
        <w:rFonts w:ascii="Arial" w:hAnsi="Arial" w:hint="default"/>
      </w:rPr>
    </w:lvl>
    <w:lvl w:ilvl="8" w:tplc="9FC48E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463F23"/>
    <w:multiLevelType w:val="hybridMultilevel"/>
    <w:tmpl w:val="DDEC2730"/>
    <w:lvl w:ilvl="0" w:tplc="E132FB0E">
      <w:start w:val="1"/>
      <w:numFmt w:val="bullet"/>
      <w:lvlText w:val="&gt;"/>
      <w:lvlJc w:val="left"/>
      <w:pPr>
        <w:tabs>
          <w:tab w:val="num" w:pos="720"/>
        </w:tabs>
        <w:ind w:left="720" w:hanging="360"/>
      </w:pPr>
      <w:rPr>
        <w:rFonts w:ascii="Times New Roman" w:hAnsi="Times New Roman" w:hint="default"/>
      </w:rPr>
    </w:lvl>
    <w:lvl w:ilvl="1" w:tplc="1332AEF0" w:tentative="1">
      <w:start w:val="1"/>
      <w:numFmt w:val="bullet"/>
      <w:lvlText w:val="&gt;"/>
      <w:lvlJc w:val="left"/>
      <w:pPr>
        <w:tabs>
          <w:tab w:val="num" w:pos="1440"/>
        </w:tabs>
        <w:ind w:left="1440" w:hanging="360"/>
      </w:pPr>
      <w:rPr>
        <w:rFonts w:ascii="Times New Roman" w:hAnsi="Times New Roman" w:hint="default"/>
      </w:rPr>
    </w:lvl>
    <w:lvl w:ilvl="2" w:tplc="9DBCCAAA" w:tentative="1">
      <w:start w:val="1"/>
      <w:numFmt w:val="bullet"/>
      <w:lvlText w:val="&gt;"/>
      <w:lvlJc w:val="left"/>
      <w:pPr>
        <w:tabs>
          <w:tab w:val="num" w:pos="2160"/>
        </w:tabs>
        <w:ind w:left="2160" w:hanging="360"/>
      </w:pPr>
      <w:rPr>
        <w:rFonts w:ascii="Times New Roman" w:hAnsi="Times New Roman" w:hint="default"/>
      </w:rPr>
    </w:lvl>
    <w:lvl w:ilvl="3" w:tplc="58BA58FC" w:tentative="1">
      <w:start w:val="1"/>
      <w:numFmt w:val="bullet"/>
      <w:lvlText w:val="&gt;"/>
      <w:lvlJc w:val="left"/>
      <w:pPr>
        <w:tabs>
          <w:tab w:val="num" w:pos="2880"/>
        </w:tabs>
        <w:ind w:left="2880" w:hanging="360"/>
      </w:pPr>
      <w:rPr>
        <w:rFonts w:ascii="Times New Roman" w:hAnsi="Times New Roman" w:hint="default"/>
      </w:rPr>
    </w:lvl>
    <w:lvl w:ilvl="4" w:tplc="2E4228A6" w:tentative="1">
      <w:start w:val="1"/>
      <w:numFmt w:val="bullet"/>
      <w:lvlText w:val="&gt;"/>
      <w:lvlJc w:val="left"/>
      <w:pPr>
        <w:tabs>
          <w:tab w:val="num" w:pos="3600"/>
        </w:tabs>
        <w:ind w:left="3600" w:hanging="360"/>
      </w:pPr>
      <w:rPr>
        <w:rFonts w:ascii="Times New Roman" w:hAnsi="Times New Roman" w:hint="default"/>
      </w:rPr>
    </w:lvl>
    <w:lvl w:ilvl="5" w:tplc="C2BE9752" w:tentative="1">
      <w:start w:val="1"/>
      <w:numFmt w:val="bullet"/>
      <w:lvlText w:val="&gt;"/>
      <w:lvlJc w:val="left"/>
      <w:pPr>
        <w:tabs>
          <w:tab w:val="num" w:pos="4320"/>
        </w:tabs>
        <w:ind w:left="4320" w:hanging="360"/>
      </w:pPr>
      <w:rPr>
        <w:rFonts w:ascii="Times New Roman" w:hAnsi="Times New Roman" w:hint="default"/>
      </w:rPr>
    </w:lvl>
    <w:lvl w:ilvl="6" w:tplc="C6A65306" w:tentative="1">
      <w:start w:val="1"/>
      <w:numFmt w:val="bullet"/>
      <w:lvlText w:val="&gt;"/>
      <w:lvlJc w:val="left"/>
      <w:pPr>
        <w:tabs>
          <w:tab w:val="num" w:pos="5040"/>
        </w:tabs>
        <w:ind w:left="5040" w:hanging="360"/>
      </w:pPr>
      <w:rPr>
        <w:rFonts w:ascii="Times New Roman" w:hAnsi="Times New Roman" w:hint="default"/>
      </w:rPr>
    </w:lvl>
    <w:lvl w:ilvl="7" w:tplc="81DEB8B8" w:tentative="1">
      <w:start w:val="1"/>
      <w:numFmt w:val="bullet"/>
      <w:lvlText w:val="&gt;"/>
      <w:lvlJc w:val="left"/>
      <w:pPr>
        <w:tabs>
          <w:tab w:val="num" w:pos="5760"/>
        </w:tabs>
        <w:ind w:left="5760" w:hanging="360"/>
      </w:pPr>
      <w:rPr>
        <w:rFonts w:ascii="Times New Roman" w:hAnsi="Times New Roman" w:hint="default"/>
      </w:rPr>
    </w:lvl>
    <w:lvl w:ilvl="8" w:tplc="E2C2DBAA" w:tentative="1">
      <w:start w:val="1"/>
      <w:numFmt w:val="bullet"/>
      <w:lvlText w:val="&gt;"/>
      <w:lvlJc w:val="left"/>
      <w:pPr>
        <w:tabs>
          <w:tab w:val="num" w:pos="6480"/>
        </w:tabs>
        <w:ind w:left="6480" w:hanging="360"/>
      </w:pPr>
      <w:rPr>
        <w:rFonts w:ascii="Times New Roman" w:hAnsi="Times New Roman" w:hint="default"/>
      </w:rPr>
    </w:lvl>
  </w:abstractNum>
  <w:abstractNum w:abstractNumId="24" w15:restartNumberingAfterBreak="0">
    <w:nsid w:val="60ED2457"/>
    <w:multiLevelType w:val="hybridMultilevel"/>
    <w:tmpl w:val="3D122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426FF2"/>
    <w:multiLevelType w:val="hybridMultilevel"/>
    <w:tmpl w:val="C7964DAE"/>
    <w:lvl w:ilvl="0" w:tplc="965CB268">
      <w:start w:val="1"/>
      <w:numFmt w:val="bullet"/>
      <w:lvlText w:val="•"/>
      <w:lvlJc w:val="left"/>
      <w:pPr>
        <w:tabs>
          <w:tab w:val="num" w:pos="720"/>
        </w:tabs>
        <w:ind w:left="720" w:hanging="360"/>
      </w:pPr>
      <w:rPr>
        <w:rFonts w:ascii="Arial" w:hAnsi="Arial" w:hint="default"/>
      </w:rPr>
    </w:lvl>
    <w:lvl w:ilvl="1" w:tplc="B28879FC" w:tentative="1">
      <w:start w:val="1"/>
      <w:numFmt w:val="bullet"/>
      <w:lvlText w:val="•"/>
      <w:lvlJc w:val="left"/>
      <w:pPr>
        <w:tabs>
          <w:tab w:val="num" w:pos="1440"/>
        </w:tabs>
        <w:ind w:left="1440" w:hanging="360"/>
      </w:pPr>
      <w:rPr>
        <w:rFonts w:ascii="Arial" w:hAnsi="Arial" w:hint="default"/>
      </w:rPr>
    </w:lvl>
    <w:lvl w:ilvl="2" w:tplc="2D3A6560">
      <w:start w:val="1"/>
      <w:numFmt w:val="bullet"/>
      <w:lvlText w:val="•"/>
      <w:lvlJc w:val="left"/>
      <w:pPr>
        <w:tabs>
          <w:tab w:val="num" w:pos="2160"/>
        </w:tabs>
        <w:ind w:left="2160" w:hanging="360"/>
      </w:pPr>
      <w:rPr>
        <w:rFonts w:ascii="Arial" w:hAnsi="Arial" w:hint="default"/>
      </w:rPr>
    </w:lvl>
    <w:lvl w:ilvl="3" w:tplc="7E0608D2" w:tentative="1">
      <w:start w:val="1"/>
      <w:numFmt w:val="bullet"/>
      <w:lvlText w:val="•"/>
      <w:lvlJc w:val="left"/>
      <w:pPr>
        <w:tabs>
          <w:tab w:val="num" w:pos="2880"/>
        </w:tabs>
        <w:ind w:left="2880" w:hanging="360"/>
      </w:pPr>
      <w:rPr>
        <w:rFonts w:ascii="Arial" w:hAnsi="Arial" w:hint="default"/>
      </w:rPr>
    </w:lvl>
    <w:lvl w:ilvl="4" w:tplc="9976D6B2" w:tentative="1">
      <w:start w:val="1"/>
      <w:numFmt w:val="bullet"/>
      <w:lvlText w:val="•"/>
      <w:lvlJc w:val="left"/>
      <w:pPr>
        <w:tabs>
          <w:tab w:val="num" w:pos="3600"/>
        </w:tabs>
        <w:ind w:left="3600" w:hanging="360"/>
      </w:pPr>
      <w:rPr>
        <w:rFonts w:ascii="Arial" w:hAnsi="Arial" w:hint="default"/>
      </w:rPr>
    </w:lvl>
    <w:lvl w:ilvl="5" w:tplc="2D9871AA" w:tentative="1">
      <w:start w:val="1"/>
      <w:numFmt w:val="bullet"/>
      <w:lvlText w:val="•"/>
      <w:lvlJc w:val="left"/>
      <w:pPr>
        <w:tabs>
          <w:tab w:val="num" w:pos="4320"/>
        </w:tabs>
        <w:ind w:left="4320" w:hanging="360"/>
      </w:pPr>
      <w:rPr>
        <w:rFonts w:ascii="Arial" w:hAnsi="Arial" w:hint="default"/>
      </w:rPr>
    </w:lvl>
    <w:lvl w:ilvl="6" w:tplc="E970FA32" w:tentative="1">
      <w:start w:val="1"/>
      <w:numFmt w:val="bullet"/>
      <w:lvlText w:val="•"/>
      <w:lvlJc w:val="left"/>
      <w:pPr>
        <w:tabs>
          <w:tab w:val="num" w:pos="5040"/>
        </w:tabs>
        <w:ind w:left="5040" w:hanging="360"/>
      </w:pPr>
      <w:rPr>
        <w:rFonts w:ascii="Arial" w:hAnsi="Arial" w:hint="default"/>
      </w:rPr>
    </w:lvl>
    <w:lvl w:ilvl="7" w:tplc="E74A91EA" w:tentative="1">
      <w:start w:val="1"/>
      <w:numFmt w:val="bullet"/>
      <w:lvlText w:val="•"/>
      <w:lvlJc w:val="left"/>
      <w:pPr>
        <w:tabs>
          <w:tab w:val="num" w:pos="5760"/>
        </w:tabs>
        <w:ind w:left="5760" w:hanging="360"/>
      </w:pPr>
      <w:rPr>
        <w:rFonts w:ascii="Arial" w:hAnsi="Arial" w:hint="default"/>
      </w:rPr>
    </w:lvl>
    <w:lvl w:ilvl="8" w:tplc="507E69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A143B1"/>
    <w:multiLevelType w:val="hybridMultilevel"/>
    <w:tmpl w:val="6526026A"/>
    <w:lvl w:ilvl="0" w:tplc="0E623B1A">
      <w:start w:val="1"/>
      <w:numFmt w:val="bullet"/>
      <w:lvlText w:val="&gt;"/>
      <w:lvlJc w:val="left"/>
      <w:pPr>
        <w:tabs>
          <w:tab w:val="num" w:pos="720"/>
        </w:tabs>
        <w:ind w:left="720" w:hanging="360"/>
      </w:pPr>
      <w:rPr>
        <w:rFonts w:ascii="Arial" w:hAnsi="Arial" w:hint="default"/>
      </w:rPr>
    </w:lvl>
    <w:lvl w:ilvl="1" w:tplc="CB7AB9B4">
      <w:numFmt w:val="bullet"/>
      <w:lvlText w:val="&gt;"/>
      <w:lvlJc w:val="left"/>
      <w:pPr>
        <w:tabs>
          <w:tab w:val="num" w:pos="1440"/>
        </w:tabs>
        <w:ind w:left="1440" w:hanging="360"/>
      </w:pPr>
      <w:rPr>
        <w:rFonts w:ascii="Arial" w:hAnsi="Arial" w:hint="default"/>
      </w:rPr>
    </w:lvl>
    <w:lvl w:ilvl="2" w:tplc="CE8A42DE" w:tentative="1">
      <w:start w:val="1"/>
      <w:numFmt w:val="bullet"/>
      <w:lvlText w:val="&gt;"/>
      <w:lvlJc w:val="left"/>
      <w:pPr>
        <w:tabs>
          <w:tab w:val="num" w:pos="2160"/>
        </w:tabs>
        <w:ind w:left="2160" w:hanging="360"/>
      </w:pPr>
      <w:rPr>
        <w:rFonts w:ascii="Arial" w:hAnsi="Arial" w:hint="default"/>
      </w:rPr>
    </w:lvl>
    <w:lvl w:ilvl="3" w:tplc="C1C074CC" w:tentative="1">
      <w:start w:val="1"/>
      <w:numFmt w:val="bullet"/>
      <w:lvlText w:val="&gt;"/>
      <w:lvlJc w:val="left"/>
      <w:pPr>
        <w:tabs>
          <w:tab w:val="num" w:pos="2880"/>
        </w:tabs>
        <w:ind w:left="2880" w:hanging="360"/>
      </w:pPr>
      <w:rPr>
        <w:rFonts w:ascii="Arial" w:hAnsi="Arial" w:hint="default"/>
      </w:rPr>
    </w:lvl>
    <w:lvl w:ilvl="4" w:tplc="39AA9550" w:tentative="1">
      <w:start w:val="1"/>
      <w:numFmt w:val="bullet"/>
      <w:lvlText w:val="&gt;"/>
      <w:lvlJc w:val="left"/>
      <w:pPr>
        <w:tabs>
          <w:tab w:val="num" w:pos="3600"/>
        </w:tabs>
        <w:ind w:left="3600" w:hanging="360"/>
      </w:pPr>
      <w:rPr>
        <w:rFonts w:ascii="Arial" w:hAnsi="Arial" w:hint="default"/>
      </w:rPr>
    </w:lvl>
    <w:lvl w:ilvl="5" w:tplc="84842416" w:tentative="1">
      <w:start w:val="1"/>
      <w:numFmt w:val="bullet"/>
      <w:lvlText w:val="&gt;"/>
      <w:lvlJc w:val="left"/>
      <w:pPr>
        <w:tabs>
          <w:tab w:val="num" w:pos="4320"/>
        </w:tabs>
        <w:ind w:left="4320" w:hanging="360"/>
      </w:pPr>
      <w:rPr>
        <w:rFonts w:ascii="Arial" w:hAnsi="Arial" w:hint="default"/>
      </w:rPr>
    </w:lvl>
    <w:lvl w:ilvl="6" w:tplc="CA0CE494" w:tentative="1">
      <w:start w:val="1"/>
      <w:numFmt w:val="bullet"/>
      <w:lvlText w:val="&gt;"/>
      <w:lvlJc w:val="left"/>
      <w:pPr>
        <w:tabs>
          <w:tab w:val="num" w:pos="5040"/>
        </w:tabs>
        <w:ind w:left="5040" w:hanging="360"/>
      </w:pPr>
      <w:rPr>
        <w:rFonts w:ascii="Arial" w:hAnsi="Arial" w:hint="default"/>
      </w:rPr>
    </w:lvl>
    <w:lvl w:ilvl="7" w:tplc="83942604" w:tentative="1">
      <w:start w:val="1"/>
      <w:numFmt w:val="bullet"/>
      <w:lvlText w:val="&gt;"/>
      <w:lvlJc w:val="left"/>
      <w:pPr>
        <w:tabs>
          <w:tab w:val="num" w:pos="5760"/>
        </w:tabs>
        <w:ind w:left="5760" w:hanging="360"/>
      </w:pPr>
      <w:rPr>
        <w:rFonts w:ascii="Arial" w:hAnsi="Arial" w:hint="default"/>
      </w:rPr>
    </w:lvl>
    <w:lvl w:ilvl="8" w:tplc="E2545186" w:tentative="1">
      <w:start w:val="1"/>
      <w:numFmt w:val="bullet"/>
      <w:lvlText w:val="&gt;"/>
      <w:lvlJc w:val="left"/>
      <w:pPr>
        <w:tabs>
          <w:tab w:val="num" w:pos="6480"/>
        </w:tabs>
        <w:ind w:left="6480" w:hanging="360"/>
      </w:pPr>
      <w:rPr>
        <w:rFonts w:ascii="Arial" w:hAnsi="Arial" w:hint="default"/>
      </w:rPr>
    </w:lvl>
  </w:abstractNum>
  <w:abstractNum w:abstractNumId="27" w15:restartNumberingAfterBreak="0">
    <w:nsid w:val="6FF553CF"/>
    <w:multiLevelType w:val="hybridMultilevel"/>
    <w:tmpl w:val="C60E7A92"/>
    <w:lvl w:ilvl="0" w:tplc="9D401CF6">
      <w:start w:val="1"/>
      <w:numFmt w:val="bullet"/>
      <w:lvlText w:val="&gt;"/>
      <w:lvlJc w:val="left"/>
      <w:pPr>
        <w:tabs>
          <w:tab w:val="num" w:pos="720"/>
        </w:tabs>
        <w:ind w:left="720" w:hanging="360"/>
      </w:pPr>
      <w:rPr>
        <w:rFonts w:ascii="Arial" w:hAnsi="Arial" w:hint="default"/>
      </w:rPr>
    </w:lvl>
    <w:lvl w:ilvl="1" w:tplc="5D0E53C4" w:tentative="1">
      <w:start w:val="1"/>
      <w:numFmt w:val="bullet"/>
      <w:lvlText w:val="&gt;"/>
      <w:lvlJc w:val="left"/>
      <w:pPr>
        <w:tabs>
          <w:tab w:val="num" w:pos="1440"/>
        </w:tabs>
        <w:ind w:left="1440" w:hanging="360"/>
      </w:pPr>
      <w:rPr>
        <w:rFonts w:ascii="Arial" w:hAnsi="Arial" w:hint="default"/>
      </w:rPr>
    </w:lvl>
    <w:lvl w:ilvl="2" w:tplc="DD28F530" w:tentative="1">
      <w:start w:val="1"/>
      <w:numFmt w:val="bullet"/>
      <w:lvlText w:val="&gt;"/>
      <w:lvlJc w:val="left"/>
      <w:pPr>
        <w:tabs>
          <w:tab w:val="num" w:pos="2160"/>
        </w:tabs>
        <w:ind w:left="2160" w:hanging="360"/>
      </w:pPr>
      <w:rPr>
        <w:rFonts w:ascii="Arial" w:hAnsi="Arial" w:hint="default"/>
      </w:rPr>
    </w:lvl>
    <w:lvl w:ilvl="3" w:tplc="D11A66DA" w:tentative="1">
      <w:start w:val="1"/>
      <w:numFmt w:val="bullet"/>
      <w:lvlText w:val="&gt;"/>
      <w:lvlJc w:val="left"/>
      <w:pPr>
        <w:tabs>
          <w:tab w:val="num" w:pos="2880"/>
        </w:tabs>
        <w:ind w:left="2880" w:hanging="360"/>
      </w:pPr>
      <w:rPr>
        <w:rFonts w:ascii="Arial" w:hAnsi="Arial" w:hint="default"/>
      </w:rPr>
    </w:lvl>
    <w:lvl w:ilvl="4" w:tplc="2A66D7B2" w:tentative="1">
      <w:start w:val="1"/>
      <w:numFmt w:val="bullet"/>
      <w:lvlText w:val="&gt;"/>
      <w:lvlJc w:val="left"/>
      <w:pPr>
        <w:tabs>
          <w:tab w:val="num" w:pos="3600"/>
        </w:tabs>
        <w:ind w:left="3600" w:hanging="360"/>
      </w:pPr>
      <w:rPr>
        <w:rFonts w:ascii="Arial" w:hAnsi="Arial" w:hint="default"/>
      </w:rPr>
    </w:lvl>
    <w:lvl w:ilvl="5" w:tplc="505403AC" w:tentative="1">
      <w:start w:val="1"/>
      <w:numFmt w:val="bullet"/>
      <w:lvlText w:val="&gt;"/>
      <w:lvlJc w:val="left"/>
      <w:pPr>
        <w:tabs>
          <w:tab w:val="num" w:pos="4320"/>
        </w:tabs>
        <w:ind w:left="4320" w:hanging="360"/>
      </w:pPr>
      <w:rPr>
        <w:rFonts w:ascii="Arial" w:hAnsi="Arial" w:hint="default"/>
      </w:rPr>
    </w:lvl>
    <w:lvl w:ilvl="6" w:tplc="29E487F0" w:tentative="1">
      <w:start w:val="1"/>
      <w:numFmt w:val="bullet"/>
      <w:lvlText w:val="&gt;"/>
      <w:lvlJc w:val="left"/>
      <w:pPr>
        <w:tabs>
          <w:tab w:val="num" w:pos="5040"/>
        </w:tabs>
        <w:ind w:left="5040" w:hanging="360"/>
      </w:pPr>
      <w:rPr>
        <w:rFonts w:ascii="Arial" w:hAnsi="Arial" w:hint="default"/>
      </w:rPr>
    </w:lvl>
    <w:lvl w:ilvl="7" w:tplc="87CABE78" w:tentative="1">
      <w:start w:val="1"/>
      <w:numFmt w:val="bullet"/>
      <w:lvlText w:val="&gt;"/>
      <w:lvlJc w:val="left"/>
      <w:pPr>
        <w:tabs>
          <w:tab w:val="num" w:pos="5760"/>
        </w:tabs>
        <w:ind w:left="5760" w:hanging="360"/>
      </w:pPr>
      <w:rPr>
        <w:rFonts w:ascii="Arial" w:hAnsi="Arial" w:hint="default"/>
      </w:rPr>
    </w:lvl>
    <w:lvl w:ilvl="8" w:tplc="B45CAC7A" w:tentative="1">
      <w:start w:val="1"/>
      <w:numFmt w:val="bullet"/>
      <w:lvlText w:val="&gt;"/>
      <w:lvlJc w:val="left"/>
      <w:pPr>
        <w:tabs>
          <w:tab w:val="num" w:pos="6480"/>
        </w:tabs>
        <w:ind w:left="6480" w:hanging="360"/>
      </w:pPr>
      <w:rPr>
        <w:rFonts w:ascii="Arial" w:hAnsi="Arial" w:hint="default"/>
      </w:rPr>
    </w:lvl>
  </w:abstractNum>
  <w:abstractNum w:abstractNumId="28" w15:restartNumberingAfterBreak="0">
    <w:nsid w:val="750A4C7F"/>
    <w:multiLevelType w:val="hybridMultilevel"/>
    <w:tmpl w:val="B258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163915"/>
    <w:multiLevelType w:val="hybridMultilevel"/>
    <w:tmpl w:val="FEE07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3A6F64"/>
    <w:multiLevelType w:val="multilevel"/>
    <w:tmpl w:val="F60EFB0E"/>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483BBD"/>
    <w:multiLevelType w:val="hybridMultilevel"/>
    <w:tmpl w:val="12F4655E"/>
    <w:lvl w:ilvl="0" w:tplc="36362B4E">
      <w:start w:val="1"/>
      <w:numFmt w:val="bullet"/>
      <w:lvlText w:val="•"/>
      <w:lvlJc w:val="left"/>
      <w:pPr>
        <w:tabs>
          <w:tab w:val="num" w:pos="720"/>
        </w:tabs>
        <w:ind w:left="720" w:hanging="360"/>
      </w:pPr>
      <w:rPr>
        <w:rFonts w:ascii="Arial" w:hAnsi="Arial" w:hint="default"/>
      </w:rPr>
    </w:lvl>
    <w:lvl w:ilvl="1" w:tplc="94D2D380" w:tentative="1">
      <w:start w:val="1"/>
      <w:numFmt w:val="bullet"/>
      <w:lvlText w:val="•"/>
      <w:lvlJc w:val="left"/>
      <w:pPr>
        <w:tabs>
          <w:tab w:val="num" w:pos="1440"/>
        </w:tabs>
        <w:ind w:left="1440" w:hanging="360"/>
      </w:pPr>
      <w:rPr>
        <w:rFonts w:ascii="Arial" w:hAnsi="Arial" w:hint="default"/>
      </w:rPr>
    </w:lvl>
    <w:lvl w:ilvl="2" w:tplc="53FC4610" w:tentative="1">
      <w:start w:val="1"/>
      <w:numFmt w:val="bullet"/>
      <w:lvlText w:val="•"/>
      <w:lvlJc w:val="left"/>
      <w:pPr>
        <w:tabs>
          <w:tab w:val="num" w:pos="2160"/>
        </w:tabs>
        <w:ind w:left="2160" w:hanging="360"/>
      </w:pPr>
      <w:rPr>
        <w:rFonts w:ascii="Arial" w:hAnsi="Arial" w:hint="default"/>
      </w:rPr>
    </w:lvl>
    <w:lvl w:ilvl="3" w:tplc="64047D42" w:tentative="1">
      <w:start w:val="1"/>
      <w:numFmt w:val="bullet"/>
      <w:lvlText w:val="•"/>
      <w:lvlJc w:val="left"/>
      <w:pPr>
        <w:tabs>
          <w:tab w:val="num" w:pos="2880"/>
        </w:tabs>
        <w:ind w:left="2880" w:hanging="360"/>
      </w:pPr>
      <w:rPr>
        <w:rFonts w:ascii="Arial" w:hAnsi="Arial" w:hint="default"/>
      </w:rPr>
    </w:lvl>
    <w:lvl w:ilvl="4" w:tplc="DE6EE27E" w:tentative="1">
      <w:start w:val="1"/>
      <w:numFmt w:val="bullet"/>
      <w:lvlText w:val="•"/>
      <w:lvlJc w:val="left"/>
      <w:pPr>
        <w:tabs>
          <w:tab w:val="num" w:pos="3600"/>
        </w:tabs>
        <w:ind w:left="3600" w:hanging="360"/>
      </w:pPr>
      <w:rPr>
        <w:rFonts w:ascii="Arial" w:hAnsi="Arial" w:hint="default"/>
      </w:rPr>
    </w:lvl>
    <w:lvl w:ilvl="5" w:tplc="B32C5510" w:tentative="1">
      <w:start w:val="1"/>
      <w:numFmt w:val="bullet"/>
      <w:lvlText w:val="•"/>
      <w:lvlJc w:val="left"/>
      <w:pPr>
        <w:tabs>
          <w:tab w:val="num" w:pos="4320"/>
        </w:tabs>
        <w:ind w:left="4320" w:hanging="360"/>
      </w:pPr>
      <w:rPr>
        <w:rFonts w:ascii="Arial" w:hAnsi="Arial" w:hint="default"/>
      </w:rPr>
    </w:lvl>
    <w:lvl w:ilvl="6" w:tplc="A42C97D0" w:tentative="1">
      <w:start w:val="1"/>
      <w:numFmt w:val="bullet"/>
      <w:lvlText w:val="•"/>
      <w:lvlJc w:val="left"/>
      <w:pPr>
        <w:tabs>
          <w:tab w:val="num" w:pos="5040"/>
        </w:tabs>
        <w:ind w:left="5040" w:hanging="360"/>
      </w:pPr>
      <w:rPr>
        <w:rFonts w:ascii="Arial" w:hAnsi="Arial" w:hint="default"/>
      </w:rPr>
    </w:lvl>
    <w:lvl w:ilvl="7" w:tplc="A846F6C6" w:tentative="1">
      <w:start w:val="1"/>
      <w:numFmt w:val="bullet"/>
      <w:lvlText w:val="•"/>
      <w:lvlJc w:val="left"/>
      <w:pPr>
        <w:tabs>
          <w:tab w:val="num" w:pos="5760"/>
        </w:tabs>
        <w:ind w:left="5760" w:hanging="360"/>
      </w:pPr>
      <w:rPr>
        <w:rFonts w:ascii="Arial" w:hAnsi="Arial" w:hint="default"/>
      </w:rPr>
    </w:lvl>
    <w:lvl w:ilvl="8" w:tplc="A36CF4E6" w:tentative="1">
      <w:start w:val="1"/>
      <w:numFmt w:val="bullet"/>
      <w:lvlText w:val="•"/>
      <w:lvlJc w:val="left"/>
      <w:pPr>
        <w:tabs>
          <w:tab w:val="num" w:pos="6480"/>
        </w:tabs>
        <w:ind w:left="6480" w:hanging="360"/>
      </w:pPr>
      <w:rPr>
        <w:rFonts w:ascii="Arial" w:hAnsi="Arial" w:hint="default"/>
      </w:rPr>
    </w:lvl>
  </w:abstractNum>
  <w:num w:numId="1" w16cid:durableId="829559053">
    <w:abstractNumId w:val="13"/>
  </w:num>
  <w:num w:numId="2" w16cid:durableId="1420102445">
    <w:abstractNumId w:val="25"/>
  </w:num>
  <w:num w:numId="3" w16cid:durableId="139275142">
    <w:abstractNumId w:val="27"/>
  </w:num>
  <w:num w:numId="4" w16cid:durableId="1003122419">
    <w:abstractNumId w:val="26"/>
  </w:num>
  <w:num w:numId="5" w16cid:durableId="319506039">
    <w:abstractNumId w:val="7"/>
  </w:num>
  <w:num w:numId="6" w16cid:durableId="1193887094">
    <w:abstractNumId w:val="22"/>
  </w:num>
  <w:num w:numId="7" w16cid:durableId="576479922">
    <w:abstractNumId w:val="18"/>
  </w:num>
  <w:num w:numId="8" w16cid:durableId="708920468">
    <w:abstractNumId w:val="31"/>
  </w:num>
  <w:num w:numId="9" w16cid:durableId="1372343446">
    <w:abstractNumId w:val="23"/>
  </w:num>
  <w:num w:numId="10" w16cid:durableId="1430077879">
    <w:abstractNumId w:val="11"/>
  </w:num>
  <w:num w:numId="11" w16cid:durableId="357001603">
    <w:abstractNumId w:val="1"/>
  </w:num>
  <w:num w:numId="12" w16cid:durableId="1549301599">
    <w:abstractNumId w:val="8"/>
  </w:num>
  <w:num w:numId="13" w16cid:durableId="932475165">
    <w:abstractNumId w:val="14"/>
  </w:num>
  <w:num w:numId="14" w16cid:durableId="737240741">
    <w:abstractNumId w:val="15"/>
  </w:num>
  <w:num w:numId="15" w16cid:durableId="266891376">
    <w:abstractNumId w:val="10"/>
  </w:num>
  <w:num w:numId="16" w16cid:durableId="1349478353">
    <w:abstractNumId w:val="16"/>
  </w:num>
  <w:num w:numId="17" w16cid:durableId="789394019">
    <w:abstractNumId w:val="5"/>
  </w:num>
  <w:num w:numId="18" w16cid:durableId="262762139">
    <w:abstractNumId w:val="0"/>
  </w:num>
  <w:num w:numId="19" w16cid:durableId="1416706953">
    <w:abstractNumId w:val="9"/>
  </w:num>
  <w:num w:numId="20" w16cid:durableId="325793000">
    <w:abstractNumId w:val="30"/>
  </w:num>
  <w:num w:numId="21" w16cid:durableId="965935475">
    <w:abstractNumId w:val="19"/>
  </w:num>
  <w:num w:numId="22" w16cid:durableId="764495772">
    <w:abstractNumId w:val="29"/>
  </w:num>
  <w:num w:numId="23" w16cid:durableId="194773500">
    <w:abstractNumId w:val="17"/>
  </w:num>
  <w:num w:numId="24" w16cid:durableId="1576819303">
    <w:abstractNumId w:val="28"/>
  </w:num>
  <w:num w:numId="25" w16cid:durableId="653946954">
    <w:abstractNumId w:val="3"/>
  </w:num>
  <w:num w:numId="26" w16cid:durableId="774177895">
    <w:abstractNumId w:val="24"/>
  </w:num>
  <w:num w:numId="27" w16cid:durableId="825322143">
    <w:abstractNumId w:val="6"/>
  </w:num>
  <w:num w:numId="28" w16cid:durableId="826940717">
    <w:abstractNumId w:val="12"/>
  </w:num>
  <w:num w:numId="29" w16cid:durableId="266232617">
    <w:abstractNumId w:val="21"/>
  </w:num>
  <w:num w:numId="30" w16cid:durableId="1636447635">
    <w:abstractNumId w:val="4"/>
  </w:num>
  <w:num w:numId="31" w16cid:durableId="1233544405">
    <w:abstractNumId w:val="2"/>
  </w:num>
  <w:num w:numId="32" w16cid:durableId="20275609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yMzA0tzQ0MjIzNjdX0lEKTi0uzszPAykwqQUABmafdiwAAAA="/>
  </w:docVars>
  <w:rsids>
    <w:rsidRoot w:val="00085E31"/>
    <w:rsid w:val="00000ED4"/>
    <w:rsid w:val="00001023"/>
    <w:rsid w:val="00001682"/>
    <w:rsid w:val="0000399F"/>
    <w:rsid w:val="000050CD"/>
    <w:rsid w:val="00006022"/>
    <w:rsid w:val="00006AB9"/>
    <w:rsid w:val="00010AB5"/>
    <w:rsid w:val="0001227D"/>
    <w:rsid w:val="00014022"/>
    <w:rsid w:val="0001476B"/>
    <w:rsid w:val="00016021"/>
    <w:rsid w:val="00016E60"/>
    <w:rsid w:val="00017B69"/>
    <w:rsid w:val="00021E31"/>
    <w:rsid w:val="00022AAA"/>
    <w:rsid w:val="000235F7"/>
    <w:rsid w:val="000238CB"/>
    <w:rsid w:val="000250C6"/>
    <w:rsid w:val="00026F36"/>
    <w:rsid w:val="000279B0"/>
    <w:rsid w:val="00031A37"/>
    <w:rsid w:val="00032CA5"/>
    <w:rsid w:val="00033DE5"/>
    <w:rsid w:val="00033E95"/>
    <w:rsid w:val="0003485F"/>
    <w:rsid w:val="000408C7"/>
    <w:rsid w:val="000458E2"/>
    <w:rsid w:val="00046006"/>
    <w:rsid w:val="0004777B"/>
    <w:rsid w:val="0005024E"/>
    <w:rsid w:val="000509C9"/>
    <w:rsid w:val="000517DC"/>
    <w:rsid w:val="0005222C"/>
    <w:rsid w:val="0005297F"/>
    <w:rsid w:val="00052A71"/>
    <w:rsid w:val="00052CD0"/>
    <w:rsid w:val="00054259"/>
    <w:rsid w:val="00054966"/>
    <w:rsid w:val="00055DD0"/>
    <w:rsid w:val="00056EFF"/>
    <w:rsid w:val="000572FB"/>
    <w:rsid w:val="000613F8"/>
    <w:rsid w:val="00064D2E"/>
    <w:rsid w:val="000671D5"/>
    <w:rsid w:val="0007105A"/>
    <w:rsid w:val="0007112E"/>
    <w:rsid w:val="00071679"/>
    <w:rsid w:val="0007469B"/>
    <w:rsid w:val="00074806"/>
    <w:rsid w:val="00075785"/>
    <w:rsid w:val="000764D2"/>
    <w:rsid w:val="000772F0"/>
    <w:rsid w:val="000773CF"/>
    <w:rsid w:val="00077A7A"/>
    <w:rsid w:val="000800FD"/>
    <w:rsid w:val="00080459"/>
    <w:rsid w:val="00082EE5"/>
    <w:rsid w:val="00085E31"/>
    <w:rsid w:val="0008634F"/>
    <w:rsid w:val="00086943"/>
    <w:rsid w:val="00086EEF"/>
    <w:rsid w:val="00090EEA"/>
    <w:rsid w:val="000928B0"/>
    <w:rsid w:val="000936AB"/>
    <w:rsid w:val="0009390A"/>
    <w:rsid w:val="000948DE"/>
    <w:rsid w:val="00095946"/>
    <w:rsid w:val="00096DBC"/>
    <w:rsid w:val="000A273E"/>
    <w:rsid w:val="000A6D76"/>
    <w:rsid w:val="000B0DD1"/>
    <w:rsid w:val="000B4BDA"/>
    <w:rsid w:val="000B5BAE"/>
    <w:rsid w:val="000B5D0E"/>
    <w:rsid w:val="000B6D93"/>
    <w:rsid w:val="000B74A3"/>
    <w:rsid w:val="000B7513"/>
    <w:rsid w:val="000C5E1C"/>
    <w:rsid w:val="000C6FD0"/>
    <w:rsid w:val="000C7A7B"/>
    <w:rsid w:val="000D0A96"/>
    <w:rsid w:val="000D1940"/>
    <w:rsid w:val="000D2464"/>
    <w:rsid w:val="000D2ADB"/>
    <w:rsid w:val="000D613E"/>
    <w:rsid w:val="000D68C0"/>
    <w:rsid w:val="000D7CDF"/>
    <w:rsid w:val="000E00B7"/>
    <w:rsid w:val="000E04CB"/>
    <w:rsid w:val="000E0C14"/>
    <w:rsid w:val="000E0F68"/>
    <w:rsid w:val="000E1B29"/>
    <w:rsid w:val="000E1D7A"/>
    <w:rsid w:val="000E362C"/>
    <w:rsid w:val="000E4270"/>
    <w:rsid w:val="000E564D"/>
    <w:rsid w:val="000E5ADB"/>
    <w:rsid w:val="000E6820"/>
    <w:rsid w:val="000F0CE5"/>
    <w:rsid w:val="000F289D"/>
    <w:rsid w:val="000F671C"/>
    <w:rsid w:val="000F6E61"/>
    <w:rsid w:val="000F73F9"/>
    <w:rsid w:val="000F7421"/>
    <w:rsid w:val="000F7A38"/>
    <w:rsid w:val="00100ADF"/>
    <w:rsid w:val="00101B6C"/>
    <w:rsid w:val="0010358C"/>
    <w:rsid w:val="001036BB"/>
    <w:rsid w:val="00106341"/>
    <w:rsid w:val="00106D42"/>
    <w:rsid w:val="00107023"/>
    <w:rsid w:val="0011016D"/>
    <w:rsid w:val="00111D6D"/>
    <w:rsid w:val="0011240D"/>
    <w:rsid w:val="001149C5"/>
    <w:rsid w:val="00114B9F"/>
    <w:rsid w:val="00115300"/>
    <w:rsid w:val="001156A2"/>
    <w:rsid w:val="001163FB"/>
    <w:rsid w:val="0012052A"/>
    <w:rsid w:val="0012445E"/>
    <w:rsid w:val="00125C81"/>
    <w:rsid w:val="0012709B"/>
    <w:rsid w:val="001275A7"/>
    <w:rsid w:val="001275FA"/>
    <w:rsid w:val="001312A2"/>
    <w:rsid w:val="00132B4C"/>
    <w:rsid w:val="00133546"/>
    <w:rsid w:val="00134419"/>
    <w:rsid w:val="001360FC"/>
    <w:rsid w:val="00136A38"/>
    <w:rsid w:val="00136CCF"/>
    <w:rsid w:val="00137C23"/>
    <w:rsid w:val="0014204F"/>
    <w:rsid w:val="001434CF"/>
    <w:rsid w:val="001439F2"/>
    <w:rsid w:val="00144B6A"/>
    <w:rsid w:val="001456A5"/>
    <w:rsid w:val="00145BD7"/>
    <w:rsid w:val="001476A2"/>
    <w:rsid w:val="00147D51"/>
    <w:rsid w:val="001509B1"/>
    <w:rsid w:val="00150A74"/>
    <w:rsid w:val="001515FC"/>
    <w:rsid w:val="00152E00"/>
    <w:rsid w:val="00153D02"/>
    <w:rsid w:val="0015491F"/>
    <w:rsid w:val="00156712"/>
    <w:rsid w:val="0015740F"/>
    <w:rsid w:val="00157679"/>
    <w:rsid w:val="00161A4C"/>
    <w:rsid w:val="00162137"/>
    <w:rsid w:val="00162630"/>
    <w:rsid w:val="00164504"/>
    <w:rsid w:val="00170EDB"/>
    <w:rsid w:val="00171427"/>
    <w:rsid w:val="001716B1"/>
    <w:rsid w:val="00172E6A"/>
    <w:rsid w:val="00173140"/>
    <w:rsid w:val="00174167"/>
    <w:rsid w:val="00174537"/>
    <w:rsid w:val="0017778E"/>
    <w:rsid w:val="00177BE1"/>
    <w:rsid w:val="00181C98"/>
    <w:rsid w:val="00181EC9"/>
    <w:rsid w:val="001826E8"/>
    <w:rsid w:val="001828B2"/>
    <w:rsid w:val="0018413C"/>
    <w:rsid w:val="00184816"/>
    <w:rsid w:val="00184BE8"/>
    <w:rsid w:val="00184CAF"/>
    <w:rsid w:val="00193279"/>
    <w:rsid w:val="00194A82"/>
    <w:rsid w:val="001A0A8C"/>
    <w:rsid w:val="001A165C"/>
    <w:rsid w:val="001A1BF6"/>
    <w:rsid w:val="001A23B5"/>
    <w:rsid w:val="001A4A3E"/>
    <w:rsid w:val="001A5AA5"/>
    <w:rsid w:val="001A6BEC"/>
    <w:rsid w:val="001A7B63"/>
    <w:rsid w:val="001B0968"/>
    <w:rsid w:val="001B0EF7"/>
    <w:rsid w:val="001B0F1F"/>
    <w:rsid w:val="001B160A"/>
    <w:rsid w:val="001B1E05"/>
    <w:rsid w:val="001B28B5"/>
    <w:rsid w:val="001B3539"/>
    <w:rsid w:val="001B4989"/>
    <w:rsid w:val="001B4AC9"/>
    <w:rsid w:val="001B5DDC"/>
    <w:rsid w:val="001C049C"/>
    <w:rsid w:val="001C097B"/>
    <w:rsid w:val="001C34A5"/>
    <w:rsid w:val="001C49F8"/>
    <w:rsid w:val="001D0104"/>
    <w:rsid w:val="001D0C6E"/>
    <w:rsid w:val="001D3F8C"/>
    <w:rsid w:val="001D4255"/>
    <w:rsid w:val="001D4DDC"/>
    <w:rsid w:val="001D5CFE"/>
    <w:rsid w:val="001D6180"/>
    <w:rsid w:val="001D7178"/>
    <w:rsid w:val="001E01D9"/>
    <w:rsid w:val="001E2325"/>
    <w:rsid w:val="001E3B51"/>
    <w:rsid w:val="001E5B83"/>
    <w:rsid w:val="001E7369"/>
    <w:rsid w:val="001F46D4"/>
    <w:rsid w:val="001F572F"/>
    <w:rsid w:val="002015F4"/>
    <w:rsid w:val="00204685"/>
    <w:rsid w:val="0020519A"/>
    <w:rsid w:val="00206563"/>
    <w:rsid w:val="00206594"/>
    <w:rsid w:val="00207326"/>
    <w:rsid w:val="00207473"/>
    <w:rsid w:val="0021018C"/>
    <w:rsid w:val="002106D7"/>
    <w:rsid w:val="002114CE"/>
    <w:rsid w:val="00213B9D"/>
    <w:rsid w:val="00215FC0"/>
    <w:rsid w:val="002164AF"/>
    <w:rsid w:val="002166DD"/>
    <w:rsid w:val="00217AB2"/>
    <w:rsid w:val="0022043E"/>
    <w:rsid w:val="00220AC2"/>
    <w:rsid w:val="00222540"/>
    <w:rsid w:val="00222C21"/>
    <w:rsid w:val="0022493A"/>
    <w:rsid w:val="002254A2"/>
    <w:rsid w:val="0022583B"/>
    <w:rsid w:val="00226284"/>
    <w:rsid w:val="002262E5"/>
    <w:rsid w:val="00226842"/>
    <w:rsid w:val="00227243"/>
    <w:rsid w:val="00227434"/>
    <w:rsid w:val="00227FF6"/>
    <w:rsid w:val="002305C1"/>
    <w:rsid w:val="0023194F"/>
    <w:rsid w:val="00232453"/>
    <w:rsid w:val="002340DA"/>
    <w:rsid w:val="002341EF"/>
    <w:rsid w:val="00234E7F"/>
    <w:rsid w:val="0024058D"/>
    <w:rsid w:val="002413D2"/>
    <w:rsid w:val="00241EA5"/>
    <w:rsid w:val="002434DA"/>
    <w:rsid w:val="00244257"/>
    <w:rsid w:val="002448F7"/>
    <w:rsid w:val="00244902"/>
    <w:rsid w:val="00245A7A"/>
    <w:rsid w:val="00246773"/>
    <w:rsid w:val="0024682E"/>
    <w:rsid w:val="002507F1"/>
    <w:rsid w:val="00250DA1"/>
    <w:rsid w:val="00251436"/>
    <w:rsid w:val="0025209E"/>
    <w:rsid w:val="00252985"/>
    <w:rsid w:val="00252AAF"/>
    <w:rsid w:val="00253B14"/>
    <w:rsid w:val="00254272"/>
    <w:rsid w:val="00254500"/>
    <w:rsid w:val="00254DF2"/>
    <w:rsid w:val="00256096"/>
    <w:rsid w:val="00256704"/>
    <w:rsid w:val="00256985"/>
    <w:rsid w:val="00257DA6"/>
    <w:rsid w:val="002629E0"/>
    <w:rsid w:val="002646D3"/>
    <w:rsid w:val="002670EA"/>
    <w:rsid w:val="00267D34"/>
    <w:rsid w:val="00270999"/>
    <w:rsid w:val="00271034"/>
    <w:rsid w:val="0027119B"/>
    <w:rsid w:val="002722FD"/>
    <w:rsid w:val="00272E4D"/>
    <w:rsid w:val="00273D57"/>
    <w:rsid w:val="00274007"/>
    <w:rsid w:val="002753B1"/>
    <w:rsid w:val="00280E77"/>
    <w:rsid w:val="00284B72"/>
    <w:rsid w:val="00285274"/>
    <w:rsid w:val="00287EE8"/>
    <w:rsid w:val="0029197E"/>
    <w:rsid w:val="00293007"/>
    <w:rsid w:val="00294836"/>
    <w:rsid w:val="00294A6E"/>
    <w:rsid w:val="00294F5F"/>
    <w:rsid w:val="00297660"/>
    <w:rsid w:val="00297F7E"/>
    <w:rsid w:val="002A02AD"/>
    <w:rsid w:val="002A091A"/>
    <w:rsid w:val="002A1034"/>
    <w:rsid w:val="002A3624"/>
    <w:rsid w:val="002A38ED"/>
    <w:rsid w:val="002A3D1F"/>
    <w:rsid w:val="002A416A"/>
    <w:rsid w:val="002A7C1D"/>
    <w:rsid w:val="002B130E"/>
    <w:rsid w:val="002B23A6"/>
    <w:rsid w:val="002B2A75"/>
    <w:rsid w:val="002B39FD"/>
    <w:rsid w:val="002B4A86"/>
    <w:rsid w:val="002B6C85"/>
    <w:rsid w:val="002B7E24"/>
    <w:rsid w:val="002C16CD"/>
    <w:rsid w:val="002C1D37"/>
    <w:rsid w:val="002C2DED"/>
    <w:rsid w:val="002C31AC"/>
    <w:rsid w:val="002C5BF2"/>
    <w:rsid w:val="002C5E39"/>
    <w:rsid w:val="002C6DFF"/>
    <w:rsid w:val="002C71D8"/>
    <w:rsid w:val="002C7B03"/>
    <w:rsid w:val="002D1389"/>
    <w:rsid w:val="002D2C45"/>
    <w:rsid w:val="002D3488"/>
    <w:rsid w:val="002D47D5"/>
    <w:rsid w:val="002D4DCD"/>
    <w:rsid w:val="002D4EF8"/>
    <w:rsid w:val="002D5C2B"/>
    <w:rsid w:val="002D6827"/>
    <w:rsid w:val="002D6D38"/>
    <w:rsid w:val="002E06FC"/>
    <w:rsid w:val="002E080A"/>
    <w:rsid w:val="002E2C89"/>
    <w:rsid w:val="002E305A"/>
    <w:rsid w:val="002E459E"/>
    <w:rsid w:val="002E6EF3"/>
    <w:rsid w:val="002E7991"/>
    <w:rsid w:val="002F0E9C"/>
    <w:rsid w:val="002F12B9"/>
    <w:rsid w:val="002F1B76"/>
    <w:rsid w:val="002F252F"/>
    <w:rsid w:val="002F257A"/>
    <w:rsid w:val="002F2A85"/>
    <w:rsid w:val="002F2B43"/>
    <w:rsid w:val="002F304A"/>
    <w:rsid w:val="002F6AB6"/>
    <w:rsid w:val="00302AD6"/>
    <w:rsid w:val="003048E5"/>
    <w:rsid w:val="0030601E"/>
    <w:rsid w:val="0030692B"/>
    <w:rsid w:val="00306B72"/>
    <w:rsid w:val="00307F9E"/>
    <w:rsid w:val="0031247A"/>
    <w:rsid w:val="00312DE2"/>
    <w:rsid w:val="00313985"/>
    <w:rsid w:val="00320D66"/>
    <w:rsid w:val="00324AF4"/>
    <w:rsid w:val="003252F0"/>
    <w:rsid w:val="00325DAA"/>
    <w:rsid w:val="003268DF"/>
    <w:rsid w:val="00326ECD"/>
    <w:rsid w:val="0032729A"/>
    <w:rsid w:val="00327B89"/>
    <w:rsid w:val="003301DE"/>
    <w:rsid w:val="003310E5"/>
    <w:rsid w:val="00331643"/>
    <w:rsid w:val="003343E5"/>
    <w:rsid w:val="00335057"/>
    <w:rsid w:val="00335270"/>
    <w:rsid w:val="00340991"/>
    <w:rsid w:val="00342E60"/>
    <w:rsid w:val="0034550C"/>
    <w:rsid w:val="003471CA"/>
    <w:rsid w:val="00347815"/>
    <w:rsid w:val="003504C0"/>
    <w:rsid w:val="003504DF"/>
    <w:rsid w:val="0035096A"/>
    <w:rsid w:val="00351118"/>
    <w:rsid w:val="0035115F"/>
    <w:rsid w:val="003522CA"/>
    <w:rsid w:val="003532E4"/>
    <w:rsid w:val="003538CF"/>
    <w:rsid w:val="00354206"/>
    <w:rsid w:val="003543BB"/>
    <w:rsid w:val="00356952"/>
    <w:rsid w:val="00356D70"/>
    <w:rsid w:val="00361C1E"/>
    <w:rsid w:val="00362332"/>
    <w:rsid w:val="00362932"/>
    <w:rsid w:val="00364293"/>
    <w:rsid w:val="0036731D"/>
    <w:rsid w:val="0036768A"/>
    <w:rsid w:val="00371CA5"/>
    <w:rsid w:val="003721D3"/>
    <w:rsid w:val="003727C2"/>
    <w:rsid w:val="003774B5"/>
    <w:rsid w:val="003801C6"/>
    <w:rsid w:val="00381992"/>
    <w:rsid w:val="003822BC"/>
    <w:rsid w:val="00382CAE"/>
    <w:rsid w:val="003834A1"/>
    <w:rsid w:val="00383A6F"/>
    <w:rsid w:val="003841CB"/>
    <w:rsid w:val="00384F85"/>
    <w:rsid w:val="0038762E"/>
    <w:rsid w:val="00390F57"/>
    <w:rsid w:val="00391AF1"/>
    <w:rsid w:val="00395C27"/>
    <w:rsid w:val="00396254"/>
    <w:rsid w:val="003A0D7C"/>
    <w:rsid w:val="003A0E8B"/>
    <w:rsid w:val="003A1D24"/>
    <w:rsid w:val="003A2646"/>
    <w:rsid w:val="003A2AEA"/>
    <w:rsid w:val="003A3650"/>
    <w:rsid w:val="003A365B"/>
    <w:rsid w:val="003A4893"/>
    <w:rsid w:val="003A7BA2"/>
    <w:rsid w:val="003B0FD0"/>
    <w:rsid w:val="003B445F"/>
    <w:rsid w:val="003B576E"/>
    <w:rsid w:val="003B5E8D"/>
    <w:rsid w:val="003B6946"/>
    <w:rsid w:val="003C2125"/>
    <w:rsid w:val="003C5B5C"/>
    <w:rsid w:val="003C79CD"/>
    <w:rsid w:val="003D00DF"/>
    <w:rsid w:val="003D0540"/>
    <w:rsid w:val="003D13A0"/>
    <w:rsid w:val="003D15FE"/>
    <w:rsid w:val="003D1CB7"/>
    <w:rsid w:val="003D2C61"/>
    <w:rsid w:val="003D2F37"/>
    <w:rsid w:val="003D586F"/>
    <w:rsid w:val="003D5AC7"/>
    <w:rsid w:val="003D6078"/>
    <w:rsid w:val="003D6520"/>
    <w:rsid w:val="003D6966"/>
    <w:rsid w:val="003D7B83"/>
    <w:rsid w:val="003D7F1C"/>
    <w:rsid w:val="003E0E7F"/>
    <w:rsid w:val="003E0FEB"/>
    <w:rsid w:val="003E0FF2"/>
    <w:rsid w:val="003E1B8F"/>
    <w:rsid w:val="003E2CE4"/>
    <w:rsid w:val="003E4C08"/>
    <w:rsid w:val="003E5BAF"/>
    <w:rsid w:val="003E5D95"/>
    <w:rsid w:val="003E761B"/>
    <w:rsid w:val="003F1341"/>
    <w:rsid w:val="003F2345"/>
    <w:rsid w:val="003F2663"/>
    <w:rsid w:val="003F290C"/>
    <w:rsid w:val="003F3924"/>
    <w:rsid w:val="003F4058"/>
    <w:rsid w:val="003F4560"/>
    <w:rsid w:val="003F53EC"/>
    <w:rsid w:val="003F5578"/>
    <w:rsid w:val="003F6654"/>
    <w:rsid w:val="004010FA"/>
    <w:rsid w:val="00401CFC"/>
    <w:rsid w:val="00403990"/>
    <w:rsid w:val="0040697E"/>
    <w:rsid w:val="004071F1"/>
    <w:rsid w:val="0040744B"/>
    <w:rsid w:val="00410E83"/>
    <w:rsid w:val="004110BB"/>
    <w:rsid w:val="004126BB"/>
    <w:rsid w:val="00412EF9"/>
    <w:rsid w:val="00413DBB"/>
    <w:rsid w:val="00415894"/>
    <w:rsid w:val="00416F61"/>
    <w:rsid w:val="0041729F"/>
    <w:rsid w:val="00417B1B"/>
    <w:rsid w:val="00417CB2"/>
    <w:rsid w:val="004208F7"/>
    <w:rsid w:val="00421520"/>
    <w:rsid w:val="00421693"/>
    <w:rsid w:val="00426A33"/>
    <w:rsid w:val="0042723D"/>
    <w:rsid w:val="00427668"/>
    <w:rsid w:val="0043063E"/>
    <w:rsid w:val="00431207"/>
    <w:rsid w:val="004328A4"/>
    <w:rsid w:val="00434301"/>
    <w:rsid w:val="0043438D"/>
    <w:rsid w:val="004344ED"/>
    <w:rsid w:val="004349A4"/>
    <w:rsid w:val="00435ABF"/>
    <w:rsid w:val="00442522"/>
    <w:rsid w:val="0044429B"/>
    <w:rsid w:val="00446710"/>
    <w:rsid w:val="00452B2C"/>
    <w:rsid w:val="004541CF"/>
    <w:rsid w:val="004551F6"/>
    <w:rsid w:val="00455443"/>
    <w:rsid w:val="00455828"/>
    <w:rsid w:val="0045630A"/>
    <w:rsid w:val="00461781"/>
    <w:rsid w:val="004617CA"/>
    <w:rsid w:val="00463548"/>
    <w:rsid w:val="004642C4"/>
    <w:rsid w:val="00465089"/>
    <w:rsid w:val="00467C66"/>
    <w:rsid w:val="00467E0A"/>
    <w:rsid w:val="0047401E"/>
    <w:rsid w:val="00474161"/>
    <w:rsid w:val="0047594B"/>
    <w:rsid w:val="004804EF"/>
    <w:rsid w:val="0048129E"/>
    <w:rsid w:val="00481DDC"/>
    <w:rsid w:val="0048225B"/>
    <w:rsid w:val="004828A8"/>
    <w:rsid w:val="00483429"/>
    <w:rsid w:val="00483DF3"/>
    <w:rsid w:val="00484E7A"/>
    <w:rsid w:val="004853CD"/>
    <w:rsid w:val="00487AB1"/>
    <w:rsid w:val="00492986"/>
    <w:rsid w:val="00492F6B"/>
    <w:rsid w:val="0049305B"/>
    <w:rsid w:val="00493B56"/>
    <w:rsid w:val="00496F48"/>
    <w:rsid w:val="004A0B09"/>
    <w:rsid w:val="004A0D6F"/>
    <w:rsid w:val="004A1940"/>
    <w:rsid w:val="004A268D"/>
    <w:rsid w:val="004A27CD"/>
    <w:rsid w:val="004A2FAC"/>
    <w:rsid w:val="004A4F5E"/>
    <w:rsid w:val="004A7099"/>
    <w:rsid w:val="004A748F"/>
    <w:rsid w:val="004B16FE"/>
    <w:rsid w:val="004B1C7E"/>
    <w:rsid w:val="004B1D96"/>
    <w:rsid w:val="004B2770"/>
    <w:rsid w:val="004B6B34"/>
    <w:rsid w:val="004B7A6B"/>
    <w:rsid w:val="004C0A56"/>
    <w:rsid w:val="004C0A8C"/>
    <w:rsid w:val="004C1EB3"/>
    <w:rsid w:val="004C2486"/>
    <w:rsid w:val="004C2C90"/>
    <w:rsid w:val="004C30DA"/>
    <w:rsid w:val="004C4C55"/>
    <w:rsid w:val="004C4E73"/>
    <w:rsid w:val="004C6E50"/>
    <w:rsid w:val="004D197D"/>
    <w:rsid w:val="004D2BA2"/>
    <w:rsid w:val="004D4361"/>
    <w:rsid w:val="004D5285"/>
    <w:rsid w:val="004D693C"/>
    <w:rsid w:val="004E0167"/>
    <w:rsid w:val="004E0A07"/>
    <w:rsid w:val="004E201B"/>
    <w:rsid w:val="004E3D0E"/>
    <w:rsid w:val="004E4D3C"/>
    <w:rsid w:val="004E5E7C"/>
    <w:rsid w:val="004F1A63"/>
    <w:rsid w:val="004F4A75"/>
    <w:rsid w:val="004F5F02"/>
    <w:rsid w:val="004F6885"/>
    <w:rsid w:val="004F7708"/>
    <w:rsid w:val="004F7BAF"/>
    <w:rsid w:val="00501A55"/>
    <w:rsid w:val="00502B72"/>
    <w:rsid w:val="0050364F"/>
    <w:rsid w:val="00503966"/>
    <w:rsid w:val="00504872"/>
    <w:rsid w:val="0050534D"/>
    <w:rsid w:val="00507E90"/>
    <w:rsid w:val="00510335"/>
    <w:rsid w:val="00511655"/>
    <w:rsid w:val="00515DB9"/>
    <w:rsid w:val="00516D64"/>
    <w:rsid w:val="0052290F"/>
    <w:rsid w:val="00522F74"/>
    <w:rsid w:val="00522FC4"/>
    <w:rsid w:val="005250E6"/>
    <w:rsid w:val="0052769F"/>
    <w:rsid w:val="00531C75"/>
    <w:rsid w:val="0053381E"/>
    <w:rsid w:val="00534703"/>
    <w:rsid w:val="0053532A"/>
    <w:rsid w:val="00535BFD"/>
    <w:rsid w:val="00536375"/>
    <w:rsid w:val="005365C1"/>
    <w:rsid w:val="0054017E"/>
    <w:rsid w:val="005412D5"/>
    <w:rsid w:val="00541414"/>
    <w:rsid w:val="00541AA7"/>
    <w:rsid w:val="00541ABF"/>
    <w:rsid w:val="00543FBA"/>
    <w:rsid w:val="005445F5"/>
    <w:rsid w:val="0054533F"/>
    <w:rsid w:val="005454C9"/>
    <w:rsid w:val="0054591C"/>
    <w:rsid w:val="00545C21"/>
    <w:rsid w:val="005462B7"/>
    <w:rsid w:val="00547010"/>
    <w:rsid w:val="00552AEB"/>
    <w:rsid w:val="005536E7"/>
    <w:rsid w:val="0055554C"/>
    <w:rsid w:val="00555BFB"/>
    <w:rsid w:val="00560BD7"/>
    <w:rsid w:val="00561428"/>
    <w:rsid w:val="0056291B"/>
    <w:rsid w:val="00564293"/>
    <w:rsid w:val="00570A55"/>
    <w:rsid w:val="00570A9E"/>
    <w:rsid w:val="005711AB"/>
    <w:rsid w:val="005715DF"/>
    <w:rsid w:val="005718E2"/>
    <w:rsid w:val="00571CC8"/>
    <w:rsid w:val="00573744"/>
    <w:rsid w:val="00573993"/>
    <w:rsid w:val="00574085"/>
    <w:rsid w:val="00574D6F"/>
    <w:rsid w:val="005756BF"/>
    <w:rsid w:val="00575C08"/>
    <w:rsid w:val="00576E46"/>
    <w:rsid w:val="00577F5E"/>
    <w:rsid w:val="0058015C"/>
    <w:rsid w:val="0058248B"/>
    <w:rsid w:val="0058286F"/>
    <w:rsid w:val="00582A92"/>
    <w:rsid w:val="005836F0"/>
    <w:rsid w:val="00583D2C"/>
    <w:rsid w:val="00583FDE"/>
    <w:rsid w:val="005869FF"/>
    <w:rsid w:val="00587048"/>
    <w:rsid w:val="005875EF"/>
    <w:rsid w:val="005876EF"/>
    <w:rsid w:val="00587D9C"/>
    <w:rsid w:val="00594361"/>
    <w:rsid w:val="00597FAA"/>
    <w:rsid w:val="005A00CB"/>
    <w:rsid w:val="005A0781"/>
    <w:rsid w:val="005A1C66"/>
    <w:rsid w:val="005A23BE"/>
    <w:rsid w:val="005A3BE7"/>
    <w:rsid w:val="005A44B0"/>
    <w:rsid w:val="005A54DE"/>
    <w:rsid w:val="005A7284"/>
    <w:rsid w:val="005A7548"/>
    <w:rsid w:val="005B25AF"/>
    <w:rsid w:val="005B2D9F"/>
    <w:rsid w:val="005B4AA6"/>
    <w:rsid w:val="005B517F"/>
    <w:rsid w:val="005C0C2A"/>
    <w:rsid w:val="005C0E6D"/>
    <w:rsid w:val="005C1587"/>
    <w:rsid w:val="005C33E0"/>
    <w:rsid w:val="005D013A"/>
    <w:rsid w:val="005D095A"/>
    <w:rsid w:val="005D4F95"/>
    <w:rsid w:val="005D559F"/>
    <w:rsid w:val="005D621E"/>
    <w:rsid w:val="005D62AA"/>
    <w:rsid w:val="005D723B"/>
    <w:rsid w:val="005E0323"/>
    <w:rsid w:val="005E2E80"/>
    <w:rsid w:val="005E3034"/>
    <w:rsid w:val="005E3462"/>
    <w:rsid w:val="005E594D"/>
    <w:rsid w:val="005F1D8D"/>
    <w:rsid w:val="005F4333"/>
    <w:rsid w:val="005F4D8E"/>
    <w:rsid w:val="005F5B50"/>
    <w:rsid w:val="005F7ABE"/>
    <w:rsid w:val="0060115F"/>
    <w:rsid w:val="00601B50"/>
    <w:rsid w:val="00603A12"/>
    <w:rsid w:val="00604693"/>
    <w:rsid w:val="0060704A"/>
    <w:rsid w:val="00607114"/>
    <w:rsid w:val="006111F3"/>
    <w:rsid w:val="0061134F"/>
    <w:rsid w:val="00611CB5"/>
    <w:rsid w:val="006155D3"/>
    <w:rsid w:val="0061584D"/>
    <w:rsid w:val="006168BC"/>
    <w:rsid w:val="00616954"/>
    <w:rsid w:val="00616B2D"/>
    <w:rsid w:val="00616ED2"/>
    <w:rsid w:val="006178D4"/>
    <w:rsid w:val="00621826"/>
    <w:rsid w:val="0062339C"/>
    <w:rsid w:val="00627D6A"/>
    <w:rsid w:val="006331D2"/>
    <w:rsid w:val="00635D84"/>
    <w:rsid w:val="00636018"/>
    <w:rsid w:val="00641547"/>
    <w:rsid w:val="00641C80"/>
    <w:rsid w:val="00642D1C"/>
    <w:rsid w:val="006446D2"/>
    <w:rsid w:val="00645C1C"/>
    <w:rsid w:val="00645F90"/>
    <w:rsid w:val="006464A6"/>
    <w:rsid w:val="00646960"/>
    <w:rsid w:val="00647283"/>
    <w:rsid w:val="00651417"/>
    <w:rsid w:val="00651C19"/>
    <w:rsid w:val="00652D6D"/>
    <w:rsid w:val="0065376E"/>
    <w:rsid w:val="00654023"/>
    <w:rsid w:val="00654813"/>
    <w:rsid w:val="006553C8"/>
    <w:rsid w:val="00655422"/>
    <w:rsid w:val="00655F76"/>
    <w:rsid w:val="0066120D"/>
    <w:rsid w:val="0066476E"/>
    <w:rsid w:val="0066525E"/>
    <w:rsid w:val="006657C9"/>
    <w:rsid w:val="00666E71"/>
    <w:rsid w:val="00667ACE"/>
    <w:rsid w:val="00667B80"/>
    <w:rsid w:val="00670199"/>
    <w:rsid w:val="00670226"/>
    <w:rsid w:val="00671E6E"/>
    <w:rsid w:val="006730D7"/>
    <w:rsid w:val="00673D14"/>
    <w:rsid w:val="0067487F"/>
    <w:rsid w:val="00674FF3"/>
    <w:rsid w:val="00675C8D"/>
    <w:rsid w:val="00676A54"/>
    <w:rsid w:val="00683A90"/>
    <w:rsid w:val="006847F5"/>
    <w:rsid w:val="00686A7F"/>
    <w:rsid w:val="00687234"/>
    <w:rsid w:val="0068792D"/>
    <w:rsid w:val="00687AF4"/>
    <w:rsid w:val="00687B69"/>
    <w:rsid w:val="00690549"/>
    <w:rsid w:val="00691B75"/>
    <w:rsid w:val="00694133"/>
    <w:rsid w:val="006962E7"/>
    <w:rsid w:val="00697017"/>
    <w:rsid w:val="006A0B20"/>
    <w:rsid w:val="006A14F2"/>
    <w:rsid w:val="006A2640"/>
    <w:rsid w:val="006A2E92"/>
    <w:rsid w:val="006A352B"/>
    <w:rsid w:val="006A3750"/>
    <w:rsid w:val="006A4B95"/>
    <w:rsid w:val="006B1421"/>
    <w:rsid w:val="006B2435"/>
    <w:rsid w:val="006B27C9"/>
    <w:rsid w:val="006B41BB"/>
    <w:rsid w:val="006B4E20"/>
    <w:rsid w:val="006B5EFF"/>
    <w:rsid w:val="006B7419"/>
    <w:rsid w:val="006C2546"/>
    <w:rsid w:val="006C3914"/>
    <w:rsid w:val="006C404C"/>
    <w:rsid w:val="006C4E07"/>
    <w:rsid w:val="006C523A"/>
    <w:rsid w:val="006D268D"/>
    <w:rsid w:val="006D2DB6"/>
    <w:rsid w:val="006D3FEF"/>
    <w:rsid w:val="006D4129"/>
    <w:rsid w:val="006D45F3"/>
    <w:rsid w:val="006E17FD"/>
    <w:rsid w:val="006E1F55"/>
    <w:rsid w:val="006E24CD"/>
    <w:rsid w:val="006E4A9F"/>
    <w:rsid w:val="006E5B84"/>
    <w:rsid w:val="006E6315"/>
    <w:rsid w:val="006E6569"/>
    <w:rsid w:val="006E6841"/>
    <w:rsid w:val="006F08C6"/>
    <w:rsid w:val="006F09EB"/>
    <w:rsid w:val="006F120A"/>
    <w:rsid w:val="006F2B5B"/>
    <w:rsid w:val="006F2FE3"/>
    <w:rsid w:val="006F307D"/>
    <w:rsid w:val="006F3707"/>
    <w:rsid w:val="006F42D9"/>
    <w:rsid w:val="006F5579"/>
    <w:rsid w:val="006F68F6"/>
    <w:rsid w:val="006F77FC"/>
    <w:rsid w:val="00703140"/>
    <w:rsid w:val="00706BEE"/>
    <w:rsid w:val="007105D0"/>
    <w:rsid w:val="0071162A"/>
    <w:rsid w:val="007116EB"/>
    <w:rsid w:val="007119AF"/>
    <w:rsid w:val="0071338E"/>
    <w:rsid w:val="00715046"/>
    <w:rsid w:val="007213DC"/>
    <w:rsid w:val="0072244D"/>
    <w:rsid w:val="007229CD"/>
    <w:rsid w:val="00724911"/>
    <w:rsid w:val="00724F25"/>
    <w:rsid w:val="007250D9"/>
    <w:rsid w:val="007253C7"/>
    <w:rsid w:val="0072600F"/>
    <w:rsid w:val="007261C3"/>
    <w:rsid w:val="00726FC3"/>
    <w:rsid w:val="007323F6"/>
    <w:rsid w:val="00733C70"/>
    <w:rsid w:val="00734F03"/>
    <w:rsid w:val="0073714F"/>
    <w:rsid w:val="00742BF8"/>
    <w:rsid w:val="00742E07"/>
    <w:rsid w:val="00743AB3"/>
    <w:rsid w:val="00746510"/>
    <w:rsid w:val="00746FBB"/>
    <w:rsid w:val="0074750C"/>
    <w:rsid w:val="00751094"/>
    <w:rsid w:val="0075217D"/>
    <w:rsid w:val="007522C2"/>
    <w:rsid w:val="00752569"/>
    <w:rsid w:val="00752656"/>
    <w:rsid w:val="007535A0"/>
    <w:rsid w:val="00755EA4"/>
    <w:rsid w:val="00756FD0"/>
    <w:rsid w:val="007610A2"/>
    <w:rsid w:val="00762EF1"/>
    <w:rsid w:val="00762FE6"/>
    <w:rsid w:val="0076300A"/>
    <w:rsid w:val="00763543"/>
    <w:rsid w:val="00763D45"/>
    <w:rsid w:val="00763F21"/>
    <w:rsid w:val="007654B3"/>
    <w:rsid w:val="0076565C"/>
    <w:rsid w:val="00766750"/>
    <w:rsid w:val="00767A99"/>
    <w:rsid w:val="00770AEC"/>
    <w:rsid w:val="00772F27"/>
    <w:rsid w:val="00773191"/>
    <w:rsid w:val="00775FC2"/>
    <w:rsid w:val="007764B2"/>
    <w:rsid w:val="00776FF7"/>
    <w:rsid w:val="0078022F"/>
    <w:rsid w:val="00780940"/>
    <w:rsid w:val="00780BF6"/>
    <w:rsid w:val="007811AC"/>
    <w:rsid w:val="0078168C"/>
    <w:rsid w:val="00781FE9"/>
    <w:rsid w:val="00782A02"/>
    <w:rsid w:val="00784B9D"/>
    <w:rsid w:val="00791AD8"/>
    <w:rsid w:val="00792F0D"/>
    <w:rsid w:val="00793BB8"/>
    <w:rsid w:val="0079520B"/>
    <w:rsid w:val="007A03E9"/>
    <w:rsid w:val="007A1690"/>
    <w:rsid w:val="007A2293"/>
    <w:rsid w:val="007A338A"/>
    <w:rsid w:val="007A5E2F"/>
    <w:rsid w:val="007B1AD8"/>
    <w:rsid w:val="007B42B7"/>
    <w:rsid w:val="007B597C"/>
    <w:rsid w:val="007B6424"/>
    <w:rsid w:val="007B659A"/>
    <w:rsid w:val="007B7081"/>
    <w:rsid w:val="007B7F12"/>
    <w:rsid w:val="007C05E3"/>
    <w:rsid w:val="007C0E4A"/>
    <w:rsid w:val="007C2816"/>
    <w:rsid w:val="007C42C9"/>
    <w:rsid w:val="007C4C94"/>
    <w:rsid w:val="007C5A5A"/>
    <w:rsid w:val="007C724E"/>
    <w:rsid w:val="007D1A08"/>
    <w:rsid w:val="007D20B5"/>
    <w:rsid w:val="007D3DC7"/>
    <w:rsid w:val="007D4103"/>
    <w:rsid w:val="007D5D7A"/>
    <w:rsid w:val="007D66E9"/>
    <w:rsid w:val="007D6B53"/>
    <w:rsid w:val="007D6CD0"/>
    <w:rsid w:val="007E098F"/>
    <w:rsid w:val="007E139D"/>
    <w:rsid w:val="007E2323"/>
    <w:rsid w:val="007E3E62"/>
    <w:rsid w:val="007E734B"/>
    <w:rsid w:val="007E781E"/>
    <w:rsid w:val="007F022B"/>
    <w:rsid w:val="007F037E"/>
    <w:rsid w:val="007F0421"/>
    <w:rsid w:val="007F2605"/>
    <w:rsid w:val="007F2DDD"/>
    <w:rsid w:val="007F3473"/>
    <w:rsid w:val="007F6493"/>
    <w:rsid w:val="007F6F31"/>
    <w:rsid w:val="007F71C7"/>
    <w:rsid w:val="0080356A"/>
    <w:rsid w:val="00805422"/>
    <w:rsid w:val="00805B5F"/>
    <w:rsid w:val="00806BDB"/>
    <w:rsid w:val="00811983"/>
    <w:rsid w:val="0081368C"/>
    <w:rsid w:val="0081531C"/>
    <w:rsid w:val="0082178E"/>
    <w:rsid w:val="00823B13"/>
    <w:rsid w:val="00824434"/>
    <w:rsid w:val="008246D3"/>
    <w:rsid w:val="008267A2"/>
    <w:rsid w:val="00826B2C"/>
    <w:rsid w:val="00830B1E"/>
    <w:rsid w:val="00833F9D"/>
    <w:rsid w:val="00834ACF"/>
    <w:rsid w:val="00835ECD"/>
    <w:rsid w:val="00840B21"/>
    <w:rsid w:val="00841FA9"/>
    <w:rsid w:val="0084290B"/>
    <w:rsid w:val="008429EC"/>
    <w:rsid w:val="00844A51"/>
    <w:rsid w:val="00844FBC"/>
    <w:rsid w:val="00845538"/>
    <w:rsid w:val="00845D89"/>
    <w:rsid w:val="00847916"/>
    <w:rsid w:val="00847A47"/>
    <w:rsid w:val="00850715"/>
    <w:rsid w:val="00851BF7"/>
    <w:rsid w:val="00852251"/>
    <w:rsid w:val="0085239D"/>
    <w:rsid w:val="00854039"/>
    <w:rsid w:val="008572F6"/>
    <w:rsid w:val="0086114C"/>
    <w:rsid w:val="00861266"/>
    <w:rsid w:val="00861865"/>
    <w:rsid w:val="008622F1"/>
    <w:rsid w:val="008627C9"/>
    <w:rsid w:val="00862E2F"/>
    <w:rsid w:val="00862F3C"/>
    <w:rsid w:val="00862F85"/>
    <w:rsid w:val="0086690A"/>
    <w:rsid w:val="00866C63"/>
    <w:rsid w:val="008725A2"/>
    <w:rsid w:val="00872F20"/>
    <w:rsid w:val="008755D3"/>
    <w:rsid w:val="00875D8A"/>
    <w:rsid w:val="008760FF"/>
    <w:rsid w:val="00877138"/>
    <w:rsid w:val="008772AC"/>
    <w:rsid w:val="0087765D"/>
    <w:rsid w:val="00881C88"/>
    <w:rsid w:val="00884542"/>
    <w:rsid w:val="00892833"/>
    <w:rsid w:val="00897234"/>
    <w:rsid w:val="00897430"/>
    <w:rsid w:val="008977D9"/>
    <w:rsid w:val="008A1980"/>
    <w:rsid w:val="008A3A27"/>
    <w:rsid w:val="008A6989"/>
    <w:rsid w:val="008A6AC6"/>
    <w:rsid w:val="008A7513"/>
    <w:rsid w:val="008A77BA"/>
    <w:rsid w:val="008B04F0"/>
    <w:rsid w:val="008B295F"/>
    <w:rsid w:val="008B3AB9"/>
    <w:rsid w:val="008B4368"/>
    <w:rsid w:val="008B5B5F"/>
    <w:rsid w:val="008B5F6A"/>
    <w:rsid w:val="008B684C"/>
    <w:rsid w:val="008B70D4"/>
    <w:rsid w:val="008C01EC"/>
    <w:rsid w:val="008C0E0F"/>
    <w:rsid w:val="008C0ED4"/>
    <w:rsid w:val="008C1CCE"/>
    <w:rsid w:val="008C51D7"/>
    <w:rsid w:val="008C6F50"/>
    <w:rsid w:val="008C6F79"/>
    <w:rsid w:val="008D032E"/>
    <w:rsid w:val="008D0492"/>
    <w:rsid w:val="008D0687"/>
    <w:rsid w:val="008D1EBB"/>
    <w:rsid w:val="008D3808"/>
    <w:rsid w:val="008D4636"/>
    <w:rsid w:val="008D5304"/>
    <w:rsid w:val="008D63C3"/>
    <w:rsid w:val="008D69D5"/>
    <w:rsid w:val="008E0B35"/>
    <w:rsid w:val="008E49F3"/>
    <w:rsid w:val="008E4D21"/>
    <w:rsid w:val="008E561D"/>
    <w:rsid w:val="008E5917"/>
    <w:rsid w:val="008E7B63"/>
    <w:rsid w:val="008E7CC4"/>
    <w:rsid w:val="008F0EA3"/>
    <w:rsid w:val="008F27E9"/>
    <w:rsid w:val="008F3A29"/>
    <w:rsid w:val="008F3F2E"/>
    <w:rsid w:val="008F47C7"/>
    <w:rsid w:val="008F4CC3"/>
    <w:rsid w:val="008F5E2E"/>
    <w:rsid w:val="008F63EB"/>
    <w:rsid w:val="008F6D1F"/>
    <w:rsid w:val="008F7C0B"/>
    <w:rsid w:val="0090275F"/>
    <w:rsid w:val="00903B77"/>
    <w:rsid w:val="00905501"/>
    <w:rsid w:val="00905C28"/>
    <w:rsid w:val="00905EEC"/>
    <w:rsid w:val="00906BE6"/>
    <w:rsid w:val="00906F82"/>
    <w:rsid w:val="009102B7"/>
    <w:rsid w:val="0091056A"/>
    <w:rsid w:val="009116DB"/>
    <w:rsid w:val="00911BD9"/>
    <w:rsid w:val="009120ED"/>
    <w:rsid w:val="0091483A"/>
    <w:rsid w:val="00916FB3"/>
    <w:rsid w:val="009171FF"/>
    <w:rsid w:val="00917C36"/>
    <w:rsid w:val="00921B12"/>
    <w:rsid w:val="009233A8"/>
    <w:rsid w:val="00925670"/>
    <w:rsid w:val="00926425"/>
    <w:rsid w:val="0092709D"/>
    <w:rsid w:val="0092786C"/>
    <w:rsid w:val="00930426"/>
    <w:rsid w:val="00930671"/>
    <w:rsid w:val="00930725"/>
    <w:rsid w:val="00930E8C"/>
    <w:rsid w:val="00931C85"/>
    <w:rsid w:val="00933F17"/>
    <w:rsid w:val="0093480E"/>
    <w:rsid w:val="0093494B"/>
    <w:rsid w:val="00940E1D"/>
    <w:rsid w:val="009417E6"/>
    <w:rsid w:val="00943A26"/>
    <w:rsid w:val="00945296"/>
    <w:rsid w:val="00947BFB"/>
    <w:rsid w:val="00947D5C"/>
    <w:rsid w:val="009507FE"/>
    <w:rsid w:val="00954C6C"/>
    <w:rsid w:val="00954E12"/>
    <w:rsid w:val="00957C9B"/>
    <w:rsid w:val="0096078B"/>
    <w:rsid w:val="00961935"/>
    <w:rsid w:val="00962AA6"/>
    <w:rsid w:val="00964540"/>
    <w:rsid w:val="009668F9"/>
    <w:rsid w:val="00966B71"/>
    <w:rsid w:val="00967AFF"/>
    <w:rsid w:val="009706F9"/>
    <w:rsid w:val="00970784"/>
    <w:rsid w:val="00971EED"/>
    <w:rsid w:val="009729A5"/>
    <w:rsid w:val="009734EF"/>
    <w:rsid w:val="009750C1"/>
    <w:rsid w:val="00984CDC"/>
    <w:rsid w:val="009858B5"/>
    <w:rsid w:val="00990247"/>
    <w:rsid w:val="00990D95"/>
    <w:rsid w:val="00991840"/>
    <w:rsid w:val="00993ABF"/>
    <w:rsid w:val="00995D44"/>
    <w:rsid w:val="00997C87"/>
    <w:rsid w:val="00997EDE"/>
    <w:rsid w:val="009A1828"/>
    <w:rsid w:val="009A30FE"/>
    <w:rsid w:val="009A3AFD"/>
    <w:rsid w:val="009A6036"/>
    <w:rsid w:val="009B3588"/>
    <w:rsid w:val="009B4873"/>
    <w:rsid w:val="009B70C7"/>
    <w:rsid w:val="009B7261"/>
    <w:rsid w:val="009B7743"/>
    <w:rsid w:val="009B7EF6"/>
    <w:rsid w:val="009C1566"/>
    <w:rsid w:val="009C369E"/>
    <w:rsid w:val="009C3C1B"/>
    <w:rsid w:val="009C4C8B"/>
    <w:rsid w:val="009C4D93"/>
    <w:rsid w:val="009C55D3"/>
    <w:rsid w:val="009C5703"/>
    <w:rsid w:val="009C7B6A"/>
    <w:rsid w:val="009D0F89"/>
    <w:rsid w:val="009D1314"/>
    <w:rsid w:val="009D210C"/>
    <w:rsid w:val="009D72EC"/>
    <w:rsid w:val="009D7415"/>
    <w:rsid w:val="009D7480"/>
    <w:rsid w:val="009E1F7C"/>
    <w:rsid w:val="009E4204"/>
    <w:rsid w:val="009E5F67"/>
    <w:rsid w:val="009E7E3E"/>
    <w:rsid w:val="009F1B48"/>
    <w:rsid w:val="009F362A"/>
    <w:rsid w:val="009F3677"/>
    <w:rsid w:val="009F489F"/>
    <w:rsid w:val="009F4DF0"/>
    <w:rsid w:val="009F6732"/>
    <w:rsid w:val="009F692C"/>
    <w:rsid w:val="009F6B5D"/>
    <w:rsid w:val="009F7DD8"/>
    <w:rsid w:val="00A00542"/>
    <w:rsid w:val="00A02CD6"/>
    <w:rsid w:val="00A03603"/>
    <w:rsid w:val="00A05FB0"/>
    <w:rsid w:val="00A06779"/>
    <w:rsid w:val="00A1042A"/>
    <w:rsid w:val="00A125A0"/>
    <w:rsid w:val="00A13DBB"/>
    <w:rsid w:val="00A13EFC"/>
    <w:rsid w:val="00A145E9"/>
    <w:rsid w:val="00A14DC4"/>
    <w:rsid w:val="00A1501E"/>
    <w:rsid w:val="00A204FC"/>
    <w:rsid w:val="00A21697"/>
    <w:rsid w:val="00A224A9"/>
    <w:rsid w:val="00A225F2"/>
    <w:rsid w:val="00A22945"/>
    <w:rsid w:val="00A22AF1"/>
    <w:rsid w:val="00A22BD1"/>
    <w:rsid w:val="00A23551"/>
    <w:rsid w:val="00A2630A"/>
    <w:rsid w:val="00A2768D"/>
    <w:rsid w:val="00A279BF"/>
    <w:rsid w:val="00A27A40"/>
    <w:rsid w:val="00A30DAF"/>
    <w:rsid w:val="00A314D3"/>
    <w:rsid w:val="00A32D35"/>
    <w:rsid w:val="00A350DB"/>
    <w:rsid w:val="00A35912"/>
    <w:rsid w:val="00A36546"/>
    <w:rsid w:val="00A374FC"/>
    <w:rsid w:val="00A40429"/>
    <w:rsid w:val="00A40F92"/>
    <w:rsid w:val="00A4172C"/>
    <w:rsid w:val="00A41E24"/>
    <w:rsid w:val="00A41FA4"/>
    <w:rsid w:val="00A420A8"/>
    <w:rsid w:val="00A427EE"/>
    <w:rsid w:val="00A447BE"/>
    <w:rsid w:val="00A454E7"/>
    <w:rsid w:val="00A4651D"/>
    <w:rsid w:val="00A479F5"/>
    <w:rsid w:val="00A47C5A"/>
    <w:rsid w:val="00A47D48"/>
    <w:rsid w:val="00A534C1"/>
    <w:rsid w:val="00A5440B"/>
    <w:rsid w:val="00A544E0"/>
    <w:rsid w:val="00A550DF"/>
    <w:rsid w:val="00A6050A"/>
    <w:rsid w:val="00A61B0C"/>
    <w:rsid w:val="00A6291D"/>
    <w:rsid w:val="00A6297A"/>
    <w:rsid w:val="00A631EA"/>
    <w:rsid w:val="00A662E4"/>
    <w:rsid w:val="00A6721A"/>
    <w:rsid w:val="00A67B89"/>
    <w:rsid w:val="00A71ED8"/>
    <w:rsid w:val="00A73813"/>
    <w:rsid w:val="00A7427A"/>
    <w:rsid w:val="00A7656F"/>
    <w:rsid w:val="00A769C2"/>
    <w:rsid w:val="00A77742"/>
    <w:rsid w:val="00A80C74"/>
    <w:rsid w:val="00A81AAB"/>
    <w:rsid w:val="00A81F82"/>
    <w:rsid w:val="00A83BE0"/>
    <w:rsid w:val="00A84CA8"/>
    <w:rsid w:val="00A8573F"/>
    <w:rsid w:val="00A866D2"/>
    <w:rsid w:val="00A86CFF"/>
    <w:rsid w:val="00A86F83"/>
    <w:rsid w:val="00A92D9F"/>
    <w:rsid w:val="00A93B1B"/>
    <w:rsid w:val="00A9408F"/>
    <w:rsid w:val="00A94E8F"/>
    <w:rsid w:val="00A95444"/>
    <w:rsid w:val="00A95C0E"/>
    <w:rsid w:val="00AA02DD"/>
    <w:rsid w:val="00AA2B46"/>
    <w:rsid w:val="00AA2C06"/>
    <w:rsid w:val="00AA37D0"/>
    <w:rsid w:val="00AA4973"/>
    <w:rsid w:val="00AA56E1"/>
    <w:rsid w:val="00AA7DEE"/>
    <w:rsid w:val="00AB0029"/>
    <w:rsid w:val="00AB1251"/>
    <w:rsid w:val="00AB1265"/>
    <w:rsid w:val="00AB4F6B"/>
    <w:rsid w:val="00AB5611"/>
    <w:rsid w:val="00AB64DB"/>
    <w:rsid w:val="00AB6640"/>
    <w:rsid w:val="00AB6F09"/>
    <w:rsid w:val="00AB771C"/>
    <w:rsid w:val="00AB7E65"/>
    <w:rsid w:val="00AC4126"/>
    <w:rsid w:val="00AC4E21"/>
    <w:rsid w:val="00AC53DB"/>
    <w:rsid w:val="00AC7DCA"/>
    <w:rsid w:val="00AD046B"/>
    <w:rsid w:val="00AD1A94"/>
    <w:rsid w:val="00AD23D0"/>
    <w:rsid w:val="00AD2EC0"/>
    <w:rsid w:val="00AD4780"/>
    <w:rsid w:val="00AD4C09"/>
    <w:rsid w:val="00AE3671"/>
    <w:rsid w:val="00AE4699"/>
    <w:rsid w:val="00AE65E5"/>
    <w:rsid w:val="00AE6CF1"/>
    <w:rsid w:val="00AE75B5"/>
    <w:rsid w:val="00AF0C25"/>
    <w:rsid w:val="00AF11B1"/>
    <w:rsid w:val="00AF3EFD"/>
    <w:rsid w:val="00AF4CB3"/>
    <w:rsid w:val="00AF54D5"/>
    <w:rsid w:val="00AF5874"/>
    <w:rsid w:val="00AF6D94"/>
    <w:rsid w:val="00AF79F8"/>
    <w:rsid w:val="00B01DE5"/>
    <w:rsid w:val="00B02F02"/>
    <w:rsid w:val="00B03B1D"/>
    <w:rsid w:val="00B04B97"/>
    <w:rsid w:val="00B069CC"/>
    <w:rsid w:val="00B06D0D"/>
    <w:rsid w:val="00B075A6"/>
    <w:rsid w:val="00B119E3"/>
    <w:rsid w:val="00B11C3A"/>
    <w:rsid w:val="00B11F85"/>
    <w:rsid w:val="00B12C03"/>
    <w:rsid w:val="00B2101E"/>
    <w:rsid w:val="00B21CF2"/>
    <w:rsid w:val="00B220C1"/>
    <w:rsid w:val="00B22C3A"/>
    <w:rsid w:val="00B23D89"/>
    <w:rsid w:val="00B241F7"/>
    <w:rsid w:val="00B24CAC"/>
    <w:rsid w:val="00B250FD"/>
    <w:rsid w:val="00B25AEA"/>
    <w:rsid w:val="00B274E6"/>
    <w:rsid w:val="00B3056A"/>
    <w:rsid w:val="00B3083D"/>
    <w:rsid w:val="00B31031"/>
    <w:rsid w:val="00B31160"/>
    <w:rsid w:val="00B324D1"/>
    <w:rsid w:val="00B3377B"/>
    <w:rsid w:val="00B34268"/>
    <w:rsid w:val="00B3675B"/>
    <w:rsid w:val="00B3713E"/>
    <w:rsid w:val="00B40C0D"/>
    <w:rsid w:val="00B4120F"/>
    <w:rsid w:val="00B41370"/>
    <w:rsid w:val="00B42104"/>
    <w:rsid w:val="00B429BB"/>
    <w:rsid w:val="00B42C80"/>
    <w:rsid w:val="00B43921"/>
    <w:rsid w:val="00B45091"/>
    <w:rsid w:val="00B456E6"/>
    <w:rsid w:val="00B45AE7"/>
    <w:rsid w:val="00B45FFE"/>
    <w:rsid w:val="00B47CD8"/>
    <w:rsid w:val="00B511D9"/>
    <w:rsid w:val="00B529F3"/>
    <w:rsid w:val="00B53A66"/>
    <w:rsid w:val="00B5461D"/>
    <w:rsid w:val="00B54C41"/>
    <w:rsid w:val="00B54E70"/>
    <w:rsid w:val="00B600B3"/>
    <w:rsid w:val="00B61420"/>
    <w:rsid w:val="00B628AB"/>
    <w:rsid w:val="00B65571"/>
    <w:rsid w:val="00B65E23"/>
    <w:rsid w:val="00B6604E"/>
    <w:rsid w:val="00B66CC3"/>
    <w:rsid w:val="00B670C2"/>
    <w:rsid w:val="00B671E3"/>
    <w:rsid w:val="00B67466"/>
    <w:rsid w:val="00B676C9"/>
    <w:rsid w:val="00B6790D"/>
    <w:rsid w:val="00B6792B"/>
    <w:rsid w:val="00B67F20"/>
    <w:rsid w:val="00B713CF"/>
    <w:rsid w:val="00B71566"/>
    <w:rsid w:val="00B71612"/>
    <w:rsid w:val="00B72512"/>
    <w:rsid w:val="00B72F1B"/>
    <w:rsid w:val="00B734D8"/>
    <w:rsid w:val="00B74057"/>
    <w:rsid w:val="00B7678C"/>
    <w:rsid w:val="00B8015C"/>
    <w:rsid w:val="00B80A83"/>
    <w:rsid w:val="00B8291A"/>
    <w:rsid w:val="00B82DCD"/>
    <w:rsid w:val="00B8503B"/>
    <w:rsid w:val="00B86A67"/>
    <w:rsid w:val="00B87F57"/>
    <w:rsid w:val="00B9001D"/>
    <w:rsid w:val="00B914BC"/>
    <w:rsid w:val="00B929EB"/>
    <w:rsid w:val="00B92ED8"/>
    <w:rsid w:val="00B9588D"/>
    <w:rsid w:val="00B96664"/>
    <w:rsid w:val="00B97131"/>
    <w:rsid w:val="00BA0AD9"/>
    <w:rsid w:val="00BA18F0"/>
    <w:rsid w:val="00BA3CFA"/>
    <w:rsid w:val="00BA4994"/>
    <w:rsid w:val="00BA566E"/>
    <w:rsid w:val="00BA5835"/>
    <w:rsid w:val="00BB0BD1"/>
    <w:rsid w:val="00BB0FEC"/>
    <w:rsid w:val="00BB23CA"/>
    <w:rsid w:val="00BB2526"/>
    <w:rsid w:val="00BB2F46"/>
    <w:rsid w:val="00BB3460"/>
    <w:rsid w:val="00BB4439"/>
    <w:rsid w:val="00BB6F16"/>
    <w:rsid w:val="00BC0883"/>
    <w:rsid w:val="00BC1A4C"/>
    <w:rsid w:val="00BC37AF"/>
    <w:rsid w:val="00BC5F37"/>
    <w:rsid w:val="00BC5FBB"/>
    <w:rsid w:val="00BC6442"/>
    <w:rsid w:val="00BD0BF1"/>
    <w:rsid w:val="00BD349A"/>
    <w:rsid w:val="00BD37FA"/>
    <w:rsid w:val="00BD6431"/>
    <w:rsid w:val="00BE0F91"/>
    <w:rsid w:val="00BE18DD"/>
    <w:rsid w:val="00BE1CEF"/>
    <w:rsid w:val="00BE5A4E"/>
    <w:rsid w:val="00BE600C"/>
    <w:rsid w:val="00BE749C"/>
    <w:rsid w:val="00BF0C96"/>
    <w:rsid w:val="00BF1C2A"/>
    <w:rsid w:val="00BF32A2"/>
    <w:rsid w:val="00BF3E9A"/>
    <w:rsid w:val="00BF70D2"/>
    <w:rsid w:val="00BF7DA8"/>
    <w:rsid w:val="00C00434"/>
    <w:rsid w:val="00C020D7"/>
    <w:rsid w:val="00C02F63"/>
    <w:rsid w:val="00C032B8"/>
    <w:rsid w:val="00C03D3A"/>
    <w:rsid w:val="00C056AE"/>
    <w:rsid w:val="00C07C86"/>
    <w:rsid w:val="00C102EA"/>
    <w:rsid w:val="00C164A6"/>
    <w:rsid w:val="00C17392"/>
    <w:rsid w:val="00C20971"/>
    <w:rsid w:val="00C20992"/>
    <w:rsid w:val="00C24705"/>
    <w:rsid w:val="00C256B5"/>
    <w:rsid w:val="00C25F5D"/>
    <w:rsid w:val="00C26DC3"/>
    <w:rsid w:val="00C30F2C"/>
    <w:rsid w:val="00C30FE3"/>
    <w:rsid w:val="00C31222"/>
    <w:rsid w:val="00C31560"/>
    <w:rsid w:val="00C33F69"/>
    <w:rsid w:val="00C3610E"/>
    <w:rsid w:val="00C375C0"/>
    <w:rsid w:val="00C435BA"/>
    <w:rsid w:val="00C435EB"/>
    <w:rsid w:val="00C466AA"/>
    <w:rsid w:val="00C47BF1"/>
    <w:rsid w:val="00C47CCB"/>
    <w:rsid w:val="00C52F39"/>
    <w:rsid w:val="00C534E2"/>
    <w:rsid w:val="00C53E55"/>
    <w:rsid w:val="00C5584B"/>
    <w:rsid w:val="00C575E7"/>
    <w:rsid w:val="00C57B6F"/>
    <w:rsid w:val="00C606CE"/>
    <w:rsid w:val="00C60F4A"/>
    <w:rsid w:val="00C636C9"/>
    <w:rsid w:val="00C6446D"/>
    <w:rsid w:val="00C645CB"/>
    <w:rsid w:val="00C6562D"/>
    <w:rsid w:val="00C6719C"/>
    <w:rsid w:val="00C67880"/>
    <w:rsid w:val="00C718C2"/>
    <w:rsid w:val="00C73C3E"/>
    <w:rsid w:val="00C73F2D"/>
    <w:rsid w:val="00C74955"/>
    <w:rsid w:val="00C7505C"/>
    <w:rsid w:val="00C76EE5"/>
    <w:rsid w:val="00C80A0A"/>
    <w:rsid w:val="00C8128D"/>
    <w:rsid w:val="00C82A76"/>
    <w:rsid w:val="00C840A6"/>
    <w:rsid w:val="00C8453F"/>
    <w:rsid w:val="00C861F9"/>
    <w:rsid w:val="00C903C2"/>
    <w:rsid w:val="00C90F78"/>
    <w:rsid w:val="00C91831"/>
    <w:rsid w:val="00C91DEB"/>
    <w:rsid w:val="00C92EC9"/>
    <w:rsid w:val="00C93CE7"/>
    <w:rsid w:val="00C9559F"/>
    <w:rsid w:val="00C9564E"/>
    <w:rsid w:val="00C9785A"/>
    <w:rsid w:val="00CA027B"/>
    <w:rsid w:val="00CA1005"/>
    <w:rsid w:val="00CA26C0"/>
    <w:rsid w:val="00CA28FF"/>
    <w:rsid w:val="00CA359F"/>
    <w:rsid w:val="00CA58A3"/>
    <w:rsid w:val="00CA623A"/>
    <w:rsid w:val="00CA6780"/>
    <w:rsid w:val="00CB1F3A"/>
    <w:rsid w:val="00CB1F82"/>
    <w:rsid w:val="00CB308D"/>
    <w:rsid w:val="00CB3856"/>
    <w:rsid w:val="00CB4325"/>
    <w:rsid w:val="00CB5EA2"/>
    <w:rsid w:val="00CB6213"/>
    <w:rsid w:val="00CB69F2"/>
    <w:rsid w:val="00CB795D"/>
    <w:rsid w:val="00CC0DA9"/>
    <w:rsid w:val="00CC25F9"/>
    <w:rsid w:val="00CC283D"/>
    <w:rsid w:val="00CC4646"/>
    <w:rsid w:val="00CC47D7"/>
    <w:rsid w:val="00CC4C4D"/>
    <w:rsid w:val="00CC77B1"/>
    <w:rsid w:val="00CD0330"/>
    <w:rsid w:val="00CD097E"/>
    <w:rsid w:val="00CD2018"/>
    <w:rsid w:val="00CD2ABA"/>
    <w:rsid w:val="00CD34C7"/>
    <w:rsid w:val="00CD4603"/>
    <w:rsid w:val="00CD7CC5"/>
    <w:rsid w:val="00CE010D"/>
    <w:rsid w:val="00CE0369"/>
    <w:rsid w:val="00CE0FFE"/>
    <w:rsid w:val="00CE1DEE"/>
    <w:rsid w:val="00CE51A8"/>
    <w:rsid w:val="00CE68D8"/>
    <w:rsid w:val="00CE7536"/>
    <w:rsid w:val="00CF22DB"/>
    <w:rsid w:val="00CF2792"/>
    <w:rsid w:val="00CF336B"/>
    <w:rsid w:val="00CF4197"/>
    <w:rsid w:val="00D0352A"/>
    <w:rsid w:val="00D03932"/>
    <w:rsid w:val="00D05336"/>
    <w:rsid w:val="00D1206B"/>
    <w:rsid w:val="00D124D4"/>
    <w:rsid w:val="00D13F51"/>
    <w:rsid w:val="00D15453"/>
    <w:rsid w:val="00D1612D"/>
    <w:rsid w:val="00D16BD2"/>
    <w:rsid w:val="00D17B2D"/>
    <w:rsid w:val="00D17F7D"/>
    <w:rsid w:val="00D22A02"/>
    <w:rsid w:val="00D2380D"/>
    <w:rsid w:val="00D24798"/>
    <w:rsid w:val="00D24A76"/>
    <w:rsid w:val="00D24AC5"/>
    <w:rsid w:val="00D2616E"/>
    <w:rsid w:val="00D26525"/>
    <w:rsid w:val="00D26D6C"/>
    <w:rsid w:val="00D3013A"/>
    <w:rsid w:val="00D3232F"/>
    <w:rsid w:val="00D32964"/>
    <w:rsid w:val="00D32AF9"/>
    <w:rsid w:val="00D3407B"/>
    <w:rsid w:val="00D34508"/>
    <w:rsid w:val="00D34E43"/>
    <w:rsid w:val="00D3535E"/>
    <w:rsid w:val="00D3540C"/>
    <w:rsid w:val="00D36BDB"/>
    <w:rsid w:val="00D4355C"/>
    <w:rsid w:val="00D43F6B"/>
    <w:rsid w:val="00D447BC"/>
    <w:rsid w:val="00D44F17"/>
    <w:rsid w:val="00D46177"/>
    <w:rsid w:val="00D50D9D"/>
    <w:rsid w:val="00D511E6"/>
    <w:rsid w:val="00D52662"/>
    <w:rsid w:val="00D53858"/>
    <w:rsid w:val="00D54BC1"/>
    <w:rsid w:val="00D5673A"/>
    <w:rsid w:val="00D60081"/>
    <w:rsid w:val="00D61402"/>
    <w:rsid w:val="00D620F9"/>
    <w:rsid w:val="00D62CA1"/>
    <w:rsid w:val="00D64897"/>
    <w:rsid w:val="00D65F22"/>
    <w:rsid w:val="00D67032"/>
    <w:rsid w:val="00D70230"/>
    <w:rsid w:val="00D7096A"/>
    <w:rsid w:val="00D7368B"/>
    <w:rsid w:val="00D80C7B"/>
    <w:rsid w:val="00D81912"/>
    <w:rsid w:val="00D821D9"/>
    <w:rsid w:val="00D8364B"/>
    <w:rsid w:val="00D842C4"/>
    <w:rsid w:val="00D845FB"/>
    <w:rsid w:val="00D859C9"/>
    <w:rsid w:val="00D86112"/>
    <w:rsid w:val="00D8679A"/>
    <w:rsid w:val="00D90B8D"/>
    <w:rsid w:val="00D90C63"/>
    <w:rsid w:val="00D95FF7"/>
    <w:rsid w:val="00D96D29"/>
    <w:rsid w:val="00DA0746"/>
    <w:rsid w:val="00DA0C71"/>
    <w:rsid w:val="00DA57FB"/>
    <w:rsid w:val="00DA5E63"/>
    <w:rsid w:val="00DB0D03"/>
    <w:rsid w:val="00DB2114"/>
    <w:rsid w:val="00DB28F9"/>
    <w:rsid w:val="00DB50F3"/>
    <w:rsid w:val="00DB5130"/>
    <w:rsid w:val="00DB543B"/>
    <w:rsid w:val="00DB5C75"/>
    <w:rsid w:val="00DB6546"/>
    <w:rsid w:val="00DB7B74"/>
    <w:rsid w:val="00DC0D5C"/>
    <w:rsid w:val="00DC2670"/>
    <w:rsid w:val="00DC2693"/>
    <w:rsid w:val="00DC2D11"/>
    <w:rsid w:val="00DC340F"/>
    <w:rsid w:val="00DC377E"/>
    <w:rsid w:val="00DC45F3"/>
    <w:rsid w:val="00DC46AA"/>
    <w:rsid w:val="00DC531F"/>
    <w:rsid w:val="00DC5872"/>
    <w:rsid w:val="00DC63CF"/>
    <w:rsid w:val="00DD19E7"/>
    <w:rsid w:val="00DD1AE0"/>
    <w:rsid w:val="00DD238F"/>
    <w:rsid w:val="00DD2A81"/>
    <w:rsid w:val="00DD5101"/>
    <w:rsid w:val="00DD6841"/>
    <w:rsid w:val="00DD75CE"/>
    <w:rsid w:val="00DE0367"/>
    <w:rsid w:val="00DE09FB"/>
    <w:rsid w:val="00DE2AFD"/>
    <w:rsid w:val="00DE39C2"/>
    <w:rsid w:val="00DE461A"/>
    <w:rsid w:val="00DE4AB9"/>
    <w:rsid w:val="00DE55DF"/>
    <w:rsid w:val="00DF052E"/>
    <w:rsid w:val="00DF0910"/>
    <w:rsid w:val="00DF09A1"/>
    <w:rsid w:val="00DF1BF2"/>
    <w:rsid w:val="00DF397B"/>
    <w:rsid w:val="00DF3D7B"/>
    <w:rsid w:val="00DF415B"/>
    <w:rsid w:val="00DF6AE3"/>
    <w:rsid w:val="00E007D0"/>
    <w:rsid w:val="00E0092A"/>
    <w:rsid w:val="00E00F1D"/>
    <w:rsid w:val="00E00FC1"/>
    <w:rsid w:val="00E0129C"/>
    <w:rsid w:val="00E017EC"/>
    <w:rsid w:val="00E0184E"/>
    <w:rsid w:val="00E0573A"/>
    <w:rsid w:val="00E11839"/>
    <w:rsid w:val="00E1390A"/>
    <w:rsid w:val="00E14FAE"/>
    <w:rsid w:val="00E15027"/>
    <w:rsid w:val="00E153E3"/>
    <w:rsid w:val="00E1684D"/>
    <w:rsid w:val="00E17D09"/>
    <w:rsid w:val="00E2222B"/>
    <w:rsid w:val="00E225E4"/>
    <w:rsid w:val="00E254E1"/>
    <w:rsid w:val="00E257CD"/>
    <w:rsid w:val="00E25C83"/>
    <w:rsid w:val="00E25CEE"/>
    <w:rsid w:val="00E30AFF"/>
    <w:rsid w:val="00E31420"/>
    <w:rsid w:val="00E37D2A"/>
    <w:rsid w:val="00E37FBA"/>
    <w:rsid w:val="00E403CF"/>
    <w:rsid w:val="00E40CF6"/>
    <w:rsid w:val="00E411B7"/>
    <w:rsid w:val="00E411D9"/>
    <w:rsid w:val="00E41E13"/>
    <w:rsid w:val="00E41F97"/>
    <w:rsid w:val="00E43C91"/>
    <w:rsid w:val="00E43DB6"/>
    <w:rsid w:val="00E47864"/>
    <w:rsid w:val="00E50558"/>
    <w:rsid w:val="00E50AAA"/>
    <w:rsid w:val="00E51AC6"/>
    <w:rsid w:val="00E5395E"/>
    <w:rsid w:val="00E53CFF"/>
    <w:rsid w:val="00E54803"/>
    <w:rsid w:val="00E5599E"/>
    <w:rsid w:val="00E567C6"/>
    <w:rsid w:val="00E61754"/>
    <w:rsid w:val="00E62F77"/>
    <w:rsid w:val="00E639C9"/>
    <w:rsid w:val="00E64744"/>
    <w:rsid w:val="00E64B6A"/>
    <w:rsid w:val="00E64EFF"/>
    <w:rsid w:val="00E67F4A"/>
    <w:rsid w:val="00E7012B"/>
    <w:rsid w:val="00E702A2"/>
    <w:rsid w:val="00E71EFC"/>
    <w:rsid w:val="00E7208C"/>
    <w:rsid w:val="00E73175"/>
    <w:rsid w:val="00E73753"/>
    <w:rsid w:val="00E7793F"/>
    <w:rsid w:val="00E80092"/>
    <w:rsid w:val="00E805E1"/>
    <w:rsid w:val="00E82CF8"/>
    <w:rsid w:val="00E83A7A"/>
    <w:rsid w:val="00E84205"/>
    <w:rsid w:val="00E84C87"/>
    <w:rsid w:val="00E87F20"/>
    <w:rsid w:val="00E90276"/>
    <w:rsid w:val="00E903B1"/>
    <w:rsid w:val="00E90434"/>
    <w:rsid w:val="00E91232"/>
    <w:rsid w:val="00E91A7A"/>
    <w:rsid w:val="00E92F5A"/>
    <w:rsid w:val="00E93FF7"/>
    <w:rsid w:val="00E948EE"/>
    <w:rsid w:val="00E956BA"/>
    <w:rsid w:val="00E9712F"/>
    <w:rsid w:val="00E979C7"/>
    <w:rsid w:val="00E97D84"/>
    <w:rsid w:val="00EA3454"/>
    <w:rsid w:val="00EA52D4"/>
    <w:rsid w:val="00EA60E7"/>
    <w:rsid w:val="00EA6CA2"/>
    <w:rsid w:val="00EA7194"/>
    <w:rsid w:val="00EB0652"/>
    <w:rsid w:val="00EB0AEE"/>
    <w:rsid w:val="00EB0B74"/>
    <w:rsid w:val="00EB0EEE"/>
    <w:rsid w:val="00EB17F2"/>
    <w:rsid w:val="00EB367A"/>
    <w:rsid w:val="00EB3D99"/>
    <w:rsid w:val="00EB483C"/>
    <w:rsid w:val="00EB6E6F"/>
    <w:rsid w:val="00EC105D"/>
    <w:rsid w:val="00EC2E16"/>
    <w:rsid w:val="00EC4154"/>
    <w:rsid w:val="00ED0221"/>
    <w:rsid w:val="00ED108A"/>
    <w:rsid w:val="00ED23B2"/>
    <w:rsid w:val="00ED23C6"/>
    <w:rsid w:val="00ED2FD2"/>
    <w:rsid w:val="00ED413D"/>
    <w:rsid w:val="00ED546C"/>
    <w:rsid w:val="00ED5AB9"/>
    <w:rsid w:val="00ED6159"/>
    <w:rsid w:val="00ED67DC"/>
    <w:rsid w:val="00EE2EFE"/>
    <w:rsid w:val="00EE3998"/>
    <w:rsid w:val="00EE49FA"/>
    <w:rsid w:val="00EE6C10"/>
    <w:rsid w:val="00EF0D9F"/>
    <w:rsid w:val="00EF0DD3"/>
    <w:rsid w:val="00EF28AC"/>
    <w:rsid w:val="00EF2A62"/>
    <w:rsid w:val="00EF2BAD"/>
    <w:rsid w:val="00EF38B9"/>
    <w:rsid w:val="00EF4507"/>
    <w:rsid w:val="00EF56FB"/>
    <w:rsid w:val="00EF6DFF"/>
    <w:rsid w:val="00EF7785"/>
    <w:rsid w:val="00F00F36"/>
    <w:rsid w:val="00F02594"/>
    <w:rsid w:val="00F0391E"/>
    <w:rsid w:val="00F03BCA"/>
    <w:rsid w:val="00F0538E"/>
    <w:rsid w:val="00F067AD"/>
    <w:rsid w:val="00F074C7"/>
    <w:rsid w:val="00F113DC"/>
    <w:rsid w:val="00F11CF8"/>
    <w:rsid w:val="00F11F7F"/>
    <w:rsid w:val="00F12746"/>
    <w:rsid w:val="00F14010"/>
    <w:rsid w:val="00F14167"/>
    <w:rsid w:val="00F21469"/>
    <w:rsid w:val="00F226A5"/>
    <w:rsid w:val="00F25F34"/>
    <w:rsid w:val="00F26159"/>
    <w:rsid w:val="00F27275"/>
    <w:rsid w:val="00F272D9"/>
    <w:rsid w:val="00F312C0"/>
    <w:rsid w:val="00F32323"/>
    <w:rsid w:val="00F33F38"/>
    <w:rsid w:val="00F34894"/>
    <w:rsid w:val="00F422D8"/>
    <w:rsid w:val="00F5011E"/>
    <w:rsid w:val="00F5055D"/>
    <w:rsid w:val="00F5366C"/>
    <w:rsid w:val="00F60953"/>
    <w:rsid w:val="00F61178"/>
    <w:rsid w:val="00F62183"/>
    <w:rsid w:val="00F6256E"/>
    <w:rsid w:val="00F636BE"/>
    <w:rsid w:val="00F641BB"/>
    <w:rsid w:val="00F64B56"/>
    <w:rsid w:val="00F671E1"/>
    <w:rsid w:val="00F70944"/>
    <w:rsid w:val="00F70F64"/>
    <w:rsid w:val="00F710DC"/>
    <w:rsid w:val="00F71D50"/>
    <w:rsid w:val="00F7364B"/>
    <w:rsid w:val="00F7393A"/>
    <w:rsid w:val="00F75371"/>
    <w:rsid w:val="00F771A7"/>
    <w:rsid w:val="00F7742B"/>
    <w:rsid w:val="00F80542"/>
    <w:rsid w:val="00F81799"/>
    <w:rsid w:val="00F82176"/>
    <w:rsid w:val="00F82CFD"/>
    <w:rsid w:val="00F83FFE"/>
    <w:rsid w:val="00F84F86"/>
    <w:rsid w:val="00F85090"/>
    <w:rsid w:val="00F852D3"/>
    <w:rsid w:val="00F8637E"/>
    <w:rsid w:val="00F86866"/>
    <w:rsid w:val="00F87A51"/>
    <w:rsid w:val="00F92992"/>
    <w:rsid w:val="00F92DD0"/>
    <w:rsid w:val="00F942E2"/>
    <w:rsid w:val="00F944F9"/>
    <w:rsid w:val="00FA0893"/>
    <w:rsid w:val="00FA08C6"/>
    <w:rsid w:val="00FA158E"/>
    <w:rsid w:val="00FA4A3E"/>
    <w:rsid w:val="00FB102F"/>
    <w:rsid w:val="00FB2918"/>
    <w:rsid w:val="00FB2F1F"/>
    <w:rsid w:val="00FB391B"/>
    <w:rsid w:val="00FB5554"/>
    <w:rsid w:val="00FB5846"/>
    <w:rsid w:val="00FB686D"/>
    <w:rsid w:val="00FB7732"/>
    <w:rsid w:val="00FC0D82"/>
    <w:rsid w:val="00FC0FE3"/>
    <w:rsid w:val="00FC10E0"/>
    <w:rsid w:val="00FC27B2"/>
    <w:rsid w:val="00FC2BD3"/>
    <w:rsid w:val="00FC2D79"/>
    <w:rsid w:val="00FC3A0A"/>
    <w:rsid w:val="00FC3BC9"/>
    <w:rsid w:val="00FC3E45"/>
    <w:rsid w:val="00FC74B3"/>
    <w:rsid w:val="00FD07EA"/>
    <w:rsid w:val="00FD24F5"/>
    <w:rsid w:val="00FD2813"/>
    <w:rsid w:val="00FD6387"/>
    <w:rsid w:val="00FD68E1"/>
    <w:rsid w:val="00FD7256"/>
    <w:rsid w:val="00FE3438"/>
    <w:rsid w:val="00FE3E41"/>
    <w:rsid w:val="00FE7719"/>
    <w:rsid w:val="00FE7ED0"/>
    <w:rsid w:val="00FF000B"/>
    <w:rsid w:val="00FF0BFC"/>
    <w:rsid w:val="00FF2786"/>
    <w:rsid w:val="00FF2BAB"/>
    <w:rsid w:val="00FF357C"/>
    <w:rsid w:val="00FF37A7"/>
    <w:rsid w:val="00FF5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C2558D"/>
  <w15:chartTrackingRefBased/>
  <w15:docId w15:val="{E32B6D42-9185-45F8-9AFB-E9111586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7D51"/>
    <w:pPr>
      <w:keepNext/>
      <w:keepLines/>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E411B7"/>
    <w:pPr>
      <w:keepNext/>
      <w:keepLines/>
      <w:spacing w:before="40" w:after="0"/>
      <w:ind w:left="7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semiHidden/>
    <w:unhideWhenUsed/>
    <w:qFormat/>
    <w:rsid w:val="00862F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85E31"/>
    <w:pPr>
      <w:ind w:left="720"/>
      <w:contextualSpacing/>
    </w:pPr>
  </w:style>
  <w:style w:type="paragraph" w:styleId="FootnoteText">
    <w:name w:val="footnote text"/>
    <w:basedOn w:val="Normal"/>
    <w:link w:val="FootnoteTextChar"/>
    <w:uiPriority w:val="99"/>
    <w:semiHidden/>
    <w:unhideWhenUsed/>
    <w:rsid w:val="0093494B"/>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93494B"/>
    <w:rPr>
      <w:sz w:val="20"/>
      <w:szCs w:val="20"/>
    </w:rPr>
  </w:style>
  <w:style w:type="character" w:styleId="FootnoteReference">
    <w:name w:val="footnote reference"/>
    <w:basedOn w:val="DefaultParagraphFont"/>
    <w:uiPriority w:val="99"/>
    <w:semiHidden/>
    <w:unhideWhenUsed/>
    <w:rsid w:val="0093494B"/>
    <w:rPr>
      <w:vertAlign w:val="superscript"/>
    </w:rPr>
  </w:style>
  <w:style w:type="paragraph" w:styleId="NormalWeb">
    <w:name w:val="Normal (Web)"/>
    <w:basedOn w:val="Normal"/>
    <w:uiPriority w:val="99"/>
    <w:semiHidden/>
    <w:unhideWhenUsed/>
    <w:rsid w:val="000E04C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147D51"/>
    <w:rPr>
      <w:rFonts w:asciiTheme="majorHAnsi" w:eastAsiaTheme="majorEastAsia" w:hAnsiTheme="majorHAnsi" w:cstheme="majorBidi"/>
      <w:b/>
      <w:sz w:val="24"/>
      <w:szCs w:val="32"/>
    </w:rPr>
  </w:style>
  <w:style w:type="character" w:customStyle="1" w:styleId="grame">
    <w:name w:val="grame"/>
    <w:basedOn w:val="DefaultParagraphFont"/>
    <w:rsid w:val="00017B69"/>
  </w:style>
  <w:style w:type="character" w:customStyle="1" w:styleId="Heading2Char">
    <w:name w:val="Heading 2 Char"/>
    <w:basedOn w:val="DefaultParagraphFont"/>
    <w:link w:val="Heading2"/>
    <w:uiPriority w:val="9"/>
    <w:rsid w:val="00E411B7"/>
    <w:rPr>
      <w:rFonts w:asciiTheme="majorHAnsi" w:eastAsiaTheme="majorEastAsia" w:hAnsiTheme="majorHAnsi" w:cstheme="majorBidi"/>
      <w:b/>
      <w:sz w:val="24"/>
      <w:szCs w:val="26"/>
    </w:rPr>
  </w:style>
  <w:style w:type="paragraph" w:styleId="Subtitle">
    <w:name w:val="Subtitle"/>
    <w:basedOn w:val="Normal"/>
    <w:next w:val="Normal"/>
    <w:link w:val="SubtitleChar"/>
    <w:uiPriority w:val="11"/>
    <w:qFormat/>
    <w:rsid w:val="00E411B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411B7"/>
    <w:rPr>
      <w:rFonts w:eastAsiaTheme="minorEastAsia"/>
      <w:color w:val="5A5A5A" w:themeColor="text1" w:themeTint="A5"/>
      <w:spacing w:val="15"/>
    </w:rPr>
  </w:style>
  <w:style w:type="paragraph" w:styleId="Title">
    <w:name w:val="Title"/>
    <w:basedOn w:val="Normal"/>
    <w:next w:val="Normal"/>
    <w:link w:val="TitleChar"/>
    <w:uiPriority w:val="10"/>
    <w:qFormat/>
    <w:rsid w:val="00E411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1B7"/>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3834A1"/>
    <w:rPr>
      <w:color w:val="808080"/>
    </w:rPr>
  </w:style>
  <w:style w:type="table" w:styleId="TableGrid">
    <w:name w:val="Table Grid"/>
    <w:basedOn w:val="TableNormal"/>
    <w:uiPriority w:val="39"/>
    <w:rsid w:val="0025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25450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B6E6F"/>
    <w:rPr>
      <w:sz w:val="16"/>
      <w:szCs w:val="16"/>
    </w:rPr>
  </w:style>
  <w:style w:type="paragraph" w:styleId="CommentText">
    <w:name w:val="annotation text"/>
    <w:basedOn w:val="Normal"/>
    <w:link w:val="CommentTextChar"/>
    <w:uiPriority w:val="99"/>
    <w:unhideWhenUsed/>
    <w:rsid w:val="00EB6E6F"/>
    <w:pPr>
      <w:spacing w:line="240" w:lineRule="auto"/>
    </w:pPr>
    <w:rPr>
      <w:sz w:val="20"/>
      <w:szCs w:val="20"/>
    </w:rPr>
  </w:style>
  <w:style w:type="character" w:customStyle="1" w:styleId="CommentTextChar">
    <w:name w:val="Comment Text Char"/>
    <w:basedOn w:val="DefaultParagraphFont"/>
    <w:link w:val="CommentText"/>
    <w:uiPriority w:val="99"/>
    <w:rsid w:val="00EB6E6F"/>
    <w:rPr>
      <w:sz w:val="20"/>
      <w:szCs w:val="20"/>
    </w:rPr>
  </w:style>
  <w:style w:type="paragraph" w:styleId="CommentSubject">
    <w:name w:val="annotation subject"/>
    <w:basedOn w:val="CommentText"/>
    <w:next w:val="CommentText"/>
    <w:link w:val="CommentSubjectChar"/>
    <w:uiPriority w:val="99"/>
    <w:semiHidden/>
    <w:unhideWhenUsed/>
    <w:rsid w:val="00EB6E6F"/>
    <w:rPr>
      <w:b/>
      <w:bCs/>
    </w:rPr>
  </w:style>
  <w:style w:type="character" w:customStyle="1" w:styleId="CommentSubjectChar">
    <w:name w:val="Comment Subject Char"/>
    <w:basedOn w:val="CommentTextChar"/>
    <w:link w:val="CommentSubject"/>
    <w:uiPriority w:val="99"/>
    <w:semiHidden/>
    <w:rsid w:val="00EB6E6F"/>
    <w:rPr>
      <w:b/>
      <w:bCs/>
      <w:sz w:val="20"/>
      <w:szCs w:val="20"/>
    </w:rPr>
  </w:style>
  <w:style w:type="paragraph" w:styleId="Revision">
    <w:name w:val="Revision"/>
    <w:hidden/>
    <w:uiPriority w:val="99"/>
    <w:semiHidden/>
    <w:rsid w:val="005A0781"/>
    <w:pPr>
      <w:spacing w:after="0" w:line="240" w:lineRule="auto"/>
    </w:pPr>
  </w:style>
  <w:style w:type="paragraph" w:styleId="Bibliography">
    <w:name w:val="Bibliography"/>
    <w:basedOn w:val="Normal"/>
    <w:next w:val="Normal"/>
    <w:uiPriority w:val="37"/>
    <w:unhideWhenUsed/>
    <w:rsid w:val="00D50D9D"/>
  </w:style>
  <w:style w:type="paragraph" w:styleId="TOCHeading">
    <w:name w:val="TOC Heading"/>
    <w:basedOn w:val="Heading1"/>
    <w:next w:val="Normal"/>
    <w:uiPriority w:val="39"/>
    <w:unhideWhenUsed/>
    <w:qFormat/>
    <w:rsid w:val="00646960"/>
    <w:pPr>
      <w:outlineLvl w:val="9"/>
    </w:pPr>
    <w:rPr>
      <w:b w:val="0"/>
      <w:color w:val="2F5496" w:themeColor="accent1" w:themeShade="BF"/>
      <w:kern w:val="0"/>
      <w:sz w:val="32"/>
      <w14:ligatures w14:val="none"/>
    </w:rPr>
  </w:style>
  <w:style w:type="paragraph" w:styleId="TOC1">
    <w:name w:val="toc 1"/>
    <w:basedOn w:val="Normal"/>
    <w:next w:val="Normal"/>
    <w:autoRedefine/>
    <w:uiPriority w:val="39"/>
    <w:unhideWhenUsed/>
    <w:rsid w:val="006F3707"/>
    <w:pPr>
      <w:tabs>
        <w:tab w:val="left" w:pos="440"/>
        <w:tab w:val="right" w:leader="dot" w:pos="9350"/>
      </w:tabs>
      <w:spacing w:after="100"/>
    </w:pPr>
  </w:style>
  <w:style w:type="paragraph" w:styleId="TOC2">
    <w:name w:val="toc 2"/>
    <w:basedOn w:val="Normal"/>
    <w:next w:val="Normal"/>
    <w:autoRedefine/>
    <w:uiPriority w:val="39"/>
    <w:unhideWhenUsed/>
    <w:rsid w:val="00726FC3"/>
    <w:pPr>
      <w:tabs>
        <w:tab w:val="right" w:leader="dot" w:pos="9350"/>
      </w:tabs>
      <w:spacing w:after="100"/>
      <w:ind w:left="220"/>
    </w:pPr>
  </w:style>
  <w:style w:type="character" w:styleId="Hyperlink">
    <w:name w:val="Hyperlink"/>
    <w:basedOn w:val="DefaultParagraphFont"/>
    <w:uiPriority w:val="99"/>
    <w:unhideWhenUsed/>
    <w:rsid w:val="00646960"/>
    <w:rPr>
      <w:color w:val="0563C1" w:themeColor="hyperlink"/>
      <w:u w:val="single"/>
    </w:rPr>
  </w:style>
  <w:style w:type="paragraph" w:styleId="TableofFigures">
    <w:name w:val="table of figures"/>
    <w:basedOn w:val="Normal"/>
    <w:next w:val="Normal"/>
    <w:uiPriority w:val="99"/>
    <w:unhideWhenUsed/>
    <w:rsid w:val="00646960"/>
    <w:pPr>
      <w:spacing w:after="0"/>
    </w:pPr>
  </w:style>
  <w:style w:type="paragraph" w:styleId="Header">
    <w:name w:val="header"/>
    <w:basedOn w:val="Normal"/>
    <w:link w:val="HeaderChar"/>
    <w:uiPriority w:val="99"/>
    <w:unhideWhenUsed/>
    <w:rsid w:val="00086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EEF"/>
  </w:style>
  <w:style w:type="paragraph" w:styleId="Footer">
    <w:name w:val="footer"/>
    <w:basedOn w:val="Normal"/>
    <w:link w:val="FooterChar"/>
    <w:uiPriority w:val="99"/>
    <w:unhideWhenUsed/>
    <w:rsid w:val="00086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EEF"/>
  </w:style>
  <w:style w:type="character" w:styleId="UnresolvedMention">
    <w:name w:val="Unresolved Mention"/>
    <w:basedOn w:val="DefaultParagraphFont"/>
    <w:uiPriority w:val="99"/>
    <w:semiHidden/>
    <w:unhideWhenUsed/>
    <w:rsid w:val="008B70D4"/>
    <w:rPr>
      <w:color w:val="605E5C"/>
      <w:shd w:val="clear" w:color="auto" w:fill="E1DFDD"/>
    </w:rPr>
  </w:style>
  <w:style w:type="character" w:customStyle="1" w:styleId="FootnoteCharacters">
    <w:name w:val="Footnote Characters"/>
    <w:basedOn w:val="DefaultParagraphFont"/>
    <w:uiPriority w:val="99"/>
    <w:semiHidden/>
    <w:unhideWhenUsed/>
    <w:qFormat/>
    <w:rsid w:val="00636018"/>
    <w:rPr>
      <w:vertAlign w:val="superscript"/>
    </w:rPr>
  </w:style>
  <w:style w:type="table" w:styleId="GridTable4-Accent2">
    <w:name w:val="Grid Table 4 Accent 2"/>
    <w:basedOn w:val="TableNormal"/>
    <w:uiPriority w:val="49"/>
    <w:rsid w:val="00636018"/>
    <w:pPr>
      <w:suppressAutoHyphens/>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aptionChar">
    <w:name w:val="Caption Char"/>
    <w:basedOn w:val="DefaultParagraphFont"/>
    <w:link w:val="Caption"/>
    <w:uiPriority w:val="35"/>
    <w:rsid w:val="00555BFB"/>
    <w:rPr>
      <w:i/>
      <w:iCs/>
      <w:color w:val="44546A" w:themeColor="text2"/>
      <w:sz w:val="18"/>
      <w:szCs w:val="18"/>
    </w:rPr>
  </w:style>
  <w:style w:type="character" w:styleId="Mention">
    <w:name w:val="Mention"/>
    <w:basedOn w:val="DefaultParagraphFont"/>
    <w:uiPriority w:val="99"/>
    <w:unhideWhenUsed/>
    <w:rsid w:val="002D6827"/>
    <w:rPr>
      <w:color w:val="2B579A"/>
      <w:shd w:val="clear" w:color="auto" w:fill="E1DFDD"/>
    </w:rPr>
  </w:style>
  <w:style w:type="paragraph" w:styleId="NoSpacing">
    <w:name w:val="No Spacing"/>
    <w:uiPriority w:val="1"/>
    <w:qFormat/>
    <w:rsid w:val="00726FC3"/>
    <w:pPr>
      <w:spacing w:after="0" w:line="240" w:lineRule="auto"/>
    </w:pPr>
  </w:style>
  <w:style w:type="character" w:customStyle="1" w:styleId="Heading3Char">
    <w:name w:val="Heading 3 Char"/>
    <w:basedOn w:val="DefaultParagraphFont"/>
    <w:link w:val="Heading3"/>
    <w:uiPriority w:val="9"/>
    <w:semiHidden/>
    <w:rsid w:val="00862F3C"/>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rsid w:val="004D4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372">
      <w:bodyDiv w:val="1"/>
      <w:marLeft w:val="0"/>
      <w:marRight w:val="0"/>
      <w:marTop w:val="0"/>
      <w:marBottom w:val="0"/>
      <w:divBdr>
        <w:top w:val="none" w:sz="0" w:space="0" w:color="auto"/>
        <w:left w:val="none" w:sz="0" w:space="0" w:color="auto"/>
        <w:bottom w:val="none" w:sz="0" w:space="0" w:color="auto"/>
        <w:right w:val="none" w:sz="0" w:space="0" w:color="auto"/>
      </w:divBdr>
    </w:div>
    <w:div w:id="2705269">
      <w:bodyDiv w:val="1"/>
      <w:marLeft w:val="0"/>
      <w:marRight w:val="0"/>
      <w:marTop w:val="0"/>
      <w:marBottom w:val="0"/>
      <w:divBdr>
        <w:top w:val="none" w:sz="0" w:space="0" w:color="auto"/>
        <w:left w:val="none" w:sz="0" w:space="0" w:color="auto"/>
        <w:bottom w:val="none" w:sz="0" w:space="0" w:color="auto"/>
        <w:right w:val="none" w:sz="0" w:space="0" w:color="auto"/>
      </w:divBdr>
    </w:div>
    <w:div w:id="2753702">
      <w:bodyDiv w:val="1"/>
      <w:marLeft w:val="0"/>
      <w:marRight w:val="0"/>
      <w:marTop w:val="0"/>
      <w:marBottom w:val="0"/>
      <w:divBdr>
        <w:top w:val="none" w:sz="0" w:space="0" w:color="auto"/>
        <w:left w:val="none" w:sz="0" w:space="0" w:color="auto"/>
        <w:bottom w:val="none" w:sz="0" w:space="0" w:color="auto"/>
        <w:right w:val="none" w:sz="0" w:space="0" w:color="auto"/>
      </w:divBdr>
    </w:div>
    <w:div w:id="3367738">
      <w:bodyDiv w:val="1"/>
      <w:marLeft w:val="0"/>
      <w:marRight w:val="0"/>
      <w:marTop w:val="0"/>
      <w:marBottom w:val="0"/>
      <w:divBdr>
        <w:top w:val="none" w:sz="0" w:space="0" w:color="auto"/>
        <w:left w:val="none" w:sz="0" w:space="0" w:color="auto"/>
        <w:bottom w:val="none" w:sz="0" w:space="0" w:color="auto"/>
        <w:right w:val="none" w:sz="0" w:space="0" w:color="auto"/>
      </w:divBdr>
    </w:div>
    <w:div w:id="4208925">
      <w:bodyDiv w:val="1"/>
      <w:marLeft w:val="0"/>
      <w:marRight w:val="0"/>
      <w:marTop w:val="0"/>
      <w:marBottom w:val="0"/>
      <w:divBdr>
        <w:top w:val="none" w:sz="0" w:space="0" w:color="auto"/>
        <w:left w:val="none" w:sz="0" w:space="0" w:color="auto"/>
        <w:bottom w:val="none" w:sz="0" w:space="0" w:color="auto"/>
        <w:right w:val="none" w:sz="0" w:space="0" w:color="auto"/>
      </w:divBdr>
    </w:div>
    <w:div w:id="4745705">
      <w:bodyDiv w:val="1"/>
      <w:marLeft w:val="0"/>
      <w:marRight w:val="0"/>
      <w:marTop w:val="0"/>
      <w:marBottom w:val="0"/>
      <w:divBdr>
        <w:top w:val="none" w:sz="0" w:space="0" w:color="auto"/>
        <w:left w:val="none" w:sz="0" w:space="0" w:color="auto"/>
        <w:bottom w:val="none" w:sz="0" w:space="0" w:color="auto"/>
        <w:right w:val="none" w:sz="0" w:space="0" w:color="auto"/>
      </w:divBdr>
    </w:div>
    <w:div w:id="6254370">
      <w:bodyDiv w:val="1"/>
      <w:marLeft w:val="0"/>
      <w:marRight w:val="0"/>
      <w:marTop w:val="0"/>
      <w:marBottom w:val="0"/>
      <w:divBdr>
        <w:top w:val="none" w:sz="0" w:space="0" w:color="auto"/>
        <w:left w:val="none" w:sz="0" w:space="0" w:color="auto"/>
        <w:bottom w:val="none" w:sz="0" w:space="0" w:color="auto"/>
        <w:right w:val="none" w:sz="0" w:space="0" w:color="auto"/>
      </w:divBdr>
    </w:div>
    <w:div w:id="13000807">
      <w:bodyDiv w:val="1"/>
      <w:marLeft w:val="0"/>
      <w:marRight w:val="0"/>
      <w:marTop w:val="0"/>
      <w:marBottom w:val="0"/>
      <w:divBdr>
        <w:top w:val="none" w:sz="0" w:space="0" w:color="auto"/>
        <w:left w:val="none" w:sz="0" w:space="0" w:color="auto"/>
        <w:bottom w:val="none" w:sz="0" w:space="0" w:color="auto"/>
        <w:right w:val="none" w:sz="0" w:space="0" w:color="auto"/>
      </w:divBdr>
    </w:div>
    <w:div w:id="13843464">
      <w:bodyDiv w:val="1"/>
      <w:marLeft w:val="0"/>
      <w:marRight w:val="0"/>
      <w:marTop w:val="0"/>
      <w:marBottom w:val="0"/>
      <w:divBdr>
        <w:top w:val="none" w:sz="0" w:space="0" w:color="auto"/>
        <w:left w:val="none" w:sz="0" w:space="0" w:color="auto"/>
        <w:bottom w:val="none" w:sz="0" w:space="0" w:color="auto"/>
        <w:right w:val="none" w:sz="0" w:space="0" w:color="auto"/>
      </w:divBdr>
    </w:div>
    <w:div w:id="14352762">
      <w:bodyDiv w:val="1"/>
      <w:marLeft w:val="0"/>
      <w:marRight w:val="0"/>
      <w:marTop w:val="0"/>
      <w:marBottom w:val="0"/>
      <w:divBdr>
        <w:top w:val="none" w:sz="0" w:space="0" w:color="auto"/>
        <w:left w:val="none" w:sz="0" w:space="0" w:color="auto"/>
        <w:bottom w:val="none" w:sz="0" w:space="0" w:color="auto"/>
        <w:right w:val="none" w:sz="0" w:space="0" w:color="auto"/>
      </w:divBdr>
    </w:div>
    <w:div w:id="16083831">
      <w:bodyDiv w:val="1"/>
      <w:marLeft w:val="0"/>
      <w:marRight w:val="0"/>
      <w:marTop w:val="0"/>
      <w:marBottom w:val="0"/>
      <w:divBdr>
        <w:top w:val="none" w:sz="0" w:space="0" w:color="auto"/>
        <w:left w:val="none" w:sz="0" w:space="0" w:color="auto"/>
        <w:bottom w:val="none" w:sz="0" w:space="0" w:color="auto"/>
        <w:right w:val="none" w:sz="0" w:space="0" w:color="auto"/>
      </w:divBdr>
    </w:div>
    <w:div w:id="16322921">
      <w:bodyDiv w:val="1"/>
      <w:marLeft w:val="0"/>
      <w:marRight w:val="0"/>
      <w:marTop w:val="0"/>
      <w:marBottom w:val="0"/>
      <w:divBdr>
        <w:top w:val="none" w:sz="0" w:space="0" w:color="auto"/>
        <w:left w:val="none" w:sz="0" w:space="0" w:color="auto"/>
        <w:bottom w:val="none" w:sz="0" w:space="0" w:color="auto"/>
        <w:right w:val="none" w:sz="0" w:space="0" w:color="auto"/>
      </w:divBdr>
    </w:div>
    <w:div w:id="16739889">
      <w:bodyDiv w:val="1"/>
      <w:marLeft w:val="0"/>
      <w:marRight w:val="0"/>
      <w:marTop w:val="0"/>
      <w:marBottom w:val="0"/>
      <w:divBdr>
        <w:top w:val="none" w:sz="0" w:space="0" w:color="auto"/>
        <w:left w:val="none" w:sz="0" w:space="0" w:color="auto"/>
        <w:bottom w:val="none" w:sz="0" w:space="0" w:color="auto"/>
        <w:right w:val="none" w:sz="0" w:space="0" w:color="auto"/>
      </w:divBdr>
    </w:div>
    <w:div w:id="18361901">
      <w:bodyDiv w:val="1"/>
      <w:marLeft w:val="0"/>
      <w:marRight w:val="0"/>
      <w:marTop w:val="0"/>
      <w:marBottom w:val="0"/>
      <w:divBdr>
        <w:top w:val="none" w:sz="0" w:space="0" w:color="auto"/>
        <w:left w:val="none" w:sz="0" w:space="0" w:color="auto"/>
        <w:bottom w:val="none" w:sz="0" w:space="0" w:color="auto"/>
        <w:right w:val="none" w:sz="0" w:space="0" w:color="auto"/>
      </w:divBdr>
    </w:div>
    <w:div w:id="19479613">
      <w:bodyDiv w:val="1"/>
      <w:marLeft w:val="0"/>
      <w:marRight w:val="0"/>
      <w:marTop w:val="0"/>
      <w:marBottom w:val="0"/>
      <w:divBdr>
        <w:top w:val="none" w:sz="0" w:space="0" w:color="auto"/>
        <w:left w:val="none" w:sz="0" w:space="0" w:color="auto"/>
        <w:bottom w:val="none" w:sz="0" w:space="0" w:color="auto"/>
        <w:right w:val="none" w:sz="0" w:space="0" w:color="auto"/>
      </w:divBdr>
    </w:div>
    <w:div w:id="19624501">
      <w:bodyDiv w:val="1"/>
      <w:marLeft w:val="0"/>
      <w:marRight w:val="0"/>
      <w:marTop w:val="0"/>
      <w:marBottom w:val="0"/>
      <w:divBdr>
        <w:top w:val="none" w:sz="0" w:space="0" w:color="auto"/>
        <w:left w:val="none" w:sz="0" w:space="0" w:color="auto"/>
        <w:bottom w:val="none" w:sz="0" w:space="0" w:color="auto"/>
        <w:right w:val="none" w:sz="0" w:space="0" w:color="auto"/>
      </w:divBdr>
    </w:div>
    <w:div w:id="23137090">
      <w:bodyDiv w:val="1"/>
      <w:marLeft w:val="0"/>
      <w:marRight w:val="0"/>
      <w:marTop w:val="0"/>
      <w:marBottom w:val="0"/>
      <w:divBdr>
        <w:top w:val="none" w:sz="0" w:space="0" w:color="auto"/>
        <w:left w:val="none" w:sz="0" w:space="0" w:color="auto"/>
        <w:bottom w:val="none" w:sz="0" w:space="0" w:color="auto"/>
        <w:right w:val="none" w:sz="0" w:space="0" w:color="auto"/>
      </w:divBdr>
    </w:div>
    <w:div w:id="24839994">
      <w:bodyDiv w:val="1"/>
      <w:marLeft w:val="0"/>
      <w:marRight w:val="0"/>
      <w:marTop w:val="0"/>
      <w:marBottom w:val="0"/>
      <w:divBdr>
        <w:top w:val="none" w:sz="0" w:space="0" w:color="auto"/>
        <w:left w:val="none" w:sz="0" w:space="0" w:color="auto"/>
        <w:bottom w:val="none" w:sz="0" w:space="0" w:color="auto"/>
        <w:right w:val="none" w:sz="0" w:space="0" w:color="auto"/>
      </w:divBdr>
    </w:div>
    <w:div w:id="25108271">
      <w:bodyDiv w:val="1"/>
      <w:marLeft w:val="0"/>
      <w:marRight w:val="0"/>
      <w:marTop w:val="0"/>
      <w:marBottom w:val="0"/>
      <w:divBdr>
        <w:top w:val="none" w:sz="0" w:space="0" w:color="auto"/>
        <w:left w:val="none" w:sz="0" w:space="0" w:color="auto"/>
        <w:bottom w:val="none" w:sz="0" w:space="0" w:color="auto"/>
        <w:right w:val="none" w:sz="0" w:space="0" w:color="auto"/>
      </w:divBdr>
    </w:div>
    <w:div w:id="25450753">
      <w:bodyDiv w:val="1"/>
      <w:marLeft w:val="0"/>
      <w:marRight w:val="0"/>
      <w:marTop w:val="0"/>
      <w:marBottom w:val="0"/>
      <w:divBdr>
        <w:top w:val="none" w:sz="0" w:space="0" w:color="auto"/>
        <w:left w:val="none" w:sz="0" w:space="0" w:color="auto"/>
        <w:bottom w:val="none" w:sz="0" w:space="0" w:color="auto"/>
        <w:right w:val="none" w:sz="0" w:space="0" w:color="auto"/>
      </w:divBdr>
    </w:div>
    <w:div w:id="25564815">
      <w:bodyDiv w:val="1"/>
      <w:marLeft w:val="0"/>
      <w:marRight w:val="0"/>
      <w:marTop w:val="0"/>
      <w:marBottom w:val="0"/>
      <w:divBdr>
        <w:top w:val="none" w:sz="0" w:space="0" w:color="auto"/>
        <w:left w:val="none" w:sz="0" w:space="0" w:color="auto"/>
        <w:bottom w:val="none" w:sz="0" w:space="0" w:color="auto"/>
        <w:right w:val="none" w:sz="0" w:space="0" w:color="auto"/>
      </w:divBdr>
    </w:div>
    <w:div w:id="25982189">
      <w:bodyDiv w:val="1"/>
      <w:marLeft w:val="0"/>
      <w:marRight w:val="0"/>
      <w:marTop w:val="0"/>
      <w:marBottom w:val="0"/>
      <w:divBdr>
        <w:top w:val="none" w:sz="0" w:space="0" w:color="auto"/>
        <w:left w:val="none" w:sz="0" w:space="0" w:color="auto"/>
        <w:bottom w:val="none" w:sz="0" w:space="0" w:color="auto"/>
        <w:right w:val="none" w:sz="0" w:space="0" w:color="auto"/>
      </w:divBdr>
    </w:div>
    <w:div w:id="26681753">
      <w:bodyDiv w:val="1"/>
      <w:marLeft w:val="0"/>
      <w:marRight w:val="0"/>
      <w:marTop w:val="0"/>
      <w:marBottom w:val="0"/>
      <w:divBdr>
        <w:top w:val="none" w:sz="0" w:space="0" w:color="auto"/>
        <w:left w:val="none" w:sz="0" w:space="0" w:color="auto"/>
        <w:bottom w:val="none" w:sz="0" w:space="0" w:color="auto"/>
        <w:right w:val="none" w:sz="0" w:space="0" w:color="auto"/>
      </w:divBdr>
    </w:div>
    <w:div w:id="27679284">
      <w:bodyDiv w:val="1"/>
      <w:marLeft w:val="0"/>
      <w:marRight w:val="0"/>
      <w:marTop w:val="0"/>
      <w:marBottom w:val="0"/>
      <w:divBdr>
        <w:top w:val="none" w:sz="0" w:space="0" w:color="auto"/>
        <w:left w:val="none" w:sz="0" w:space="0" w:color="auto"/>
        <w:bottom w:val="none" w:sz="0" w:space="0" w:color="auto"/>
        <w:right w:val="none" w:sz="0" w:space="0" w:color="auto"/>
      </w:divBdr>
    </w:div>
    <w:div w:id="27800698">
      <w:bodyDiv w:val="1"/>
      <w:marLeft w:val="0"/>
      <w:marRight w:val="0"/>
      <w:marTop w:val="0"/>
      <w:marBottom w:val="0"/>
      <w:divBdr>
        <w:top w:val="none" w:sz="0" w:space="0" w:color="auto"/>
        <w:left w:val="none" w:sz="0" w:space="0" w:color="auto"/>
        <w:bottom w:val="none" w:sz="0" w:space="0" w:color="auto"/>
        <w:right w:val="none" w:sz="0" w:space="0" w:color="auto"/>
      </w:divBdr>
    </w:div>
    <w:div w:id="28378773">
      <w:bodyDiv w:val="1"/>
      <w:marLeft w:val="0"/>
      <w:marRight w:val="0"/>
      <w:marTop w:val="0"/>
      <w:marBottom w:val="0"/>
      <w:divBdr>
        <w:top w:val="none" w:sz="0" w:space="0" w:color="auto"/>
        <w:left w:val="none" w:sz="0" w:space="0" w:color="auto"/>
        <w:bottom w:val="none" w:sz="0" w:space="0" w:color="auto"/>
        <w:right w:val="none" w:sz="0" w:space="0" w:color="auto"/>
      </w:divBdr>
    </w:div>
    <w:div w:id="28531358">
      <w:bodyDiv w:val="1"/>
      <w:marLeft w:val="0"/>
      <w:marRight w:val="0"/>
      <w:marTop w:val="0"/>
      <w:marBottom w:val="0"/>
      <w:divBdr>
        <w:top w:val="none" w:sz="0" w:space="0" w:color="auto"/>
        <w:left w:val="none" w:sz="0" w:space="0" w:color="auto"/>
        <w:bottom w:val="none" w:sz="0" w:space="0" w:color="auto"/>
        <w:right w:val="none" w:sz="0" w:space="0" w:color="auto"/>
      </w:divBdr>
    </w:div>
    <w:div w:id="29646758">
      <w:bodyDiv w:val="1"/>
      <w:marLeft w:val="0"/>
      <w:marRight w:val="0"/>
      <w:marTop w:val="0"/>
      <w:marBottom w:val="0"/>
      <w:divBdr>
        <w:top w:val="none" w:sz="0" w:space="0" w:color="auto"/>
        <w:left w:val="none" w:sz="0" w:space="0" w:color="auto"/>
        <w:bottom w:val="none" w:sz="0" w:space="0" w:color="auto"/>
        <w:right w:val="none" w:sz="0" w:space="0" w:color="auto"/>
      </w:divBdr>
    </w:div>
    <w:div w:id="30738233">
      <w:bodyDiv w:val="1"/>
      <w:marLeft w:val="0"/>
      <w:marRight w:val="0"/>
      <w:marTop w:val="0"/>
      <w:marBottom w:val="0"/>
      <w:divBdr>
        <w:top w:val="none" w:sz="0" w:space="0" w:color="auto"/>
        <w:left w:val="none" w:sz="0" w:space="0" w:color="auto"/>
        <w:bottom w:val="none" w:sz="0" w:space="0" w:color="auto"/>
        <w:right w:val="none" w:sz="0" w:space="0" w:color="auto"/>
      </w:divBdr>
    </w:div>
    <w:div w:id="30811821">
      <w:bodyDiv w:val="1"/>
      <w:marLeft w:val="0"/>
      <w:marRight w:val="0"/>
      <w:marTop w:val="0"/>
      <w:marBottom w:val="0"/>
      <w:divBdr>
        <w:top w:val="none" w:sz="0" w:space="0" w:color="auto"/>
        <w:left w:val="none" w:sz="0" w:space="0" w:color="auto"/>
        <w:bottom w:val="none" w:sz="0" w:space="0" w:color="auto"/>
        <w:right w:val="none" w:sz="0" w:space="0" w:color="auto"/>
      </w:divBdr>
    </w:div>
    <w:div w:id="31270234">
      <w:bodyDiv w:val="1"/>
      <w:marLeft w:val="0"/>
      <w:marRight w:val="0"/>
      <w:marTop w:val="0"/>
      <w:marBottom w:val="0"/>
      <w:divBdr>
        <w:top w:val="none" w:sz="0" w:space="0" w:color="auto"/>
        <w:left w:val="none" w:sz="0" w:space="0" w:color="auto"/>
        <w:bottom w:val="none" w:sz="0" w:space="0" w:color="auto"/>
        <w:right w:val="none" w:sz="0" w:space="0" w:color="auto"/>
      </w:divBdr>
    </w:div>
    <w:div w:id="32969926">
      <w:bodyDiv w:val="1"/>
      <w:marLeft w:val="0"/>
      <w:marRight w:val="0"/>
      <w:marTop w:val="0"/>
      <w:marBottom w:val="0"/>
      <w:divBdr>
        <w:top w:val="none" w:sz="0" w:space="0" w:color="auto"/>
        <w:left w:val="none" w:sz="0" w:space="0" w:color="auto"/>
        <w:bottom w:val="none" w:sz="0" w:space="0" w:color="auto"/>
        <w:right w:val="none" w:sz="0" w:space="0" w:color="auto"/>
      </w:divBdr>
    </w:div>
    <w:div w:id="39062553">
      <w:bodyDiv w:val="1"/>
      <w:marLeft w:val="0"/>
      <w:marRight w:val="0"/>
      <w:marTop w:val="0"/>
      <w:marBottom w:val="0"/>
      <w:divBdr>
        <w:top w:val="none" w:sz="0" w:space="0" w:color="auto"/>
        <w:left w:val="none" w:sz="0" w:space="0" w:color="auto"/>
        <w:bottom w:val="none" w:sz="0" w:space="0" w:color="auto"/>
        <w:right w:val="none" w:sz="0" w:space="0" w:color="auto"/>
      </w:divBdr>
    </w:div>
    <w:div w:id="39285015">
      <w:bodyDiv w:val="1"/>
      <w:marLeft w:val="0"/>
      <w:marRight w:val="0"/>
      <w:marTop w:val="0"/>
      <w:marBottom w:val="0"/>
      <w:divBdr>
        <w:top w:val="none" w:sz="0" w:space="0" w:color="auto"/>
        <w:left w:val="none" w:sz="0" w:space="0" w:color="auto"/>
        <w:bottom w:val="none" w:sz="0" w:space="0" w:color="auto"/>
        <w:right w:val="none" w:sz="0" w:space="0" w:color="auto"/>
      </w:divBdr>
    </w:div>
    <w:div w:id="40517068">
      <w:bodyDiv w:val="1"/>
      <w:marLeft w:val="0"/>
      <w:marRight w:val="0"/>
      <w:marTop w:val="0"/>
      <w:marBottom w:val="0"/>
      <w:divBdr>
        <w:top w:val="none" w:sz="0" w:space="0" w:color="auto"/>
        <w:left w:val="none" w:sz="0" w:space="0" w:color="auto"/>
        <w:bottom w:val="none" w:sz="0" w:space="0" w:color="auto"/>
        <w:right w:val="none" w:sz="0" w:space="0" w:color="auto"/>
      </w:divBdr>
    </w:div>
    <w:div w:id="41446614">
      <w:bodyDiv w:val="1"/>
      <w:marLeft w:val="0"/>
      <w:marRight w:val="0"/>
      <w:marTop w:val="0"/>
      <w:marBottom w:val="0"/>
      <w:divBdr>
        <w:top w:val="none" w:sz="0" w:space="0" w:color="auto"/>
        <w:left w:val="none" w:sz="0" w:space="0" w:color="auto"/>
        <w:bottom w:val="none" w:sz="0" w:space="0" w:color="auto"/>
        <w:right w:val="none" w:sz="0" w:space="0" w:color="auto"/>
      </w:divBdr>
    </w:div>
    <w:div w:id="41950360">
      <w:bodyDiv w:val="1"/>
      <w:marLeft w:val="0"/>
      <w:marRight w:val="0"/>
      <w:marTop w:val="0"/>
      <w:marBottom w:val="0"/>
      <w:divBdr>
        <w:top w:val="none" w:sz="0" w:space="0" w:color="auto"/>
        <w:left w:val="none" w:sz="0" w:space="0" w:color="auto"/>
        <w:bottom w:val="none" w:sz="0" w:space="0" w:color="auto"/>
        <w:right w:val="none" w:sz="0" w:space="0" w:color="auto"/>
      </w:divBdr>
    </w:div>
    <w:div w:id="46803535">
      <w:bodyDiv w:val="1"/>
      <w:marLeft w:val="0"/>
      <w:marRight w:val="0"/>
      <w:marTop w:val="0"/>
      <w:marBottom w:val="0"/>
      <w:divBdr>
        <w:top w:val="none" w:sz="0" w:space="0" w:color="auto"/>
        <w:left w:val="none" w:sz="0" w:space="0" w:color="auto"/>
        <w:bottom w:val="none" w:sz="0" w:space="0" w:color="auto"/>
        <w:right w:val="none" w:sz="0" w:space="0" w:color="auto"/>
      </w:divBdr>
    </w:div>
    <w:div w:id="48578698">
      <w:bodyDiv w:val="1"/>
      <w:marLeft w:val="0"/>
      <w:marRight w:val="0"/>
      <w:marTop w:val="0"/>
      <w:marBottom w:val="0"/>
      <w:divBdr>
        <w:top w:val="none" w:sz="0" w:space="0" w:color="auto"/>
        <w:left w:val="none" w:sz="0" w:space="0" w:color="auto"/>
        <w:bottom w:val="none" w:sz="0" w:space="0" w:color="auto"/>
        <w:right w:val="none" w:sz="0" w:space="0" w:color="auto"/>
      </w:divBdr>
    </w:div>
    <w:div w:id="50886894">
      <w:bodyDiv w:val="1"/>
      <w:marLeft w:val="0"/>
      <w:marRight w:val="0"/>
      <w:marTop w:val="0"/>
      <w:marBottom w:val="0"/>
      <w:divBdr>
        <w:top w:val="none" w:sz="0" w:space="0" w:color="auto"/>
        <w:left w:val="none" w:sz="0" w:space="0" w:color="auto"/>
        <w:bottom w:val="none" w:sz="0" w:space="0" w:color="auto"/>
        <w:right w:val="none" w:sz="0" w:space="0" w:color="auto"/>
      </w:divBdr>
    </w:div>
    <w:div w:id="51077899">
      <w:bodyDiv w:val="1"/>
      <w:marLeft w:val="0"/>
      <w:marRight w:val="0"/>
      <w:marTop w:val="0"/>
      <w:marBottom w:val="0"/>
      <w:divBdr>
        <w:top w:val="none" w:sz="0" w:space="0" w:color="auto"/>
        <w:left w:val="none" w:sz="0" w:space="0" w:color="auto"/>
        <w:bottom w:val="none" w:sz="0" w:space="0" w:color="auto"/>
        <w:right w:val="none" w:sz="0" w:space="0" w:color="auto"/>
      </w:divBdr>
    </w:div>
    <w:div w:id="52238202">
      <w:bodyDiv w:val="1"/>
      <w:marLeft w:val="0"/>
      <w:marRight w:val="0"/>
      <w:marTop w:val="0"/>
      <w:marBottom w:val="0"/>
      <w:divBdr>
        <w:top w:val="none" w:sz="0" w:space="0" w:color="auto"/>
        <w:left w:val="none" w:sz="0" w:space="0" w:color="auto"/>
        <w:bottom w:val="none" w:sz="0" w:space="0" w:color="auto"/>
        <w:right w:val="none" w:sz="0" w:space="0" w:color="auto"/>
      </w:divBdr>
    </w:div>
    <w:div w:id="52587773">
      <w:bodyDiv w:val="1"/>
      <w:marLeft w:val="0"/>
      <w:marRight w:val="0"/>
      <w:marTop w:val="0"/>
      <w:marBottom w:val="0"/>
      <w:divBdr>
        <w:top w:val="none" w:sz="0" w:space="0" w:color="auto"/>
        <w:left w:val="none" w:sz="0" w:space="0" w:color="auto"/>
        <w:bottom w:val="none" w:sz="0" w:space="0" w:color="auto"/>
        <w:right w:val="none" w:sz="0" w:space="0" w:color="auto"/>
      </w:divBdr>
    </w:div>
    <w:div w:id="54743010">
      <w:bodyDiv w:val="1"/>
      <w:marLeft w:val="0"/>
      <w:marRight w:val="0"/>
      <w:marTop w:val="0"/>
      <w:marBottom w:val="0"/>
      <w:divBdr>
        <w:top w:val="none" w:sz="0" w:space="0" w:color="auto"/>
        <w:left w:val="none" w:sz="0" w:space="0" w:color="auto"/>
        <w:bottom w:val="none" w:sz="0" w:space="0" w:color="auto"/>
        <w:right w:val="none" w:sz="0" w:space="0" w:color="auto"/>
      </w:divBdr>
    </w:div>
    <w:div w:id="56520477">
      <w:bodyDiv w:val="1"/>
      <w:marLeft w:val="0"/>
      <w:marRight w:val="0"/>
      <w:marTop w:val="0"/>
      <w:marBottom w:val="0"/>
      <w:divBdr>
        <w:top w:val="none" w:sz="0" w:space="0" w:color="auto"/>
        <w:left w:val="none" w:sz="0" w:space="0" w:color="auto"/>
        <w:bottom w:val="none" w:sz="0" w:space="0" w:color="auto"/>
        <w:right w:val="none" w:sz="0" w:space="0" w:color="auto"/>
      </w:divBdr>
    </w:div>
    <w:div w:id="57171029">
      <w:bodyDiv w:val="1"/>
      <w:marLeft w:val="0"/>
      <w:marRight w:val="0"/>
      <w:marTop w:val="0"/>
      <w:marBottom w:val="0"/>
      <w:divBdr>
        <w:top w:val="none" w:sz="0" w:space="0" w:color="auto"/>
        <w:left w:val="none" w:sz="0" w:space="0" w:color="auto"/>
        <w:bottom w:val="none" w:sz="0" w:space="0" w:color="auto"/>
        <w:right w:val="none" w:sz="0" w:space="0" w:color="auto"/>
      </w:divBdr>
    </w:div>
    <w:div w:id="61832970">
      <w:bodyDiv w:val="1"/>
      <w:marLeft w:val="0"/>
      <w:marRight w:val="0"/>
      <w:marTop w:val="0"/>
      <w:marBottom w:val="0"/>
      <w:divBdr>
        <w:top w:val="none" w:sz="0" w:space="0" w:color="auto"/>
        <w:left w:val="none" w:sz="0" w:space="0" w:color="auto"/>
        <w:bottom w:val="none" w:sz="0" w:space="0" w:color="auto"/>
        <w:right w:val="none" w:sz="0" w:space="0" w:color="auto"/>
      </w:divBdr>
    </w:div>
    <w:div w:id="62604335">
      <w:bodyDiv w:val="1"/>
      <w:marLeft w:val="0"/>
      <w:marRight w:val="0"/>
      <w:marTop w:val="0"/>
      <w:marBottom w:val="0"/>
      <w:divBdr>
        <w:top w:val="none" w:sz="0" w:space="0" w:color="auto"/>
        <w:left w:val="none" w:sz="0" w:space="0" w:color="auto"/>
        <w:bottom w:val="none" w:sz="0" w:space="0" w:color="auto"/>
        <w:right w:val="none" w:sz="0" w:space="0" w:color="auto"/>
      </w:divBdr>
    </w:div>
    <w:div w:id="64114236">
      <w:bodyDiv w:val="1"/>
      <w:marLeft w:val="0"/>
      <w:marRight w:val="0"/>
      <w:marTop w:val="0"/>
      <w:marBottom w:val="0"/>
      <w:divBdr>
        <w:top w:val="none" w:sz="0" w:space="0" w:color="auto"/>
        <w:left w:val="none" w:sz="0" w:space="0" w:color="auto"/>
        <w:bottom w:val="none" w:sz="0" w:space="0" w:color="auto"/>
        <w:right w:val="none" w:sz="0" w:space="0" w:color="auto"/>
      </w:divBdr>
    </w:div>
    <w:div w:id="65031400">
      <w:bodyDiv w:val="1"/>
      <w:marLeft w:val="0"/>
      <w:marRight w:val="0"/>
      <w:marTop w:val="0"/>
      <w:marBottom w:val="0"/>
      <w:divBdr>
        <w:top w:val="none" w:sz="0" w:space="0" w:color="auto"/>
        <w:left w:val="none" w:sz="0" w:space="0" w:color="auto"/>
        <w:bottom w:val="none" w:sz="0" w:space="0" w:color="auto"/>
        <w:right w:val="none" w:sz="0" w:space="0" w:color="auto"/>
      </w:divBdr>
    </w:div>
    <w:div w:id="65957859">
      <w:bodyDiv w:val="1"/>
      <w:marLeft w:val="0"/>
      <w:marRight w:val="0"/>
      <w:marTop w:val="0"/>
      <w:marBottom w:val="0"/>
      <w:divBdr>
        <w:top w:val="none" w:sz="0" w:space="0" w:color="auto"/>
        <w:left w:val="none" w:sz="0" w:space="0" w:color="auto"/>
        <w:bottom w:val="none" w:sz="0" w:space="0" w:color="auto"/>
        <w:right w:val="none" w:sz="0" w:space="0" w:color="auto"/>
      </w:divBdr>
    </w:div>
    <w:div w:id="67004340">
      <w:bodyDiv w:val="1"/>
      <w:marLeft w:val="0"/>
      <w:marRight w:val="0"/>
      <w:marTop w:val="0"/>
      <w:marBottom w:val="0"/>
      <w:divBdr>
        <w:top w:val="none" w:sz="0" w:space="0" w:color="auto"/>
        <w:left w:val="none" w:sz="0" w:space="0" w:color="auto"/>
        <w:bottom w:val="none" w:sz="0" w:space="0" w:color="auto"/>
        <w:right w:val="none" w:sz="0" w:space="0" w:color="auto"/>
      </w:divBdr>
    </w:div>
    <w:div w:id="67046137">
      <w:bodyDiv w:val="1"/>
      <w:marLeft w:val="0"/>
      <w:marRight w:val="0"/>
      <w:marTop w:val="0"/>
      <w:marBottom w:val="0"/>
      <w:divBdr>
        <w:top w:val="none" w:sz="0" w:space="0" w:color="auto"/>
        <w:left w:val="none" w:sz="0" w:space="0" w:color="auto"/>
        <w:bottom w:val="none" w:sz="0" w:space="0" w:color="auto"/>
        <w:right w:val="none" w:sz="0" w:space="0" w:color="auto"/>
      </w:divBdr>
    </w:div>
    <w:div w:id="67776234">
      <w:bodyDiv w:val="1"/>
      <w:marLeft w:val="0"/>
      <w:marRight w:val="0"/>
      <w:marTop w:val="0"/>
      <w:marBottom w:val="0"/>
      <w:divBdr>
        <w:top w:val="none" w:sz="0" w:space="0" w:color="auto"/>
        <w:left w:val="none" w:sz="0" w:space="0" w:color="auto"/>
        <w:bottom w:val="none" w:sz="0" w:space="0" w:color="auto"/>
        <w:right w:val="none" w:sz="0" w:space="0" w:color="auto"/>
      </w:divBdr>
    </w:div>
    <w:div w:id="72706046">
      <w:bodyDiv w:val="1"/>
      <w:marLeft w:val="0"/>
      <w:marRight w:val="0"/>
      <w:marTop w:val="0"/>
      <w:marBottom w:val="0"/>
      <w:divBdr>
        <w:top w:val="none" w:sz="0" w:space="0" w:color="auto"/>
        <w:left w:val="none" w:sz="0" w:space="0" w:color="auto"/>
        <w:bottom w:val="none" w:sz="0" w:space="0" w:color="auto"/>
        <w:right w:val="none" w:sz="0" w:space="0" w:color="auto"/>
      </w:divBdr>
    </w:div>
    <w:div w:id="73358116">
      <w:bodyDiv w:val="1"/>
      <w:marLeft w:val="0"/>
      <w:marRight w:val="0"/>
      <w:marTop w:val="0"/>
      <w:marBottom w:val="0"/>
      <w:divBdr>
        <w:top w:val="none" w:sz="0" w:space="0" w:color="auto"/>
        <w:left w:val="none" w:sz="0" w:space="0" w:color="auto"/>
        <w:bottom w:val="none" w:sz="0" w:space="0" w:color="auto"/>
        <w:right w:val="none" w:sz="0" w:space="0" w:color="auto"/>
      </w:divBdr>
    </w:div>
    <w:div w:id="74909191">
      <w:bodyDiv w:val="1"/>
      <w:marLeft w:val="0"/>
      <w:marRight w:val="0"/>
      <w:marTop w:val="0"/>
      <w:marBottom w:val="0"/>
      <w:divBdr>
        <w:top w:val="none" w:sz="0" w:space="0" w:color="auto"/>
        <w:left w:val="none" w:sz="0" w:space="0" w:color="auto"/>
        <w:bottom w:val="none" w:sz="0" w:space="0" w:color="auto"/>
        <w:right w:val="none" w:sz="0" w:space="0" w:color="auto"/>
      </w:divBdr>
    </w:div>
    <w:div w:id="75782741">
      <w:bodyDiv w:val="1"/>
      <w:marLeft w:val="0"/>
      <w:marRight w:val="0"/>
      <w:marTop w:val="0"/>
      <w:marBottom w:val="0"/>
      <w:divBdr>
        <w:top w:val="none" w:sz="0" w:space="0" w:color="auto"/>
        <w:left w:val="none" w:sz="0" w:space="0" w:color="auto"/>
        <w:bottom w:val="none" w:sz="0" w:space="0" w:color="auto"/>
        <w:right w:val="none" w:sz="0" w:space="0" w:color="auto"/>
      </w:divBdr>
    </w:div>
    <w:div w:id="77480400">
      <w:bodyDiv w:val="1"/>
      <w:marLeft w:val="0"/>
      <w:marRight w:val="0"/>
      <w:marTop w:val="0"/>
      <w:marBottom w:val="0"/>
      <w:divBdr>
        <w:top w:val="none" w:sz="0" w:space="0" w:color="auto"/>
        <w:left w:val="none" w:sz="0" w:space="0" w:color="auto"/>
        <w:bottom w:val="none" w:sz="0" w:space="0" w:color="auto"/>
        <w:right w:val="none" w:sz="0" w:space="0" w:color="auto"/>
      </w:divBdr>
    </w:div>
    <w:div w:id="79183373">
      <w:bodyDiv w:val="1"/>
      <w:marLeft w:val="0"/>
      <w:marRight w:val="0"/>
      <w:marTop w:val="0"/>
      <w:marBottom w:val="0"/>
      <w:divBdr>
        <w:top w:val="none" w:sz="0" w:space="0" w:color="auto"/>
        <w:left w:val="none" w:sz="0" w:space="0" w:color="auto"/>
        <w:bottom w:val="none" w:sz="0" w:space="0" w:color="auto"/>
        <w:right w:val="none" w:sz="0" w:space="0" w:color="auto"/>
      </w:divBdr>
    </w:div>
    <w:div w:id="79183682">
      <w:bodyDiv w:val="1"/>
      <w:marLeft w:val="0"/>
      <w:marRight w:val="0"/>
      <w:marTop w:val="0"/>
      <w:marBottom w:val="0"/>
      <w:divBdr>
        <w:top w:val="none" w:sz="0" w:space="0" w:color="auto"/>
        <w:left w:val="none" w:sz="0" w:space="0" w:color="auto"/>
        <w:bottom w:val="none" w:sz="0" w:space="0" w:color="auto"/>
        <w:right w:val="none" w:sz="0" w:space="0" w:color="auto"/>
      </w:divBdr>
    </w:div>
    <w:div w:id="80873945">
      <w:bodyDiv w:val="1"/>
      <w:marLeft w:val="0"/>
      <w:marRight w:val="0"/>
      <w:marTop w:val="0"/>
      <w:marBottom w:val="0"/>
      <w:divBdr>
        <w:top w:val="none" w:sz="0" w:space="0" w:color="auto"/>
        <w:left w:val="none" w:sz="0" w:space="0" w:color="auto"/>
        <w:bottom w:val="none" w:sz="0" w:space="0" w:color="auto"/>
        <w:right w:val="none" w:sz="0" w:space="0" w:color="auto"/>
      </w:divBdr>
    </w:div>
    <w:div w:id="81535324">
      <w:bodyDiv w:val="1"/>
      <w:marLeft w:val="0"/>
      <w:marRight w:val="0"/>
      <w:marTop w:val="0"/>
      <w:marBottom w:val="0"/>
      <w:divBdr>
        <w:top w:val="none" w:sz="0" w:space="0" w:color="auto"/>
        <w:left w:val="none" w:sz="0" w:space="0" w:color="auto"/>
        <w:bottom w:val="none" w:sz="0" w:space="0" w:color="auto"/>
        <w:right w:val="none" w:sz="0" w:space="0" w:color="auto"/>
      </w:divBdr>
    </w:div>
    <w:div w:id="82922309">
      <w:bodyDiv w:val="1"/>
      <w:marLeft w:val="0"/>
      <w:marRight w:val="0"/>
      <w:marTop w:val="0"/>
      <w:marBottom w:val="0"/>
      <w:divBdr>
        <w:top w:val="none" w:sz="0" w:space="0" w:color="auto"/>
        <w:left w:val="none" w:sz="0" w:space="0" w:color="auto"/>
        <w:bottom w:val="none" w:sz="0" w:space="0" w:color="auto"/>
        <w:right w:val="none" w:sz="0" w:space="0" w:color="auto"/>
      </w:divBdr>
    </w:div>
    <w:div w:id="82924319">
      <w:bodyDiv w:val="1"/>
      <w:marLeft w:val="0"/>
      <w:marRight w:val="0"/>
      <w:marTop w:val="0"/>
      <w:marBottom w:val="0"/>
      <w:divBdr>
        <w:top w:val="none" w:sz="0" w:space="0" w:color="auto"/>
        <w:left w:val="none" w:sz="0" w:space="0" w:color="auto"/>
        <w:bottom w:val="none" w:sz="0" w:space="0" w:color="auto"/>
        <w:right w:val="none" w:sz="0" w:space="0" w:color="auto"/>
      </w:divBdr>
    </w:div>
    <w:div w:id="82994336">
      <w:bodyDiv w:val="1"/>
      <w:marLeft w:val="0"/>
      <w:marRight w:val="0"/>
      <w:marTop w:val="0"/>
      <w:marBottom w:val="0"/>
      <w:divBdr>
        <w:top w:val="none" w:sz="0" w:space="0" w:color="auto"/>
        <w:left w:val="none" w:sz="0" w:space="0" w:color="auto"/>
        <w:bottom w:val="none" w:sz="0" w:space="0" w:color="auto"/>
        <w:right w:val="none" w:sz="0" w:space="0" w:color="auto"/>
      </w:divBdr>
    </w:div>
    <w:div w:id="83037742">
      <w:bodyDiv w:val="1"/>
      <w:marLeft w:val="0"/>
      <w:marRight w:val="0"/>
      <w:marTop w:val="0"/>
      <w:marBottom w:val="0"/>
      <w:divBdr>
        <w:top w:val="none" w:sz="0" w:space="0" w:color="auto"/>
        <w:left w:val="none" w:sz="0" w:space="0" w:color="auto"/>
        <w:bottom w:val="none" w:sz="0" w:space="0" w:color="auto"/>
        <w:right w:val="none" w:sz="0" w:space="0" w:color="auto"/>
      </w:divBdr>
    </w:div>
    <w:div w:id="83690233">
      <w:bodyDiv w:val="1"/>
      <w:marLeft w:val="0"/>
      <w:marRight w:val="0"/>
      <w:marTop w:val="0"/>
      <w:marBottom w:val="0"/>
      <w:divBdr>
        <w:top w:val="none" w:sz="0" w:space="0" w:color="auto"/>
        <w:left w:val="none" w:sz="0" w:space="0" w:color="auto"/>
        <w:bottom w:val="none" w:sz="0" w:space="0" w:color="auto"/>
        <w:right w:val="none" w:sz="0" w:space="0" w:color="auto"/>
      </w:divBdr>
    </w:div>
    <w:div w:id="83694228">
      <w:bodyDiv w:val="1"/>
      <w:marLeft w:val="0"/>
      <w:marRight w:val="0"/>
      <w:marTop w:val="0"/>
      <w:marBottom w:val="0"/>
      <w:divBdr>
        <w:top w:val="none" w:sz="0" w:space="0" w:color="auto"/>
        <w:left w:val="none" w:sz="0" w:space="0" w:color="auto"/>
        <w:bottom w:val="none" w:sz="0" w:space="0" w:color="auto"/>
        <w:right w:val="none" w:sz="0" w:space="0" w:color="auto"/>
      </w:divBdr>
    </w:div>
    <w:div w:id="84034323">
      <w:bodyDiv w:val="1"/>
      <w:marLeft w:val="0"/>
      <w:marRight w:val="0"/>
      <w:marTop w:val="0"/>
      <w:marBottom w:val="0"/>
      <w:divBdr>
        <w:top w:val="none" w:sz="0" w:space="0" w:color="auto"/>
        <w:left w:val="none" w:sz="0" w:space="0" w:color="auto"/>
        <w:bottom w:val="none" w:sz="0" w:space="0" w:color="auto"/>
        <w:right w:val="none" w:sz="0" w:space="0" w:color="auto"/>
      </w:divBdr>
    </w:div>
    <w:div w:id="85687954">
      <w:bodyDiv w:val="1"/>
      <w:marLeft w:val="0"/>
      <w:marRight w:val="0"/>
      <w:marTop w:val="0"/>
      <w:marBottom w:val="0"/>
      <w:divBdr>
        <w:top w:val="none" w:sz="0" w:space="0" w:color="auto"/>
        <w:left w:val="none" w:sz="0" w:space="0" w:color="auto"/>
        <w:bottom w:val="none" w:sz="0" w:space="0" w:color="auto"/>
        <w:right w:val="none" w:sz="0" w:space="0" w:color="auto"/>
      </w:divBdr>
    </w:div>
    <w:div w:id="85880161">
      <w:bodyDiv w:val="1"/>
      <w:marLeft w:val="0"/>
      <w:marRight w:val="0"/>
      <w:marTop w:val="0"/>
      <w:marBottom w:val="0"/>
      <w:divBdr>
        <w:top w:val="none" w:sz="0" w:space="0" w:color="auto"/>
        <w:left w:val="none" w:sz="0" w:space="0" w:color="auto"/>
        <w:bottom w:val="none" w:sz="0" w:space="0" w:color="auto"/>
        <w:right w:val="none" w:sz="0" w:space="0" w:color="auto"/>
      </w:divBdr>
    </w:div>
    <w:div w:id="86313168">
      <w:bodyDiv w:val="1"/>
      <w:marLeft w:val="0"/>
      <w:marRight w:val="0"/>
      <w:marTop w:val="0"/>
      <w:marBottom w:val="0"/>
      <w:divBdr>
        <w:top w:val="none" w:sz="0" w:space="0" w:color="auto"/>
        <w:left w:val="none" w:sz="0" w:space="0" w:color="auto"/>
        <w:bottom w:val="none" w:sz="0" w:space="0" w:color="auto"/>
        <w:right w:val="none" w:sz="0" w:space="0" w:color="auto"/>
      </w:divBdr>
    </w:div>
    <w:div w:id="87390545">
      <w:bodyDiv w:val="1"/>
      <w:marLeft w:val="0"/>
      <w:marRight w:val="0"/>
      <w:marTop w:val="0"/>
      <w:marBottom w:val="0"/>
      <w:divBdr>
        <w:top w:val="none" w:sz="0" w:space="0" w:color="auto"/>
        <w:left w:val="none" w:sz="0" w:space="0" w:color="auto"/>
        <w:bottom w:val="none" w:sz="0" w:space="0" w:color="auto"/>
        <w:right w:val="none" w:sz="0" w:space="0" w:color="auto"/>
      </w:divBdr>
    </w:div>
    <w:div w:id="90898508">
      <w:bodyDiv w:val="1"/>
      <w:marLeft w:val="0"/>
      <w:marRight w:val="0"/>
      <w:marTop w:val="0"/>
      <w:marBottom w:val="0"/>
      <w:divBdr>
        <w:top w:val="none" w:sz="0" w:space="0" w:color="auto"/>
        <w:left w:val="none" w:sz="0" w:space="0" w:color="auto"/>
        <w:bottom w:val="none" w:sz="0" w:space="0" w:color="auto"/>
        <w:right w:val="none" w:sz="0" w:space="0" w:color="auto"/>
      </w:divBdr>
    </w:div>
    <w:div w:id="92824432">
      <w:bodyDiv w:val="1"/>
      <w:marLeft w:val="0"/>
      <w:marRight w:val="0"/>
      <w:marTop w:val="0"/>
      <w:marBottom w:val="0"/>
      <w:divBdr>
        <w:top w:val="none" w:sz="0" w:space="0" w:color="auto"/>
        <w:left w:val="none" w:sz="0" w:space="0" w:color="auto"/>
        <w:bottom w:val="none" w:sz="0" w:space="0" w:color="auto"/>
        <w:right w:val="none" w:sz="0" w:space="0" w:color="auto"/>
      </w:divBdr>
    </w:div>
    <w:div w:id="93333409">
      <w:bodyDiv w:val="1"/>
      <w:marLeft w:val="0"/>
      <w:marRight w:val="0"/>
      <w:marTop w:val="0"/>
      <w:marBottom w:val="0"/>
      <w:divBdr>
        <w:top w:val="none" w:sz="0" w:space="0" w:color="auto"/>
        <w:left w:val="none" w:sz="0" w:space="0" w:color="auto"/>
        <w:bottom w:val="none" w:sz="0" w:space="0" w:color="auto"/>
        <w:right w:val="none" w:sz="0" w:space="0" w:color="auto"/>
      </w:divBdr>
    </w:div>
    <w:div w:id="95948768">
      <w:bodyDiv w:val="1"/>
      <w:marLeft w:val="0"/>
      <w:marRight w:val="0"/>
      <w:marTop w:val="0"/>
      <w:marBottom w:val="0"/>
      <w:divBdr>
        <w:top w:val="none" w:sz="0" w:space="0" w:color="auto"/>
        <w:left w:val="none" w:sz="0" w:space="0" w:color="auto"/>
        <w:bottom w:val="none" w:sz="0" w:space="0" w:color="auto"/>
        <w:right w:val="none" w:sz="0" w:space="0" w:color="auto"/>
      </w:divBdr>
    </w:div>
    <w:div w:id="96298658">
      <w:bodyDiv w:val="1"/>
      <w:marLeft w:val="0"/>
      <w:marRight w:val="0"/>
      <w:marTop w:val="0"/>
      <w:marBottom w:val="0"/>
      <w:divBdr>
        <w:top w:val="none" w:sz="0" w:space="0" w:color="auto"/>
        <w:left w:val="none" w:sz="0" w:space="0" w:color="auto"/>
        <w:bottom w:val="none" w:sz="0" w:space="0" w:color="auto"/>
        <w:right w:val="none" w:sz="0" w:space="0" w:color="auto"/>
      </w:divBdr>
    </w:div>
    <w:div w:id="96950393">
      <w:bodyDiv w:val="1"/>
      <w:marLeft w:val="0"/>
      <w:marRight w:val="0"/>
      <w:marTop w:val="0"/>
      <w:marBottom w:val="0"/>
      <w:divBdr>
        <w:top w:val="none" w:sz="0" w:space="0" w:color="auto"/>
        <w:left w:val="none" w:sz="0" w:space="0" w:color="auto"/>
        <w:bottom w:val="none" w:sz="0" w:space="0" w:color="auto"/>
        <w:right w:val="none" w:sz="0" w:space="0" w:color="auto"/>
      </w:divBdr>
    </w:div>
    <w:div w:id="99685079">
      <w:bodyDiv w:val="1"/>
      <w:marLeft w:val="0"/>
      <w:marRight w:val="0"/>
      <w:marTop w:val="0"/>
      <w:marBottom w:val="0"/>
      <w:divBdr>
        <w:top w:val="none" w:sz="0" w:space="0" w:color="auto"/>
        <w:left w:val="none" w:sz="0" w:space="0" w:color="auto"/>
        <w:bottom w:val="none" w:sz="0" w:space="0" w:color="auto"/>
        <w:right w:val="none" w:sz="0" w:space="0" w:color="auto"/>
      </w:divBdr>
    </w:div>
    <w:div w:id="102575205">
      <w:bodyDiv w:val="1"/>
      <w:marLeft w:val="0"/>
      <w:marRight w:val="0"/>
      <w:marTop w:val="0"/>
      <w:marBottom w:val="0"/>
      <w:divBdr>
        <w:top w:val="none" w:sz="0" w:space="0" w:color="auto"/>
        <w:left w:val="none" w:sz="0" w:space="0" w:color="auto"/>
        <w:bottom w:val="none" w:sz="0" w:space="0" w:color="auto"/>
        <w:right w:val="none" w:sz="0" w:space="0" w:color="auto"/>
      </w:divBdr>
    </w:div>
    <w:div w:id="104887034">
      <w:bodyDiv w:val="1"/>
      <w:marLeft w:val="0"/>
      <w:marRight w:val="0"/>
      <w:marTop w:val="0"/>
      <w:marBottom w:val="0"/>
      <w:divBdr>
        <w:top w:val="none" w:sz="0" w:space="0" w:color="auto"/>
        <w:left w:val="none" w:sz="0" w:space="0" w:color="auto"/>
        <w:bottom w:val="none" w:sz="0" w:space="0" w:color="auto"/>
        <w:right w:val="none" w:sz="0" w:space="0" w:color="auto"/>
      </w:divBdr>
    </w:div>
    <w:div w:id="106047471">
      <w:bodyDiv w:val="1"/>
      <w:marLeft w:val="0"/>
      <w:marRight w:val="0"/>
      <w:marTop w:val="0"/>
      <w:marBottom w:val="0"/>
      <w:divBdr>
        <w:top w:val="none" w:sz="0" w:space="0" w:color="auto"/>
        <w:left w:val="none" w:sz="0" w:space="0" w:color="auto"/>
        <w:bottom w:val="none" w:sz="0" w:space="0" w:color="auto"/>
        <w:right w:val="none" w:sz="0" w:space="0" w:color="auto"/>
      </w:divBdr>
    </w:div>
    <w:div w:id="108472301">
      <w:bodyDiv w:val="1"/>
      <w:marLeft w:val="0"/>
      <w:marRight w:val="0"/>
      <w:marTop w:val="0"/>
      <w:marBottom w:val="0"/>
      <w:divBdr>
        <w:top w:val="none" w:sz="0" w:space="0" w:color="auto"/>
        <w:left w:val="none" w:sz="0" w:space="0" w:color="auto"/>
        <w:bottom w:val="none" w:sz="0" w:space="0" w:color="auto"/>
        <w:right w:val="none" w:sz="0" w:space="0" w:color="auto"/>
      </w:divBdr>
    </w:div>
    <w:div w:id="109209904">
      <w:bodyDiv w:val="1"/>
      <w:marLeft w:val="0"/>
      <w:marRight w:val="0"/>
      <w:marTop w:val="0"/>
      <w:marBottom w:val="0"/>
      <w:divBdr>
        <w:top w:val="none" w:sz="0" w:space="0" w:color="auto"/>
        <w:left w:val="none" w:sz="0" w:space="0" w:color="auto"/>
        <w:bottom w:val="none" w:sz="0" w:space="0" w:color="auto"/>
        <w:right w:val="none" w:sz="0" w:space="0" w:color="auto"/>
      </w:divBdr>
    </w:div>
    <w:div w:id="110101107">
      <w:bodyDiv w:val="1"/>
      <w:marLeft w:val="0"/>
      <w:marRight w:val="0"/>
      <w:marTop w:val="0"/>
      <w:marBottom w:val="0"/>
      <w:divBdr>
        <w:top w:val="none" w:sz="0" w:space="0" w:color="auto"/>
        <w:left w:val="none" w:sz="0" w:space="0" w:color="auto"/>
        <w:bottom w:val="none" w:sz="0" w:space="0" w:color="auto"/>
        <w:right w:val="none" w:sz="0" w:space="0" w:color="auto"/>
      </w:divBdr>
    </w:div>
    <w:div w:id="111173244">
      <w:bodyDiv w:val="1"/>
      <w:marLeft w:val="0"/>
      <w:marRight w:val="0"/>
      <w:marTop w:val="0"/>
      <w:marBottom w:val="0"/>
      <w:divBdr>
        <w:top w:val="none" w:sz="0" w:space="0" w:color="auto"/>
        <w:left w:val="none" w:sz="0" w:space="0" w:color="auto"/>
        <w:bottom w:val="none" w:sz="0" w:space="0" w:color="auto"/>
        <w:right w:val="none" w:sz="0" w:space="0" w:color="auto"/>
      </w:divBdr>
    </w:div>
    <w:div w:id="111753748">
      <w:bodyDiv w:val="1"/>
      <w:marLeft w:val="0"/>
      <w:marRight w:val="0"/>
      <w:marTop w:val="0"/>
      <w:marBottom w:val="0"/>
      <w:divBdr>
        <w:top w:val="none" w:sz="0" w:space="0" w:color="auto"/>
        <w:left w:val="none" w:sz="0" w:space="0" w:color="auto"/>
        <w:bottom w:val="none" w:sz="0" w:space="0" w:color="auto"/>
        <w:right w:val="none" w:sz="0" w:space="0" w:color="auto"/>
      </w:divBdr>
    </w:div>
    <w:div w:id="114838308">
      <w:bodyDiv w:val="1"/>
      <w:marLeft w:val="0"/>
      <w:marRight w:val="0"/>
      <w:marTop w:val="0"/>
      <w:marBottom w:val="0"/>
      <w:divBdr>
        <w:top w:val="none" w:sz="0" w:space="0" w:color="auto"/>
        <w:left w:val="none" w:sz="0" w:space="0" w:color="auto"/>
        <w:bottom w:val="none" w:sz="0" w:space="0" w:color="auto"/>
        <w:right w:val="none" w:sz="0" w:space="0" w:color="auto"/>
      </w:divBdr>
    </w:div>
    <w:div w:id="116141202">
      <w:bodyDiv w:val="1"/>
      <w:marLeft w:val="0"/>
      <w:marRight w:val="0"/>
      <w:marTop w:val="0"/>
      <w:marBottom w:val="0"/>
      <w:divBdr>
        <w:top w:val="none" w:sz="0" w:space="0" w:color="auto"/>
        <w:left w:val="none" w:sz="0" w:space="0" w:color="auto"/>
        <w:bottom w:val="none" w:sz="0" w:space="0" w:color="auto"/>
        <w:right w:val="none" w:sz="0" w:space="0" w:color="auto"/>
      </w:divBdr>
    </w:div>
    <w:div w:id="116797377">
      <w:bodyDiv w:val="1"/>
      <w:marLeft w:val="0"/>
      <w:marRight w:val="0"/>
      <w:marTop w:val="0"/>
      <w:marBottom w:val="0"/>
      <w:divBdr>
        <w:top w:val="none" w:sz="0" w:space="0" w:color="auto"/>
        <w:left w:val="none" w:sz="0" w:space="0" w:color="auto"/>
        <w:bottom w:val="none" w:sz="0" w:space="0" w:color="auto"/>
        <w:right w:val="none" w:sz="0" w:space="0" w:color="auto"/>
      </w:divBdr>
    </w:div>
    <w:div w:id="116992736">
      <w:bodyDiv w:val="1"/>
      <w:marLeft w:val="0"/>
      <w:marRight w:val="0"/>
      <w:marTop w:val="0"/>
      <w:marBottom w:val="0"/>
      <w:divBdr>
        <w:top w:val="none" w:sz="0" w:space="0" w:color="auto"/>
        <w:left w:val="none" w:sz="0" w:space="0" w:color="auto"/>
        <w:bottom w:val="none" w:sz="0" w:space="0" w:color="auto"/>
        <w:right w:val="none" w:sz="0" w:space="0" w:color="auto"/>
      </w:divBdr>
    </w:div>
    <w:div w:id="119617380">
      <w:bodyDiv w:val="1"/>
      <w:marLeft w:val="0"/>
      <w:marRight w:val="0"/>
      <w:marTop w:val="0"/>
      <w:marBottom w:val="0"/>
      <w:divBdr>
        <w:top w:val="none" w:sz="0" w:space="0" w:color="auto"/>
        <w:left w:val="none" w:sz="0" w:space="0" w:color="auto"/>
        <w:bottom w:val="none" w:sz="0" w:space="0" w:color="auto"/>
        <w:right w:val="none" w:sz="0" w:space="0" w:color="auto"/>
      </w:divBdr>
    </w:div>
    <w:div w:id="121845694">
      <w:bodyDiv w:val="1"/>
      <w:marLeft w:val="0"/>
      <w:marRight w:val="0"/>
      <w:marTop w:val="0"/>
      <w:marBottom w:val="0"/>
      <w:divBdr>
        <w:top w:val="none" w:sz="0" w:space="0" w:color="auto"/>
        <w:left w:val="none" w:sz="0" w:space="0" w:color="auto"/>
        <w:bottom w:val="none" w:sz="0" w:space="0" w:color="auto"/>
        <w:right w:val="none" w:sz="0" w:space="0" w:color="auto"/>
      </w:divBdr>
    </w:div>
    <w:div w:id="126166159">
      <w:bodyDiv w:val="1"/>
      <w:marLeft w:val="0"/>
      <w:marRight w:val="0"/>
      <w:marTop w:val="0"/>
      <w:marBottom w:val="0"/>
      <w:divBdr>
        <w:top w:val="none" w:sz="0" w:space="0" w:color="auto"/>
        <w:left w:val="none" w:sz="0" w:space="0" w:color="auto"/>
        <w:bottom w:val="none" w:sz="0" w:space="0" w:color="auto"/>
        <w:right w:val="none" w:sz="0" w:space="0" w:color="auto"/>
      </w:divBdr>
    </w:div>
    <w:div w:id="128978231">
      <w:bodyDiv w:val="1"/>
      <w:marLeft w:val="0"/>
      <w:marRight w:val="0"/>
      <w:marTop w:val="0"/>
      <w:marBottom w:val="0"/>
      <w:divBdr>
        <w:top w:val="none" w:sz="0" w:space="0" w:color="auto"/>
        <w:left w:val="none" w:sz="0" w:space="0" w:color="auto"/>
        <w:bottom w:val="none" w:sz="0" w:space="0" w:color="auto"/>
        <w:right w:val="none" w:sz="0" w:space="0" w:color="auto"/>
      </w:divBdr>
    </w:div>
    <w:div w:id="129056799">
      <w:bodyDiv w:val="1"/>
      <w:marLeft w:val="0"/>
      <w:marRight w:val="0"/>
      <w:marTop w:val="0"/>
      <w:marBottom w:val="0"/>
      <w:divBdr>
        <w:top w:val="none" w:sz="0" w:space="0" w:color="auto"/>
        <w:left w:val="none" w:sz="0" w:space="0" w:color="auto"/>
        <w:bottom w:val="none" w:sz="0" w:space="0" w:color="auto"/>
        <w:right w:val="none" w:sz="0" w:space="0" w:color="auto"/>
      </w:divBdr>
    </w:div>
    <w:div w:id="130440823">
      <w:bodyDiv w:val="1"/>
      <w:marLeft w:val="0"/>
      <w:marRight w:val="0"/>
      <w:marTop w:val="0"/>
      <w:marBottom w:val="0"/>
      <w:divBdr>
        <w:top w:val="none" w:sz="0" w:space="0" w:color="auto"/>
        <w:left w:val="none" w:sz="0" w:space="0" w:color="auto"/>
        <w:bottom w:val="none" w:sz="0" w:space="0" w:color="auto"/>
        <w:right w:val="none" w:sz="0" w:space="0" w:color="auto"/>
      </w:divBdr>
    </w:div>
    <w:div w:id="131293265">
      <w:bodyDiv w:val="1"/>
      <w:marLeft w:val="0"/>
      <w:marRight w:val="0"/>
      <w:marTop w:val="0"/>
      <w:marBottom w:val="0"/>
      <w:divBdr>
        <w:top w:val="none" w:sz="0" w:space="0" w:color="auto"/>
        <w:left w:val="none" w:sz="0" w:space="0" w:color="auto"/>
        <w:bottom w:val="none" w:sz="0" w:space="0" w:color="auto"/>
        <w:right w:val="none" w:sz="0" w:space="0" w:color="auto"/>
      </w:divBdr>
    </w:div>
    <w:div w:id="132067118">
      <w:bodyDiv w:val="1"/>
      <w:marLeft w:val="0"/>
      <w:marRight w:val="0"/>
      <w:marTop w:val="0"/>
      <w:marBottom w:val="0"/>
      <w:divBdr>
        <w:top w:val="none" w:sz="0" w:space="0" w:color="auto"/>
        <w:left w:val="none" w:sz="0" w:space="0" w:color="auto"/>
        <w:bottom w:val="none" w:sz="0" w:space="0" w:color="auto"/>
        <w:right w:val="none" w:sz="0" w:space="0" w:color="auto"/>
      </w:divBdr>
    </w:div>
    <w:div w:id="133066411">
      <w:bodyDiv w:val="1"/>
      <w:marLeft w:val="0"/>
      <w:marRight w:val="0"/>
      <w:marTop w:val="0"/>
      <w:marBottom w:val="0"/>
      <w:divBdr>
        <w:top w:val="none" w:sz="0" w:space="0" w:color="auto"/>
        <w:left w:val="none" w:sz="0" w:space="0" w:color="auto"/>
        <w:bottom w:val="none" w:sz="0" w:space="0" w:color="auto"/>
        <w:right w:val="none" w:sz="0" w:space="0" w:color="auto"/>
      </w:divBdr>
    </w:div>
    <w:div w:id="133450692">
      <w:bodyDiv w:val="1"/>
      <w:marLeft w:val="0"/>
      <w:marRight w:val="0"/>
      <w:marTop w:val="0"/>
      <w:marBottom w:val="0"/>
      <w:divBdr>
        <w:top w:val="none" w:sz="0" w:space="0" w:color="auto"/>
        <w:left w:val="none" w:sz="0" w:space="0" w:color="auto"/>
        <w:bottom w:val="none" w:sz="0" w:space="0" w:color="auto"/>
        <w:right w:val="none" w:sz="0" w:space="0" w:color="auto"/>
      </w:divBdr>
    </w:div>
    <w:div w:id="134106502">
      <w:bodyDiv w:val="1"/>
      <w:marLeft w:val="0"/>
      <w:marRight w:val="0"/>
      <w:marTop w:val="0"/>
      <w:marBottom w:val="0"/>
      <w:divBdr>
        <w:top w:val="none" w:sz="0" w:space="0" w:color="auto"/>
        <w:left w:val="none" w:sz="0" w:space="0" w:color="auto"/>
        <w:bottom w:val="none" w:sz="0" w:space="0" w:color="auto"/>
        <w:right w:val="none" w:sz="0" w:space="0" w:color="auto"/>
      </w:divBdr>
    </w:div>
    <w:div w:id="135344485">
      <w:bodyDiv w:val="1"/>
      <w:marLeft w:val="0"/>
      <w:marRight w:val="0"/>
      <w:marTop w:val="0"/>
      <w:marBottom w:val="0"/>
      <w:divBdr>
        <w:top w:val="none" w:sz="0" w:space="0" w:color="auto"/>
        <w:left w:val="none" w:sz="0" w:space="0" w:color="auto"/>
        <w:bottom w:val="none" w:sz="0" w:space="0" w:color="auto"/>
        <w:right w:val="none" w:sz="0" w:space="0" w:color="auto"/>
      </w:divBdr>
    </w:div>
    <w:div w:id="137043147">
      <w:bodyDiv w:val="1"/>
      <w:marLeft w:val="0"/>
      <w:marRight w:val="0"/>
      <w:marTop w:val="0"/>
      <w:marBottom w:val="0"/>
      <w:divBdr>
        <w:top w:val="none" w:sz="0" w:space="0" w:color="auto"/>
        <w:left w:val="none" w:sz="0" w:space="0" w:color="auto"/>
        <w:bottom w:val="none" w:sz="0" w:space="0" w:color="auto"/>
        <w:right w:val="none" w:sz="0" w:space="0" w:color="auto"/>
      </w:divBdr>
    </w:div>
    <w:div w:id="138425305">
      <w:bodyDiv w:val="1"/>
      <w:marLeft w:val="0"/>
      <w:marRight w:val="0"/>
      <w:marTop w:val="0"/>
      <w:marBottom w:val="0"/>
      <w:divBdr>
        <w:top w:val="none" w:sz="0" w:space="0" w:color="auto"/>
        <w:left w:val="none" w:sz="0" w:space="0" w:color="auto"/>
        <w:bottom w:val="none" w:sz="0" w:space="0" w:color="auto"/>
        <w:right w:val="none" w:sz="0" w:space="0" w:color="auto"/>
      </w:divBdr>
    </w:div>
    <w:div w:id="139075612">
      <w:bodyDiv w:val="1"/>
      <w:marLeft w:val="0"/>
      <w:marRight w:val="0"/>
      <w:marTop w:val="0"/>
      <w:marBottom w:val="0"/>
      <w:divBdr>
        <w:top w:val="none" w:sz="0" w:space="0" w:color="auto"/>
        <w:left w:val="none" w:sz="0" w:space="0" w:color="auto"/>
        <w:bottom w:val="none" w:sz="0" w:space="0" w:color="auto"/>
        <w:right w:val="none" w:sz="0" w:space="0" w:color="auto"/>
      </w:divBdr>
    </w:div>
    <w:div w:id="139461943">
      <w:bodyDiv w:val="1"/>
      <w:marLeft w:val="0"/>
      <w:marRight w:val="0"/>
      <w:marTop w:val="0"/>
      <w:marBottom w:val="0"/>
      <w:divBdr>
        <w:top w:val="none" w:sz="0" w:space="0" w:color="auto"/>
        <w:left w:val="none" w:sz="0" w:space="0" w:color="auto"/>
        <w:bottom w:val="none" w:sz="0" w:space="0" w:color="auto"/>
        <w:right w:val="none" w:sz="0" w:space="0" w:color="auto"/>
      </w:divBdr>
    </w:div>
    <w:div w:id="140657469">
      <w:bodyDiv w:val="1"/>
      <w:marLeft w:val="0"/>
      <w:marRight w:val="0"/>
      <w:marTop w:val="0"/>
      <w:marBottom w:val="0"/>
      <w:divBdr>
        <w:top w:val="none" w:sz="0" w:space="0" w:color="auto"/>
        <w:left w:val="none" w:sz="0" w:space="0" w:color="auto"/>
        <w:bottom w:val="none" w:sz="0" w:space="0" w:color="auto"/>
        <w:right w:val="none" w:sz="0" w:space="0" w:color="auto"/>
      </w:divBdr>
    </w:div>
    <w:div w:id="140853507">
      <w:bodyDiv w:val="1"/>
      <w:marLeft w:val="0"/>
      <w:marRight w:val="0"/>
      <w:marTop w:val="0"/>
      <w:marBottom w:val="0"/>
      <w:divBdr>
        <w:top w:val="none" w:sz="0" w:space="0" w:color="auto"/>
        <w:left w:val="none" w:sz="0" w:space="0" w:color="auto"/>
        <w:bottom w:val="none" w:sz="0" w:space="0" w:color="auto"/>
        <w:right w:val="none" w:sz="0" w:space="0" w:color="auto"/>
      </w:divBdr>
    </w:div>
    <w:div w:id="142233462">
      <w:bodyDiv w:val="1"/>
      <w:marLeft w:val="0"/>
      <w:marRight w:val="0"/>
      <w:marTop w:val="0"/>
      <w:marBottom w:val="0"/>
      <w:divBdr>
        <w:top w:val="none" w:sz="0" w:space="0" w:color="auto"/>
        <w:left w:val="none" w:sz="0" w:space="0" w:color="auto"/>
        <w:bottom w:val="none" w:sz="0" w:space="0" w:color="auto"/>
        <w:right w:val="none" w:sz="0" w:space="0" w:color="auto"/>
      </w:divBdr>
    </w:div>
    <w:div w:id="144399517">
      <w:bodyDiv w:val="1"/>
      <w:marLeft w:val="0"/>
      <w:marRight w:val="0"/>
      <w:marTop w:val="0"/>
      <w:marBottom w:val="0"/>
      <w:divBdr>
        <w:top w:val="none" w:sz="0" w:space="0" w:color="auto"/>
        <w:left w:val="none" w:sz="0" w:space="0" w:color="auto"/>
        <w:bottom w:val="none" w:sz="0" w:space="0" w:color="auto"/>
        <w:right w:val="none" w:sz="0" w:space="0" w:color="auto"/>
      </w:divBdr>
    </w:div>
    <w:div w:id="145437993">
      <w:bodyDiv w:val="1"/>
      <w:marLeft w:val="0"/>
      <w:marRight w:val="0"/>
      <w:marTop w:val="0"/>
      <w:marBottom w:val="0"/>
      <w:divBdr>
        <w:top w:val="none" w:sz="0" w:space="0" w:color="auto"/>
        <w:left w:val="none" w:sz="0" w:space="0" w:color="auto"/>
        <w:bottom w:val="none" w:sz="0" w:space="0" w:color="auto"/>
        <w:right w:val="none" w:sz="0" w:space="0" w:color="auto"/>
      </w:divBdr>
    </w:div>
    <w:div w:id="146365189">
      <w:bodyDiv w:val="1"/>
      <w:marLeft w:val="0"/>
      <w:marRight w:val="0"/>
      <w:marTop w:val="0"/>
      <w:marBottom w:val="0"/>
      <w:divBdr>
        <w:top w:val="none" w:sz="0" w:space="0" w:color="auto"/>
        <w:left w:val="none" w:sz="0" w:space="0" w:color="auto"/>
        <w:bottom w:val="none" w:sz="0" w:space="0" w:color="auto"/>
        <w:right w:val="none" w:sz="0" w:space="0" w:color="auto"/>
      </w:divBdr>
    </w:div>
    <w:div w:id="150365378">
      <w:bodyDiv w:val="1"/>
      <w:marLeft w:val="0"/>
      <w:marRight w:val="0"/>
      <w:marTop w:val="0"/>
      <w:marBottom w:val="0"/>
      <w:divBdr>
        <w:top w:val="none" w:sz="0" w:space="0" w:color="auto"/>
        <w:left w:val="none" w:sz="0" w:space="0" w:color="auto"/>
        <w:bottom w:val="none" w:sz="0" w:space="0" w:color="auto"/>
        <w:right w:val="none" w:sz="0" w:space="0" w:color="auto"/>
      </w:divBdr>
    </w:div>
    <w:div w:id="151416358">
      <w:bodyDiv w:val="1"/>
      <w:marLeft w:val="0"/>
      <w:marRight w:val="0"/>
      <w:marTop w:val="0"/>
      <w:marBottom w:val="0"/>
      <w:divBdr>
        <w:top w:val="none" w:sz="0" w:space="0" w:color="auto"/>
        <w:left w:val="none" w:sz="0" w:space="0" w:color="auto"/>
        <w:bottom w:val="none" w:sz="0" w:space="0" w:color="auto"/>
        <w:right w:val="none" w:sz="0" w:space="0" w:color="auto"/>
      </w:divBdr>
    </w:div>
    <w:div w:id="153223981">
      <w:bodyDiv w:val="1"/>
      <w:marLeft w:val="0"/>
      <w:marRight w:val="0"/>
      <w:marTop w:val="0"/>
      <w:marBottom w:val="0"/>
      <w:divBdr>
        <w:top w:val="none" w:sz="0" w:space="0" w:color="auto"/>
        <w:left w:val="none" w:sz="0" w:space="0" w:color="auto"/>
        <w:bottom w:val="none" w:sz="0" w:space="0" w:color="auto"/>
        <w:right w:val="none" w:sz="0" w:space="0" w:color="auto"/>
      </w:divBdr>
    </w:div>
    <w:div w:id="154221286">
      <w:bodyDiv w:val="1"/>
      <w:marLeft w:val="0"/>
      <w:marRight w:val="0"/>
      <w:marTop w:val="0"/>
      <w:marBottom w:val="0"/>
      <w:divBdr>
        <w:top w:val="none" w:sz="0" w:space="0" w:color="auto"/>
        <w:left w:val="none" w:sz="0" w:space="0" w:color="auto"/>
        <w:bottom w:val="none" w:sz="0" w:space="0" w:color="auto"/>
        <w:right w:val="none" w:sz="0" w:space="0" w:color="auto"/>
      </w:divBdr>
    </w:div>
    <w:div w:id="155145343">
      <w:bodyDiv w:val="1"/>
      <w:marLeft w:val="0"/>
      <w:marRight w:val="0"/>
      <w:marTop w:val="0"/>
      <w:marBottom w:val="0"/>
      <w:divBdr>
        <w:top w:val="none" w:sz="0" w:space="0" w:color="auto"/>
        <w:left w:val="none" w:sz="0" w:space="0" w:color="auto"/>
        <w:bottom w:val="none" w:sz="0" w:space="0" w:color="auto"/>
        <w:right w:val="none" w:sz="0" w:space="0" w:color="auto"/>
      </w:divBdr>
    </w:div>
    <w:div w:id="157768256">
      <w:bodyDiv w:val="1"/>
      <w:marLeft w:val="0"/>
      <w:marRight w:val="0"/>
      <w:marTop w:val="0"/>
      <w:marBottom w:val="0"/>
      <w:divBdr>
        <w:top w:val="none" w:sz="0" w:space="0" w:color="auto"/>
        <w:left w:val="none" w:sz="0" w:space="0" w:color="auto"/>
        <w:bottom w:val="none" w:sz="0" w:space="0" w:color="auto"/>
        <w:right w:val="none" w:sz="0" w:space="0" w:color="auto"/>
      </w:divBdr>
    </w:div>
    <w:div w:id="159853328">
      <w:bodyDiv w:val="1"/>
      <w:marLeft w:val="0"/>
      <w:marRight w:val="0"/>
      <w:marTop w:val="0"/>
      <w:marBottom w:val="0"/>
      <w:divBdr>
        <w:top w:val="none" w:sz="0" w:space="0" w:color="auto"/>
        <w:left w:val="none" w:sz="0" w:space="0" w:color="auto"/>
        <w:bottom w:val="none" w:sz="0" w:space="0" w:color="auto"/>
        <w:right w:val="none" w:sz="0" w:space="0" w:color="auto"/>
      </w:divBdr>
    </w:div>
    <w:div w:id="162165563">
      <w:bodyDiv w:val="1"/>
      <w:marLeft w:val="0"/>
      <w:marRight w:val="0"/>
      <w:marTop w:val="0"/>
      <w:marBottom w:val="0"/>
      <w:divBdr>
        <w:top w:val="none" w:sz="0" w:space="0" w:color="auto"/>
        <w:left w:val="none" w:sz="0" w:space="0" w:color="auto"/>
        <w:bottom w:val="none" w:sz="0" w:space="0" w:color="auto"/>
        <w:right w:val="none" w:sz="0" w:space="0" w:color="auto"/>
      </w:divBdr>
    </w:div>
    <w:div w:id="165479818">
      <w:bodyDiv w:val="1"/>
      <w:marLeft w:val="0"/>
      <w:marRight w:val="0"/>
      <w:marTop w:val="0"/>
      <w:marBottom w:val="0"/>
      <w:divBdr>
        <w:top w:val="none" w:sz="0" w:space="0" w:color="auto"/>
        <w:left w:val="none" w:sz="0" w:space="0" w:color="auto"/>
        <w:bottom w:val="none" w:sz="0" w:space="0" w:color="auto"/>
        <w:right w:val="none" w:sz="0" w:space="0" w:color="auto"/>
      </w:divBdr>
    </w:div>
    <w:div w:id="165705602">
      <w:bodyDiv w:val="1"/>
      <w:marLeft w:val="0"/>
      <w:marRight w:val="0"/>
      <w:marTop w:val="0"/>
      <w:marBottom w:val="0"/>
      <w:divBdr>
        <w:top w:val="none" w:sz="0" w:space="0" w:color="auto"/>
        <w:left w:val="none" w:sz="0" w:space="0" w:color="auto"/>
        <w:bottom w:val="none" w:sz="0" w:space="0" w:color="auto"/>
        <w:right w:val="none" w:sz="0" w:space="0" w:color="auto"/>
      </w:divBdr>
    </w:div>
    <w:div w:id="166214502">
      <w:bodyDiv w:val="1"/>
      <w:marLeft w:val="0"/>
      <w:marRight w:val="0"/>
      <w:marTop w:val="0"/>
      <w:marBottom w:val="0"/>
      <w:divBdr>
        <w:top w:val="none" w:sz="0" w:space="0" w:color="auto"/>
        <w:left w:val="none" w:sz="0" w:space="0" w:color="auto"/>
        <w:bottom w:val="none" w:sz="0" w:space="0" w:color="auto"/>
        <w:right w:val="none" w:sz="0" w:space="0" w:color="auto"/>
      </w:divBdr>
    </w:div>
    <w:div w:id="166673098">
      <w:bodyDiv w:val="1"/>
      <w:marLeft w:val="0"/>
      <w:marRight w:val="0"/>
      <w:marTop w:val="0"/>
      <w:marBottom w:val="0"/>
      <w:divBdr>
        <w:top w:val="none" w:sz="0" w:space="0" w:color="auto"/>
        <w:left w:val="none" w:sz="0" w:space="0" w:color="auto"/>
        <w:bottom w:val="none" w:sz="0" w:space="0" w:color="auto"/>
        <w:right w:val="none" w:sz="0" w:space="0" w:color="auto"/>
      </w:divBdr>
    </w:div>
    <w:div w:id="166871602">
      <w:bodyDiv w:val="1"/>
      <w:marLeft w:val="0"/>
      <w:marRight w:val="0"/>
      <w:marTop w:val="0"/>
      <w:marBottom w:val="0"/>
      <w:divBdr>
        <w:top w:val="none" w:sz="0" w:space="0" w:color="auto"/>
        <w:left w:val="none" w:sz="0" w:space="0" w:color="auto"/>
        <w:bottom w:val="none" w:sz="0" w:space="0" w:color="auto"/>
        <w:right w:val="none" w:sz="0" w:space="0" w:color="auto"/>
      </w:divBdr>
    </w:div>
    <w:div w:id="167793385">
      <w:bodyDiv w:val="1"/>
      <w:marLeft w:val="0"/>
      <w:marRight w:val="0"/>
      <w:marTop w:val="0"/>
      <w:marBottom w:val="0"/>
      <w:divBdr>
        <w:top w:val="none" w:sz="0" w:space="0" w:color="auto"/>
        <w:left w:val="none" w:sz="0" w:space="0" w:color="auto"/>
        <w:bottom w:val="none" w:sz="0" w:space="0" w:color="auto"/>
        <w:right w:val="none" w:sz="0" w:space="0" w:color="auto"/>
      </w:divBdr>
    </w:div>
    <w:div w:id="168567185">
      <w:bodyDiv w:val="1"/>
      <w:marLeft w:val="0"/>
      <w:marRight w:val="0"/>
      <w:marTop w:val="0"/>
      <w:marBottom w:val="0"/>
      <w:divBdr>
        <w:top w:val="none" w:sz="0" w:space="0" w:color="auto"/>
        <w:left w:val="none" w:sz="0" w:space="0" w:color="auto"/>
        <w:bottom w:val="none" w:sz="0" w:space="0" w:color="auto"/>
        <w:right w:val="none" w:sz="0" w:space="0" w:color="auto"/>
      </w:divBdr>
    </w:div>
    <w:div w:id="171456470">
      <w:bodyDiv w:val="1"/>
      <w:marLeft w:val="0"/>
      <w:marRight w:val="0"/>
      <w:marTop w:val="0"/>
      <w:marBottom w:val="0"/>
      <w:divBdr>
        <w:top w:val="none" w:sz="0" w:space="0" w:color="auto"/>
        <w:left w:val="none" w:sz="0" w:space="0" w:color="auto"/>
        <w:bottom w:val="none" w:sz="0" w:space="0" w:color="auto"/>
        <w:right w:val="none" w:sz="0" w:space="0" w:color="auto"/>
      </w:divBdr>
    </w:div>
    <w:div w:id="172647927">
      <w:bodyDiv w:val="1"/>
      <w:marLeft w:val="0"/>
      <w:marRight w:val="0"/>
      <w:marTop w:val="0"/>
      <w:marBottom w:val="0"/>
      <w:divBdr>
        <w:top w:val="none" w:sz="0" w:space="0" w:color="auto"/>
        <w:left w:val="none" w:sz="0" w:space="0" w:color="auto"/>
        <w:bottom w:val="none" w:sz="0" w:space="0" w:color="auto"/>
        <w:right w:val="none" w:sz="0" w:space="0" w:color="auto"/>
      </w:divBdr>
    </w:div>
    <w:div w:id="172959144">
      <w:bodyDiv w:val="1"/>
      <w:marLeft w:val="0"/>
      <w:marRight w:val="0"/>
      <w:marTop w:val="0"/>
      <w:marBottom w:val="0"/>
      <w:divBdr>
        <w:top w:val="none" w:sz="0" w:space="0" w:color="auto"/>
        <w:left w:val="none" w:sz="0" w:space="0" w:color="auto"/>
        <w:bottom w:val="none" w:sz="0" w:space="0" w:color="auto"/>
        <w:right w:val="none" w:sz="0" w:space="0" w:color="auto"/>
      </w:divBdr>
    </w:div>
    <w:div w:id="175191746">
      <w:bodyDiv w:val="1"/>
      <w:marLeft w:val="0"/>
      <w:marRight w:val="0"/>
      <w:marTop w:val="0"/>
      <w:marBottom w:val="0"/>
      <w:divBdr>
        <w:top w:val="none" w:sz="0" w:space="0" w:color="auto"/>
        <w:left w:val="none" w:sz="0" w:space="0" w:color="auto"/>
        <w:bottom w:val="none" w:sz="0" w:space="0" w:color="auto"/>
        <w:right w:val="none" w:sz="0" w:space="0" w:color="auto"/>
      </w:divBdr>
    </w:div>
    <w:div w:id="179197511">
      <w:bodyDiv w:val="1"/>
      <w:marLeft w:val="0"/>
      <w:marRight w:val="0"/>
      <w:marTop w:val="0"/>
      <w:marBottom w:val="0"/>
      <w:divBdr>
        <w:top w:val="none" w:sz="0" w:space="0" w:color="auto"/>
        <w:left w:val="none" w:sz="0" w:space="0" w:color="auto"/>
        <w:bottom w:val="none" w:sz="0" w:space="0" w:color="auto"/>
        <w:right w:val="none" w:sz="0" w:space="0" w:color="auto"/>
      </w:divBdr>
    </w:div>
    <w:div w:id="181166311">
      <w:bodyDiv w:val="1"/>
      <w:marLeft w:val="0"/>
      <w:marRight w:val="0"/>
      <w:marTop w:val="0"/>
      <w:marBottom w:val="0"/>
      <w:divBdr>
        <w:top w:val="none" w:sz="0" w:space="0" w:color="auto"/>
        <w:left w:val="none" w:sz="0" w:space="0" w:color="auto"/>
        <w:bottom w:val="none" w:sz="0" w:space="0" w:color="auto"/>
        <w:right w:val="none" w:sz="0" w:space="0" w:color="auto"/>
      </w:divBdr>
    </w:div>
    <w:div w:id="185410335">
      <w:bodyDiv w:val="1"/>
      <w:marLeft w:val="0"/>
      <w:marRight w:val="0"/>
      <w:marTop w:val="0"/>
      <w:marBottom w:val="0"/>
      <w:divBdr>
        <w:top w:val="none" w:sz="0" w:space="0" w:color="auto"/>
        <w:left w:val="none" w:sz="0" w:space="0" w:color="auto"/>
        <w:bottom w:val="none" w:sz="0" w:space="0" w:color="auto"/>
        <w:right w:val="none" w:sz="0" w:space="0" w:color="auto"/>
      </w:divBdr>
    </w:div>
    <w:div w:id="187106595">
      <w:bodyDiv w:val="1"/>
      <w:marLeft w:val="0"/>
      <w:marRight w:val="0"/>
      <w:marTop w:val="0"/>
      <w:marBottom w:val="0"/>
      <w:divBdr>
        <w:top w:val="none" w:sz="0" w:space="0" w:color="auto"/>
        <w:left w:val="none" w:sz="0" w:space="0" w:color="auto"/>
        <w:bottom w:val="none" w:sz="0" w:space="0" w:color="auto"/>
        <w:right w:val="none" w:sz="0" w:space="0" w:color="auto"/>
      </w:divBdr>
    </w:div>
    <w:div w:id="188304065">
      <w:bodyDiv w:val="1"/>
      <w:marLeft w:val="0"/>
      <w:marRight w:val="0"/>
      <w:marTop w:val="0"/>
      <w:marBottom w:val="0"/>
      <w:divBdr>
        <w:top w:val="none" w:sz="0" w:space="0" w:color="auto"/>
        <w:left w:val="none" w:sz="0" w:space="0" w:color="auto"/>
        <w:bottom w:val="none" w:sz="0" w:space="0" w:color="auto"/>
        <w:right w:val="none" w:sz="0" w:space="0" w:color="auto"/>
      </w:divBdr>
    </w:div>
    <w:div w:id="188416241">
      <w:bodyDiv w:val="1"/>
      <w:marLeft w:val="0"/>
      <w:marRight w:val="0"/>
      <w:marTop w:val="0"/>
      <w:marBottom w:val="0"/>
      <w:divBdr>
        <w:top w:val="none" w:sz="0" w:space="0" w:color="auto"/>
        <w:left w:val="none" w:sz="0" w:space="0" w:color="auto"/>
        <w:bottom w:val="none" w:sz="0" w:space="0" w:color="auto"/>
        <w:right w:val="none" w:sz="0" w:space="0" w:color="auto"/>
      </w:divBdr>
    </w:div>
    <w:div w:id="190075339">
      <w:bodyDiv w:val="1"/>
      <w:marLeft w:val="0"/>
      <w:marRight w:val="0"/>
      <w:marTop w:val="0"/>
      <w:marBottom w:val="0"/>
      <w:divBdr>
        <w:top w:val="none" w:sz="0" w:space="0" w:color="auto"/>
        <w:left w:val="none" w:sz="0" w:space="0" w:color="auto"/>
        <w:bottom w:val="none" w:sz="0" w:space="0" w:color="auto"/>
        <w:right w:val="none" w:sz="0" w:space="0" w:color="auto"/>
      </w:divBdr>
    </w:div>
    <w:div w:id="190539148">
      <w:bodyDiv w:val="1"/>
      <w:marLeft w:val="0"/>
      <w:marRight w:val="0"/>
      <w:marTop w:val="0"/>
      <w:marBottom w:val="0"/>
      <w:divBdr>
        <w:top w:val="none" w:sz="0" w:space="0" w:color="auto"/>
        <w:left w:val="none" w:sz="0" w:space="0" w:color="auto"/>
        <w:bottom w:val="none" w:sz="0" w:space="0" w:color="auto"/>
        <w:right w:val="none" w:sz="0" w:space="0" w:color="auto"/>
      </w:divBdr>
    </w:div>
    <w:div w:id="192034708">
      <w:bodyDiv w:val="1"/>
      <w:marLeft w:val="0"/>
      <w:marRight w:val="0"/>
      <w:marTop w:val="0"/>
      <w:marBottom w:val="0"/>
      <w:divBdr>
        <w:top w:val="none" w:sz="0" w:space="0" w:color="auto"/>
        <w:left w:val="none" w:sz="0" w:space="0" w:color="auto"/>
        <w:bottom w:val="none" w:sz="0" w:space="0" w:color="auto"/>
        <w:right w:val="none" w:sz="0" w:space="0" w:color="auto"/>
      </w:divBdr>
    </w:div>
    <w:div w:id="192310927">
      <w:bodyDiv w:val="1"/>
      <w:marLeft w:val="0"/>
      <w:marRight w:val="0"/>
      <w:marTop w:val="0"/>
      <w:marBottom w:val="0"/>
      <w:divBdr>
        <w:top w:val="none" w:sz="0" w:space="0" w:color="auto"/>
        <w:left w:val="none" w:sz="0" w:space="0" w:color="auto"/>
        <w:bottom w:val="none" w:sz="0" w:space="0" w:color="auto"/>
        <w:right w:val="none" w:sz="0" w:space="0" w:color="auto"/>
      </w:divBdr>
    </w:div>
    <w:div w:id="192696214">
      <w:bodyDiv w:val="1"/>
      <w:marLeft w:val="0"/>
      <w:marRight w:val="0"/>
      <w:marTop w:val="0"/>
      <w:marBottom w:val="0"/>
      <w:divBdr>
        <w:top w:val="none" w:sz="0" w:space="0" w:color="auto"/>
        <w:left w:val="none" w:sz="0" w:space="0" w:color="auto"/>
        <w:bottom w:val="none" w:sz="0" w:space="0" w:color="auto"/>
        <w:right w:val="none" w:sz="0" w:space="0" w:color="auto"/>
      </w:divBdr>
    </w:div>
    <w:div w:id="193807896">
      <w:bodyDiv w:val="1"/>
      <w:marLeft w:val="0"/>
      <w:marRight w:val="0"/>
      <w:marTop w:val="0"/>
      <w:marBottom w:val="0"/>
      <w:divBdr>
        <w:top w:val="none" w:sz="0" w:space="0" w:color="auto"/>
        <w:left w:val="none" w:sz="0" w:space="0" w:color="auto"/>
        <w:bottom w:val="none" w:sz="0" w:space="0" w:color="auto"/>
        <w:right w:val="none" w:sz="0" w:space="0" w:color="auto"/>
      </w:divBdr>
    </w:div>
    <w:div w:id="194198781">
      <w:bodyDiv w:val="1"/>
      <w:marLeft w:val="0"/>
      <w:marRight w:val="0"/>
      <w:marTop w:val="0"/>
      <w:marBottom w:val="0"/>
      <w:divBdr>
        <w:top w:val="none" w:sz="0" w:space="0" w:color="auto"/>
        <w:left w:val="none" w:sz="0" w:space="0" w:color="auto"/>
        <w:bottom w:val="none" w:sz="0" w:space="0" w:color="auto"/>
        <w:right w:val="none" w:sz="0" w:space="0" w:color="auto"/>
      </w:divBdr>
    </w:div>
    <w:div w:id="196087651">
      <w:bodyDiv w:val="1"/>
      <w:marLeft w:val="0"/>
      <w:marRight w:val="0"/>
      <w:marTop w:val="0"/>
      <w:marBottom w:val="0"/>
      <w:divBdr>
        <w:top w:val="none" w:sz="0" w:space="0" w:color="auto"/>
        <w:left w:val="none" w:sz="0" w:space="0" w:color="auto"/>
        <w:bottom w:val="none" w:sz="0" w:space="0" w:color="auto"/>
        <w:right w:val="none" w:sz="0" w:space="0" w:color="auto"/>
      </w:divBdr>
    </w:div>
    <w:div w:id="197592567">
      <w:bodyDiv w:val="1"/>
      <w:marLeft w:val="0"/>
      <w:marRight w:val="0"/>
      <w:marTop w:val="0"/>
      <w:marBottom w:val="0"/>
      <w:divBdr>
        <w:top w:val="none" w:sz="0" w:space="0" w:color="auto"/>
        <w:left w:val="none" w:sz="0" w:space="0" w:color="auto"/>
        <w:bottom w:val="none" w:sz="0" w:space="0" w:color="auto"/>
        <w:right w:val="none" w:sz="0" w:space="0" w:color="auto"/>
      </w:divBdr>
    </w:div>
    <w:div w:id="197623240">
      <w:bodyDiv w:val="1"/>
      <w:marLeft w:val="0"/>
      <w:marRight w:val="0"/>
      <w:marTop w:val="0"/>
      <w:marBottom w:val="0"/>
      <w:divBdr>
        <w:top w:val="none" w:sz="0" w:space="0" w:color="auto"/>
        <w:left w:val="none" w:sz="0" w:space="0" w:color="auto"/>
        <w:bottom w:val="none" w:sz="0" w:space="0" w:color="auto"/>
        <w:right w:val="none" w:sz="0" w:space="0" w:color="auto"/>
      </w:divBdr>
    </w:div>
    <w:div w:id="198710706">
      <w:bodyDiv w:val="1"/>
      <w:marLeft w:val="0"/>
      <w:marRight w:val="0"/>
      <w:marTop w:val="0"/>
      <w:marBottom w:val="0"/>
      <w:divBdr>
        <w:top w:val="none" w:sz="0" w:space="0" w:color="auto"/>
        <w:left w:val="none" w:sz="0" w:space="0" w:color="auto"/>
        <w:bottom w:val="none" w:sz="0" w:space="0" w:color="auto"/>
        <w:right w:val="none" w:sz="0" w:space="0" w:color="auto"/>
      </w:divBdr>
    </w:div>
    <w:div w:id="199320727">
      <w:bodyDiv w:val="1"/>
      <w:marLeft w:val="0"/>
      <w:marRight w:val="0"/>
      <w:marTop w:val="0"/>
      <w:marBottom w:val="0"/>
      <w:divBdr>
        <w:top w:val="none" w:sz="0" w:space="0" w:color="auto"/>
        <w:left w:val="none" w:sz="0" w:space="0" w:color="auto"/>
        <w:bottom w:val="none" w:sz="0" w:space="0" w:color="auto"/>
        <w:right w:val="none" w:sz="0" w:space="0" w:color="auto"/>
      </w:divBdr>
    </w:div>
    <w:div w:id="201091572">
      <w:bodyDiv w:val="1"/>
      <w:marLeft w:val="0"/>
      <w:marRight w:val="0"/>
      <w:marTop w:val="0"/>
      <w:marBottom w:val="0"/>
      <w:divBdr>
        <w:top w:val="none" w:sz="0" w:space="0" w:color="auto"/>
        <w:left w:val="none" w:sz="0" w:space="0" w:color="auto"/>
        <w:bottom w:val="none" w:sz="0" w:space="0" w:color="auto"/>
        <w:right w:val="none" w:sz="0" w:space="0" w:color="auto"/>
      </w:divBdr>
    </w:div>
    <w:div w:id="201096785">
      <w:bodyDiv w:val="1"/>
      <w:marLeft w:val="0"/>
      <w:marRight w:val="0"/>
      <w:marTop w:val="0"/>
      <w:marBottom w:val="0"/>
      <w:divBdr>
        <w:top w:val="none" w:sz="0" w:space="0" w:color="auto"/>
        <w:left w:val="none" w:sz="0" w:space="0" w:color="auto"/>
        <w:bottom w:val="none" w:sz="0" w:space="0" w:color="auto"/>
        <w:right w:val="none" w:sz="0" w:space="0" w:color="auto"/>
      </w:divBdr>
    </w:div>
    <w:div w:id="201209748">
      <w:bodyDiv w:val="1"/>
      <w:marLeft w:val="0"/>
      <w:marRight w:val="0"/>
      <w:marTop w:val="0"/>
      <w:marBottom w:val="0"/>
      <w:divBdr>
        <w:top w:val="none" w:sz="0" w:space="0" w:color="auto"/>
        <w:left w:val="none" w:sz="0" w:space="0" w:color="auto"/>
        <w:bottom w:val="none" w:sz="0" w:space="0" w:color="auto"/>
        <w:right w:val="none" w:sz="0" w:space="0" w:color="auto"/>
      </w:divBdr>
    </w:div>
    <w:div w:id="201790124">
      <w:bodyDiv w:val="1"/>
      <w:marLeft w:val="0"/>
      <w:marRight w:val="0"/>
      <w:marTop w:val="0"/>
      <w:marBottom w:val="0"/>
      <w:divBdr>
        <w:top w:val="none" w:sz="0" w:space="0" w:color="auto"/>
        <w:left w:val="none" w:sz="0" w:space="0" w:color="auto"/>
        <w:bottom w:val="none" w:sz="0" w:space="0" w:color="auto"/>
        <w:right w:val="none" w:sz="0" w:space="0" w:color="auto"/>
      </w:divBdr>
    </w:div>
    <w:div w:id="202057674">
      <w:bodyDiv w:val="1"/>
      <w:marLeft w:val="0"/>
      <w:marRight w:val="0"/>
      <w:marTop w:val="0"/>
      <w:marBottom w:val="0"/>
      <w:divBdr>
        <w:top w:val="none" w:sz="0" w:space="0" w:color="auto"/>
        <w:left w:val="none" w:sz="0" w:space="0" w:color="auto"/>
        <w:bottom w:val="none" w:sz="0" w:space="0" w:color="auto"/>
        <w:right w:val="none" w:sz="0" w:space="0" w:color="auto"/>
      </w:divBdr>
    </w:div>
    <w:div w:id="204104473">
      <w:bodyDiv w:val="1"/>
      <w:marLeft w:val="0"/>
      <w:marRight w:val="0"/>
      <w:marTop w:val="0"/>
      <w:marBottom w:val="0"/>
      <w:divBdr>
        <w:top w:val="none" w:sz="0" w:space="0" w:color="auto"/>
        <w:left w:val="none" w:sz="0" w:space="0" w:color="auto"/>
        <w:bottom w:val="none" w:sz="0" w:space="0" w:color="auto"/>
        <w:right w:val="none" w:sz="0" w:space="0" w:color="auto"/>
      </w:divBdr>
    </w:div>
    <w:div w:id="205068449">
      <w:bodyDiv w:val="1"/>
      <w:marLeft w:val="0"/>
      <w:marRight w:val="0"/>
      <w:marTop w:val="0"/>
      <w:marBottom w:val="0"/>
      <w:divBdr>
        <w:top w:val="none" w:sz="0" w:space="0" w:color="auto"/>
        <w:left w:val="none" w:sz="0" w:space="0" w:color="auto"/>
        <w:bottom w:val="none" w:sz="0" w:space="0" w:color="auto"/>
        <w:right w:val="none" w:sz="0" w:space="0" w:color="auto"/>
      </w:divBdr>
    </w:div>
    <w:div w:id="205726621">
      <w:bodyDiv w:val="1"/>
      <w:marLeft w:val="0"/>
      <w:marRight w:val="0"/>
      <w:marTop w:val="0"/>
      <w:marBottom w:val="0"/>
      <w:divBdr>
        <w:top w:val="none" w:sz="0" w:space="0" w:color="auto"/>
        <w:left w:val="none" w:sz="0" w:space="0" w:color="auto"/>
        <w:bottom w:val="none" w:sz="0" w:space="0" w:color="auto"/>
        <w:right w:val="none" w:sz="0" w:space="0" w:color="auto"/>
      </w:divBdr>
    </w:div>
    <w:div w:id="206718812">
      <w:bodyDiv w:val="1"/>
      <w:marLeft w:val="0"/>
      <w:marRight w:val="0"/>
      <w:marTop w:val="0"/>
      <w:marBottom w:val="0"/>
      <w:divBdr>
        <w:top w:val="none" w:sz="0" w:space="0" w:color="auto"/>
        <w:left w:val="none" w:sz="0" w:space="0" w:color="auto"/>
        <w:bottom w:val="none" w:sz="0" w:space="0" w:color="auto"/>
        <w:right w:val="none" w:sz="0" w:space="0" w:color="auto"/>
      </w:divBdr>
    </w:div>
    <w:div w:id="206916821">
      <w:bodyDiv w:val="1"/>
      <w:marLeft w:val="0"/>
      <w:marRight w:val="0"/>
      <w:marTop w:val="0"/>
      <w:marBottom w:val="0"/>
      <w:divBdr>
        <w:top w:val="none" w:sz="0" w:space="0" w:color="auto"/>
        <w:left w:val="none" w:sz="0" w:space="0" w:color="auto"/>
        <w:bottom w:val="none" w:sz="0" w:space="0" w:color="auto"/>
        <w:right w:val="none" w:sz="0" w:space="0" w:color="auto"/>
      </w:divBdr>
    </w:div>
    <w:div w:id="207110185">
      <w:bodyDiv w:val="1"/>
      <w:marLeft w:val="0"/>
      <w:marRight w:val="0"/>
      <w:marTop w:val="0"/>
      <w:marBottom w:val="0"/>
      <w:divBdr>
        <w:top w:val="none" w:sz="0" w:space="0" w:color="auto"/>
        <w:left w:val="none" w:sz="0" w:space="0" w:color="auto"/>
        <w:bottom w:val="none" w:sz="0" w:space="0" w:color="auto"/>
        <w:right w:val="none" w:sz="0" w:space="0" w:color="auto"/>
      </w:divBdr>
    </w:div>
    <w:div w:id="207380716">
      <w:bodyDiv w:val="1"/>
      <w:marLeft w:val="0"/>
      <w:marRight w:val="0"/>
      <w:marTop w:val="0"/>
      <w:marBottom w:val="0"/>
      <w:divBdr>
        <w:top w:val="none" w:sz="0" w:space="0" w:color="auto"/>
        <w:left w:val="none" w:sz="0" w:space="0" w:color="auto"/>
        <w:bottom w:val="none" w:sz="0" w:space="0" w:color="auto"/>
        <w:right w:val="none" w:sz="0" w:space="0" w:color="auto"/>
      </w:divBdr>
    </w:div>
    <w:div w:id="211114590">
      <w:bodyDiv w:val="1"/>
      <w:marLeft w:val="0"/>
      <w:marRight w:val="0"/>
      <w:marTop w:val="0"/>
      <w:marBottom w:val="0"/>
      <w:divBdr>
        <w:top w:val="none" w:sz="0" w:space="0" w:color="auto"/>
        <w:left w:val="none" w:sz="0" w:space="0" w:color="auto"/>
        <w:bottom w:val="none" w:sz="0" w:space="0" w:color="auto"/>
        <w:right w:val="none" w:sz="0" w:space="0" w:color="auto"/>
      </w:divBdr>
    </w:div>
    <w:div w:id="214780880">
      <w:bodyDiv w:val="1"/>
      <w:marLeft w:val="0"/>
      <w:marRight w:val="0"/>
      <w:marTop w:val="0"/>
      <w:marBottom w:val="0"/>
      <w:divBdr>
        <w:top w:val="none" w:sz="0" w:space="0" w:color="auto"/>
        <w:left w:val="none" w:sz="0" w:space="0" w:color="auto"/>
        <w:bottom w:val="none" w:sz="0" w:space="0" w:color="auto"/>
        <w:right w:val="none" w:sz="0" w:space="0" w:color="auto"/>
      </w:divBdr>
    </w:div>
    <w:div w:id="216822128">
      <w:bodyDiv w:val="1"/>
      <w:marLeft w:val="0"/>
      <w:marRight w:val="0"/>
      <w:marTop w:val="0"/>
      <w:marBottom w:val="0"/>
      <w:divBdr>
        <w:top w:val="none" w:sz="0" w:space="0" w:color="auto"/>
        <w:left w:val="none" w:sz="0" w:space="0" w:color="auto"/>
        <w:bottom w:val="none" w:sz="0" w:space="0" w:color="auto"/>
        <w:right w:val="none" w:sz="0" w:space="0" w:color="auto"/>
      </w:divBdr>
    </w:div>
    <w:div w:id="218440591">
      <w:bodyDiv w:val="1"/>
      <w:marLeft w:val="0"/>
      <w:marRight w:val="0"/>
      <w:marTop w:val="0"/>
      <w:marBottom w:val="0"/>
      <w:divBdr>
        <w:top w:val="none" w:sz="0" w:space="0" w:color="auto"/>
        <w:left w:val="none" w:sz="0" w:space="0" w:color="auto"/>
        <w:bottom w:val="none" w:sz="0" w:space="0" w:color="auto"/>
        <w:right w:val="none" w:sz="0" w:space="0" w:color="auto"/>
      </w:divBdr>
    </w:div>
    <w:div w:id="218905576">
      <w:bodyDiv w:val="1"/>
      <w:marLeft w:val="0"/>
      <w:marRight w:val="0"/>
      <w:marTop w:val="0"/>
      <w:marBottom w:val="0"/>
      <w:divBdr>
        <w:top w:val="none" w:sz="0" w:space="0" w:color="auto"/>
        <w:left w:val="none" w:sz="0" w:space="0" w:color="auto"/>
        <w:bottom w:val="none" w:sz="0" w:space="0" w:color="auto"/>
        <w:right w:val="none" w:sz="0" w:space="0" w:color="auto"/>
      </w:divBdr>
    </w:div>
    <w:div w:id="219171703">
      <w:bodyDiv w:val="1"/>
      <w:marLeft w:val="0"/>
      <w:marRight w:val="0"/>
      <w:marTop w:val="0"/>
      <w:marBottom w:val="0"/>
      <w:divBdr>
        <w:top w:val="none" w:sz="0" w:space="0" w:color="auto"/>
        <w:left w:val="none" w:sz="0" w:space="0" w:color="auto"/>
        <w:bottom w:val="none" w:sz="0" w:space="0" w:color="auto"/>
        <w:right w:val="none" w:sz="0" w:space="0" w:color="auto"/>
      </w:divBdr>
    </w:div>
    <w:div w:id="219635503">
      <w:bodyDiv w:val="1"/>
      <w:marLeft w:val="0"/>
      <w:marRight w:val="0"/>
      <w:marTop w:val="0"/>
      <w:marBottom w:val="0"/>
      <w:divBdr>
        <w:top w:val="none" w:sz="0" w:space="0" w:color="auto"/>
        <w:left w:val="none" w:sz="0" w:space="0" w:color="auto"/>
        <w:bottom w:val="none" w:sz="0" w:space="0" w:color="auto"/>
        <w:right w:val="none" w:sz="0" w:space="0" w:color="auto"/>
      </w:divBdr>
    </w:div>
    <w:div w:id="220024370">
      <w:bodyDiv w:val="1"/>
      <w:marLeft w:val="0"/>
      <w:marRight w:val="0"/>
      <w:marTop w:val="0"/>
      <w:marBottom w:val="0"/>
      <w:divBdr>
        <w:top w:val="none" w:sz="0" w:space="0" w:color="auto"/>
        <w:left w:val="none" w:sz="0" w:space="0" w:color="auto"/>
        <w:bottom w:val="none" w:sz="0" w:space="0" w:color="auto"/>
        <w:right w:val="none" w:sz="0" w:space="0" w:color="auto"/>
      </w:divBdr>
    </w:div>
    <w:div w:id="220337331">
      <w:bodyDiv w:val="1"/>
      <w:marLeft w:val="0"/>
      <w:marRight w:val="0"/>
      <w:marTop w:val="0"/>
      <w:marBottom w:val="0"/>
      <w:divBdr>
        <w:top w:val="none" w:sz="0" w:space="0" w:color="auto"/>
        <w:left w:val="none" w:sz="0" w:space="0" w:color="auto"/>
        <w:bottom w:val="none" w:sz="0" w:space="0" w:color="auto"/>
        <w:right w:val="none" w:sz="0" w:space="0" w:color="auto"/>
      </w:divBdr>
    </w:div>
    <w:div w:id="221790269">
      <w:bodyDiv w:val="1"/>
      <w:marLeft w:val="0"/>
      <w:marRight w:val="0"/>
      <w:marTop w:val="0"/>
      <w:marBottom w:val="0"/>
      <w:divBdr>
        <w:top w:val="none" w:sz="0" w:space="0" w:color="auto"/>
        <w:left w:val="none" w:sz="0" w:space="0" w:color="auto"/>
        <w:bottom w:val="none" w:sz="0" w:space="0" w:color="auto"/>
        <w:right w:val="none" w:sz="0" w:space="0" w:color="auto"/>
      </w:divBdr>
    </w:div>
    <w:div w:id="224485796">
      <w:bodyDiv w:val="1"/>
      <w:marLeft w:val="0"/>
      <w:marRight w:val="0"/>
      <w:marTop w:val="0"/>
      <w:marBottom w:val="0"/>
      <w:divBdr>
        <w:top w:val="none" w:sz="0" w:space="0" w:color="auto"/>
        <w:left w:val="none" w:sz="0" w:space="0" w:color="auto"/>
        <w:bottom w:val="none" w:sz="0" w:space="0" w:color="auto"/>
        <w:right w:val="none" w:sz="0" w:space="0" w:color="auto"/>
      </w:divBdr>
    </w:div>
    <w:div w:id="226040280">
      <w:bodyDiv w:val="1"/>
      <w:marLeft w:val="0"/>
      <w:marRight w:val="0"/>
      <w:marTop w:val="0"/>
      <w:marBottom w:val="0"/>
      <w:divBdr>
        <w:top w:val="none" w:sz="0" w:space="0" w:color="auto"/>
        <w:left w:val="none" w:sz="0" w:space="0" w:color="auto"/>
        <w:bottom w:val="none" w:sz="0" w:space="0" w:color="auto"/>
        <w:right w:val="none" w:sz="0" w:space="0" w:color="auto"/>
      </w:divBdr>
    </w:div>
    <w:div w:id="226965654">
      <w:bodyDiv w:val="1"/>
      <w:marLeft w:val="0"/>
      <w:marRight w:val="0"/>
      <w:marTop w:val="0"/>
      <w:marBottom w:val="0"/>
      <w:divBdr>
        <w:top w:val="none" w:sz="0" w:space="0" w:color="auto"/>
        <w:left w:val="none" w:sz="0" w:space="0" w:color="auto"/>
        <w:bottom w:val="none" w:sz="0" w:space="0" w:color="auto"/>
        <w:right w:val="none" w:sz="0" w:space="0" w:color="auto"/>
      </w:divBdr>
    </w:div>
    <w:div w:id="228004246">
      <w:bodyDiv w:val="1"/>
      <w:marLeft w:val="0"/>
      <w:marRight w:val="0"/>
      <w:marTop w:val="0"/>
      <w:marBottom w:val="0"/>
      <w:divBdr>
        <w:top w:val="none" w:sz="0" w:space="0" w:color="auto"/>
        <w:left w:val="none" w:sz="0" w:space="0" w:color="auto"/>
        <w:bottom w:val="none" w:sz="0" w:space="0" w:color="auto"/>
        <w:right w:val="none" w:sz="0" w:space="0" w:color="auto"/>
      </w:divBdr>
    </w:div>
    <w:div w:id="229848843">
      <w:bodyDiv w:val="1"/>
      <w:marLeft w:val="0"/>
      <w:marRight w:val="0"/>
      <w:marTop w:val="0"/>
      <w:marBottom w:val="0"/>
      <w:divBdr>
        <w:top w:val="none" w:sz="0" w:space="0" w:color="auto"/>
        <w:left w:val="none" w:sz="0" w:space="0" w:color="auto"/>
        <w:bottom w:val="none" w:sz="0" w:space="0" w:color="auto"/>
        <w:right w:val="none" w:sz="0" w:space="0" w:color="auto"/>
      </w:divBdr>
    </w:div>
    <w:div w:id="232857520">
      <w:bodyDiv w:val="1"/>
      <w:marLeft w:val="0"/>
      <w:marRight w:val="0"/>
      <w:marTop w:val="0"/>
      <w:marBottom w:val="0"/>
      <w:divBdr>
        <w:top w:val="none" w:sz="0" w:space="0" w:color="auto"/>
        <w:left w:val="none" w:sz="0" w:space="0" w:color="auto"/>
        <w:bottom w:val="none" w:sz="0" w:space="0" w:color="auto"/>
        <w:right w:val="none" w:sz="0" w:space="0" w:color="auto"/>
      </w:divBdr>
    </w:div>
    <w:div w:id="232859274">
      <w:bodyDiv w:val="1"/>
      <w:marLeft w:val="0"/>
      <w:marRight w:val="0"/>
      <w:marTop w:val="0"/>
      <w:marBottom w:val="0"/>
      <w:divBdr>
        <w:top w:val="none" w:sz="0" w:space="0" w:color="auto"/>
        <w:left w:val="none" w:sz="0" w:space="0" w:color="auto"/>
        <w:bottom w:val="none" w:sz="0" w:space="0" w:color="auto"/>
        <w:right w:val="none" w:sz="0" w:space="0" w:color="auto"/>
      </w:divBdr>
    </w:div>
    <w:div w:id="234362158">
      <w:bodyDiv w:val="1"/>
      <w:marLeft w:val="0"/>
      <w:marRight w:val="0"/>
      <w:marTop w:val="0"/>
      <w:marBottom w:val="0"/>
      <w:divBdr>
        <w:top w:val="none" w:sz="0" w:space="0" w:color="auto"/>
        <w:left w:val="none" w:sz="0" w:space="0" w:color="auto"/>
        <w:bottom w:val="none" w:sz="0" w:space="0" w:color="auto"/>
        <w:right w:val="none" w:sz="0" w:space="0" w:color="auto"/>
      </w:divBdr>
    </w:div>
    <w:div w:id="241527386">
      <w:bodyDiv w:val="1"/>
      <w:marLeft w:val="0"/>
      <w:marRight w:val="0"/>
      <w:marTop w:val="0"/>
      <w:marBottom w:val="0"/>
      <w:divBdr>
        <w:top w:val="none" w:sz="0" w:space="0" w:color="auto"/>
        <w:left w:val="none" w:sz="0" w:space="0" w:color="auto"/>
        <w:bottom w:val="none" w:sz="0" w:space="0" w:color="auto"/>
        <w:right w:val="none" w:sz="0" w:space="0" w:color="auto"/>
      </w:divBdr>
    </w:div>
    <w:div w:id="243034272">
      <w:bodyDiv w:val="1"/>
      <w:marLeft w:val="0"/>
      <w:marRight w:val="0"/>
      <w:marTop w:val="0"/>
      <w:marBottom w:val="0"/>
      <w:divBdr>
        <w:top w:val="none" w:sz="0" w:space="0" w:color="auto"/>
        <w:left w:val="none" w:sz="0" w:space="0" w:color="auto"/>
        <w:bottom w:val="none" w:sz="0" w:space="0" w:color="auto"/>
        <w:right w:val="none" w:sz="0" w:space="0" w:color="auto"/>
      </w:divBdr>
    </w:div>
    <w:div w:id="248928078">
      <w:bodyDiv w:val="1"/>
      <w:marLeft w:val="0"/>
      <w:marRight w:val="0"/>
      <w:marTop w:val="0"/>
      <w:marBottom w:val="0"/>
      <w:divBdr>
        <w:top w:val="none" w:sz="0" w:space="0" w:color="auto"/>
        <w:left w:val="none" w:sz="0" w:space="0" w:color="auto"/>
        <w:bottom w:val="none" w:sz="0" w:space="0" w:color="auto"/>
        <w:right w:val="none" w:sz="0" w:space="0" w:color="auto"/>
      </w:divBdr>
    </w:div>
    <w:div w:id="248931594">
      <w:bodyDiv w:val="1"/>
      <w:marLeft w:val="0"/>
      <w:marRight w:val="0"/>
      <w:marTop w:val="0"/>
      <w:marBottom w:val="0"/>
      <w:divBdr>
        <w:top w:val="none" w:sz="0" w:space="0" w:color="auto"/>
        <w:left w:val="none" w:sz="0" w:space="0" w:color="auto"/>
        <w:bottom w:val="none" w:sz="0" w:space="0" w:color="auto"/>
        <w:right w:val="none" w:sz="0" w:space="0" w:color="auto"/>
      </w:divBdr>
    </w:div>
    <w:div w:id="253130129">
      <w:bodyDiv w:val="1"/>
      <w:marLeft w:val="0"/>
      <w:marRight w:val="0"/>
      <w:marTop w:val="0"/>
      <w:marBottom w:val="0"/>
      <w:divBdr>
        <w:top w:val="none" w:sz="0" w:space="0" w:color="auto"/>
        <w:left w:val="none" w:sz="0" w:space="0" w:color="auto"/>
        <w:bottom w:val="none" w:sz="0" w:space="0" w:color="auto"/>
        <w:right w:val="none" w:sz="0" w:space="0" w:color="auto"/>
      </w:divBdr>
    </w:div>
    <w:div w:id="255674364">
      <w:bodyDiv w:val="1"/>
      <w:marLeft w:val="0"/>
      <w:marRight w:val="0"/>
      <w:marTop w:val="0"/>
      <w:marBottom w:val="0"/>
      <w:divBdr>
        <w:top w:val="none" w:sz="0" w:space="0" w:color="auto"/>
        <w:left w:val="none" w:sz="0" w:space="0" w:color="auto"/>
        <w:bottom w:val="none" w:sz="0" w:space="0" w:color="auto"/>
        <w:right w:val="none" w:sz="0" w:space="0" w:color="auto"/>
      </w:divBdr>
    </w:div>
    <w:div w:id="259025276">
      <w:bodyDiv w:val="1"/>
      <w:marLeft w:val="0"/>
      <w:marRight w:val="0"/>
      <w:marTop w:val="0"/>
      <w:marBottom w:val="0"/>
      <w:divBdr>
        <w:top w:val="none" w:sz="0" w:space="0" w:color="auto"/>
        <w:left w:val="none" w:sz="0" w:space="0" w:color="auto"/>
        <w:bottom w:val="none" w:sz="0" w:space="0" w:color="auto"/>
        <w:right w:val="none" w:sz="0" w:space="0" w:color="auto"/>
      </w:divBdr>
    </w:div>
    <w:div w:id="259145583">
      <w:bodyDiv w:val="1"/>
      <w:marLeft w:val="0"/>
      <w:marRight w:val="0"/>
      <w:marTop w:val="0"/>
      <w:marBottom w:val="0"/>
      <w:divBdr>
        <w:top w:val="none" w:sz="0" w:space="0" w:color="auto"/>
        <w:left w:val="none" w:sz="0" w:space="0" w:color="auto"/>
        <w:bottom w:val="none" w:sz="0" w:space="0" w:color="auto"/>
        <w:right w:val="none" w:sz="0" w:space="0" w:color="auto"/>
      </w:divBdr>
    </w:div>
    <w:div w:id="260527875">
      <w:bodyDiv w:val="1"/>
      <w:marLeft w:val="0"/>
      <w:marRight w:val="0"/>
      <w:marTop w:val="0"/>
      <w:marBottom w:val="0"/>
      <w:divBdr>
        <w:top w:val="none" w:sz="0" w:space="0" w:color="auto"/>
        <w:left w:val="none" w:sz="0" w:space="0" w:color="auto"/>
        <w:bottom w:val="none" w:sz="0" w:space="0" w:color="auto"/>
        <w:right w:val="none" w:sz="0" w:space="0" w:color="auto"/>
      </w:divBdr>
    </w:div>
    <w:div w:id="261425704">
      <w:bodyDiv w:val="1"/>
      <w:marLeft w:val="0"/>
      <w:marRight w:val="0"/>
      <w:marTop w:val="0"/>
      <w:marBottom w:val="0"/>
      <w:divBdr>
        <w:top w:val="none" w:sz="0" w:space="0" w:color="auto"/>
        <w:left w:val="none" w:sz="0" w:space="0" w:color="auto"/>
        <w:bottom w:val="none" w:sz="0" w:space="0" w:color="auto"/>
        <w:right w:val="none" w:sz="0" w:space="0" w:color="auto"/>
      </w:divBdr>
    </w:div>
    <w:div w:id="263390200">
      <w:bodyDiv w:val="1"/>
      <w:marLeft w:val="0"/>
      <w:marRight w:val="0"/>
      <w:marTop w:val="0"/>
      <w:marBottom w:val="0"/>
      <w:divBdr>
        <w:top w:val="none" w:sz="0" w:space="0" w:color="auto"/>
        <w:left w:val="none" w:sz="0" w:space="0" w:color="auto"/>
        <w:bottom w:val="none" w:sz="0" w:space="0" w:color="auto"/>
        <w:right w:val="none" w:sz="0" w:space="0" w:color="auto"/>
      </w:divBdr>
    </w:div>
    <w:div w:id="263658680">
      <w:bodyDiv w:val="1"/>
      <w:marLeft w:val="0"/>
      <w:marRight w:val="0"/>
      <w:marTop w:val="0"/>
      <w:marBottom w:val="0"/>
      <w:divBdr>
        <w:top w:val="none" w:sz="0" w:space="0" w:color="auto"/>
        <w:left w:val="none" w:sz="0" w:space="0" w:color="auto"/>
        <w:bottom w:val="none" w:sz="0" w:space="0" w:color="auto"/>
        <w:right w:val="none" w:sz="0" w:space="0" w:color="auto"/>
      </w:divBdr>
    </w:div>
    <w:div w:id="263805654">
      <w:bodyDiv w:val="1"/>
      <w:marLeft w:val="0"/>
      <w:marRight w:val="0"/>
      <w:marTop w:val="0"/>
      <w:marBottom w:val="0"/>
      <w:divBdr>
        <w:top w:val="none" w:sz="0" w:space="0" w:color="auto"/>
        <w:left w:val="none" w:sz="0" w:space="0" w:color="auto"/>
        <w:bottom w:val="none" w:sz="0" w:space="0" w:color="auto"/>
        <w:right w:val="none" w:sz="0" w:space="0" w:color="auto"/>
      </w:divBdr>
    </w:div>
    <w:div w:id="264117757">
      <w:bodyDiv w:val="1"/>
      <w:marLeft w:val="0"/>
      <w:marRight w:val="0"/>
      <w:marTop w:val="0"/>
      <w:marBottom w:val="0"/>
      <w:divBdr>
        <w:top w:val="none" w:sz="0" w:space="0" w:color="auto"/>
        <w:left w:val="none" w:sz="0" w:space="0" w:color="auto"/>
        <w:bottom w:val="none" w:sz="0" w:space="0" w:color="auto"/>
        <w:right w:val="none" w:sz="0" w:space="0" w:color="auto"/>
      </w:divBdr>
    </w:div>
    <w:div w:id="266617634">
      <w:bodyDiv w:val="1"/>
      <w:marLeft w:val="0"/>
      <w:marRight w:val="0"/>
      <w:marTop w:val="0"/>
      <w:marBottom w:val="0"/>
      <w:divBdr>
        <w:top w:val="none" w:sz="0" w:space="0" w:color="auto"/>
        <w:left w:val="none" w:sz="0" w:space="0" w:color="auto"/>
        <w:bottom w:val="none" w:sz="0" w:space="0" w:color="auto"/>
        <w:right w:val="none" w:sz="0" w:space="0" w:color="auto"/>
      </w:divBdr>
    </w:div>
    <w:div w:id="267978235">
      <w:bodyDiv w:val="1"/>
      <w:marLeft w:val="0"/>
      <w:marRight w:val="0"/>
      <w:marTop w:val="0"/>
      <w:marBottom w:val="0"/>
      <w:divBdr>
        <w:top w:val="none" w:sz="0" w:space="0" w:color="auto"/>
        <w:left w:val="none" w:sz="0" w:space="0" w:color="auto"/>
        <w:bottom w:val="none" w:sz="0" w:space="0" w:color="auto"/>
        <w:right w:val="none" w:sz="0" w:space="0" w:color="auto"/>
      </w:divBdr>
    </w:div>
    <w:div w:id="270208095">
      <w:bodyDiv w:val="1"/>
      <w:marLeft w:val="0"/>
      <w:marRight w:val="0"/>
      <w:marTop w:val="0"/>
      <w:marBottom w:val="0"/>
      <w:divBdr>
        <w:top w:val="none" w:sz="0" w:space="0" w:color="auto"/>
        <w:left w:val="none" w:sz="0" w:space="0" w:color="auto"/>
        <w:bottom w:val="none" w:sz="0" w:space="0" w:color="auto"/>
        <w:right w:val="none" w:sz="0" w:space="0" w:color="auto"/>
      </w:divBdr>
    </w:div>
    <w:div w:id="270748594">
      <w:bodyDiv w:val="1"/>
      <w:marLeft w:val="0"/>
      <w:marRight w:val="0"/>
      <w:marTop w:val="0"/>
      <w:marBottom w:val="0"/>
      <w:divBdr>
        <w:top w:val="none" w:sz="0" w:space="0" w:color="auto"/>
        <w:left w:val="none" w:sz="0" w:space="0" w:color="auto"/>
        <w:bottom w:val="none" w:sz="0" w:space="0" w:color="auto"/>
        <w:right w:val="none" w:sz="0" w:space="0" w:color="auto"/>
      </w:divBdr>
    </w:div>
    <w:div w:id="271321821">
      <w:bodyDiv w:val="1"/>
      <w:marLeft w:val="0"/>
      <w:marRight w:val="0"/>
      <w:marTop w:val="0"/>
      <w:marBottom w:val="0"/>
      <w:divBdr>
        <w:top w:val="none" w:sz="0" w:space="0" w:color="auto"/>
        <w:left w:val="none" w:sz="0" w:space="0" w:color="auto"/>
        <w:bottom w:val="none" w:sz="0" w:space="0" w:color="auto"/>
        <w:right w:val="none" w:sz="0" w:space="0" w:color="auto"/>
      </w:divBdr>
    </w:div>
    <w:div w:id="273560503">
      <w:bodyDiv w:val="1"/>
      <w:marLeft w:val="0"/>
      <w:marRight w:val="0"/>
      <w:marTop w:val="0"/>
      <w:marBottom w:val="0"/>
      <w:divBdr>
        <w:top w:val="none" w:sz="0" w:space="0" w:color="auto"/>
        <w:left w:val="none" w:sz="0" w:space="0" w:color="auto"/>
        <w:bottom w:val="none" w:sz="0" w:space="0" w:color="auto"/>
        <w:right w:val="none" w:sz="0" w:space="0" w:color="auto"/>
      </w:divBdr>
    </w:div>
    <w:div w:id="284164267">
      <w:bodyDiv w:val="1"/>
      <w:marLeft w:val="0"/>
      <w:marRight w:val="0"/>
      <w:marTop w:val="0"/>
      <w:marBottom w:val="0"/>
      <w:divBdr>
        <w:top w:val="none" w:sz="0" w:space="0" w:color="auto"/>
        <w:left w:val="none" w:sz="0" w:space="0" w:color="auto"/>
        <w:bottom w:val="none" w:sz="0" w:space="0" w:color="auto"/>
        <w:right w:val="none" w:sz="0" w:space="0" w:color="auto"/>
      </w:divBdr>
    </w:div>
    <w:div w:id="285620402">
      <w:bodyDiv w:val="1"/>
      <w:marLeft w:val="0"/>
      <w:marRight w:val="0"/>
      <w:marTop w:val="0"/>
      <w:marBottom w:val="0"/>
      <w:divBdr>
        <w:top w:val="none" w:sz="0" w:space="0" w:color="auto"/>
        <w:left w:val="none" w:sz="0" w:space="0" w:color="auto"/>
        <w:bottom w:val="none" w:sz="0" w:space="0" w:color="auto"/>
        <w:right w:val="none" w:sz="0" w:space="0" w:color="auto"/>
      </w:divBdr>
    </w:div>
    <w:div w:id="287008827">
      <w:bodyDiv w:val="1"/>
      <w:marLeft w:val="0"/>
      <w:marRight w:val="0"/>
      <w:marTop w:val="0"/>
      <w:marBottom w:val="0"/>
      <w:divBdr>
        <w:top w:val="none" w:sz="0" w:space="0" w:color="auto"/>
        <w:left w:val="none" w:sz="0" w:space="0" w:color="auto"/>
        <w:bottom w:val="none" w:sz="0" w:space="0" w:color="auto"/>
        <w:right w:val="none" w:sz="0" w:space="0" w:color="auto"/>
      </w:divBdr>
    </w:div>
    <w:div w:id="287399325">
      <w:bodyDiv w:val="1"/>
      <w:marLeft w:val="0"/>
      <w:marRight w:val="0"/>
      <w:marTop w:val="0"/>
      <w:marBottom w:val="0"/>
      <w:divBdr>
        <w:top w:val="none" w:sz="0" w:space="0" w:color="auto"/>
        <w:left w:val="none" w:sz="0" w:space="0" w:color="auto"/>
        <w:bottom w:val="none" w:sz="0" w:space="0" w:color="auto"/>
        <w:right w:val="none" w:sz="0" w:space="0" w:color="auto"/>
      </w:divBdr>
    </w:div>
    <w:div w:id="288056259">
      <w:bodyDiv w:val="1"/>
      <w:marLeft w:val="0"/>
      <w:marRight w:val="0"/>
      <w:marTop w:val="0"/>
      <w:marBottom w:val="0"/>
      <w:divBdr>
        <w:top w:val="none" w:sz="0" w:space="0" w:color="auto"/>
        <w:left w:val="none" w:sz="0" w:space="0" w:color="auto"/>
        <w:bottom w:val="none" w:sz="0" w:space="0" w:color="auto"/>
        <w:right w:val="none" w:sz="0" w:space="0" w:color="auto"/>
      </w:divBdr>
    </w:div>
    <w:div w:id="289046333">
      <w:bodyDiv w:val="1"/>
      <w:marLeft w:val="0"/>
      <w:marRight w:val="0"/>
      <w:marTop w:val="0"/>
      <w:marBottom w:val="0"/>
      <w:divBdr>
        <w:top w:val="none" w:sz="0" w:space="0" w:color="auto"/>
        <w:left w:val="none" w:sz="0" w:space="0" w:color="auto"/>
        <w:bottom w:val="none" w:sz="0" w:space="0" w:color="auto"/>
        <w:right w:val="none" w:sz="0" w:space="0" w:color="auto"/>
      </w:divBdr>
    </w:div>
    <w:div w:id="292298571">
      <w:bodyDiv w:val="1"/>
      <w:marLeft w:val="0"/>
      <w:marRight w:val="0"/>
      <w:marTop w:val="0"/>
      <w:marBottom w:val="0"/>
      <w:divBdr>
        <w:top w:val="none" w:sz="0" w:space="0" w:color="auto"/>
        <w:left w:val="none" w:sz="0" w:space="0" w:color="auto"/>
        <w:bottom w:val="none" w:sz="0" w:space="0" w:color="auto"/>
        <w:right w:val="none" w:sz="0" w:space="0" w:color="auto"/>
      </w:divBdr>
    </w:div>
    <w:div w:id="293096056">
      <w:bodyDiv w:val="1"/>
      <w:marLeft w:val="0"/>
      <w:marRight w:val="0"/>
      <w:marTop w:val="0"/>
      <w:marBottom w:val="0"/>
      <w:divBdr>
        <w:top w:val="none" w:sz="0" w:space="0" w:color="auto"/>
        <w:left w:val="none" w:sz="0" w:space="0" w:color="auto"/>
        <w:bottom w:val="none" w:sz="0" w:space="0" w:color="auto"/>
        <w:right w:val="none" w:sz="0" w:space="0" w:color="auto"/>
      </w:divBdr>
    </w:div>
    <w:div w:id="293371039">
      <w:bodyDiv w:val="1"/>
      <w:marLeft w:val="0"/>
      <w:marRight w:val="0"/>
      <w:marTop w:val="0"/>
      <w:marBottom w:val="0"/>
      <w:divBdr>
        <w:top w:val="none" w:sz="0" w:space="0" w:color="auto"/>
        <w:left w:val="none" w:sz="0" w:space="0" w:color="auto"/>
        <w:bottom w:val="none" w:sz="0" w:space="0" w:color="auto"/>
        <w:right w:val="none" w:sz="0" w:space="0" w:color="auto"/>
      </w:divBdr>
    </w:div>
    <w:div w:id="294914632">
      <w:bodyDiv w:val="1"/>
      <w:marLeft w:val="0"/>
      <w:marRight w:val="0"/>
      <w:marTop w:val="0"/>
      <w:marBottom w:val="0"/>
      <w:divBdr>
        <w:top w:val="none" w:sz="0" w:space="0" w:color="auto"/>
        <w:left w:val="none" w:sz="0" w:space="0" w:color="auto"/>
        <w:bottom w:val="none" w:sz="0" w:space="0" w:color="auto"/>
        <w:right w:val="none" w:sz="0" w:space="0" w:color="auto"/>
      </w:divBdr>
    </w:div>
    <w:div w:id="296032797">
      <w:bodyDiv w:val="1"/>
      <w:marLeft w:val="0"/>
      <w:marRight w:val="0"/>
      <w:marTop w:val="0"/>
      <w:marBottom w:val="0"/>
      <w:divBdr>
        <w:top w:val="none" w:sz="0" w:space="0" w:color="auto"/>
        <w:left w:val="none" w:sz="0" w:space="0" w:color="auto"/>
        <w:bottom w:val="none" w:sz="0" w:space="0" w:color="auto"/>
        <w:right w:val="none" w:sz="0" w:space="0" w:color="auto"/>
      </w:divBdr>
    </w:div>
    <w:div w:id="296184114">
      <w:bodyDiv w:val="1"/>
      <w:marLeft w:val="0"/>
      <w:marRight w:val="0"/>
      <w:marTop w:val="0"/>
      <w:marBottom w:val="0"/>
      <w:divBdr>
        <w:top w:val="none" w:sz="0" w:space="0" w:color="auto"/>
        <w:left w:val="none" w:sz="0" w:space="0" w:color="auto"/>
        <w:bottom w:val="none" w:sz="0" w:space="0" w:color="auto"/>
        <w:right w:val="none" w:sz="0" w:space="0" w:color="auto"/>
      </w:divBdr>
    </w:div>
    <w:div w:id="298387275">
      <w:bodyDiv w:val="1"/>
      <w:marLeft w:val="0"/>
      <w:marRight w:val="0"/>
      <w:marTop w:val="0"/>
      <w:marBottom w:val="0"/>
      <w:divBdr>
        <w:top w:val="none" w:sz="0" w:space="0" w:color="auto"/>
        <w:left w:val="none" w:sz="0" w:space="0" w:color="auto"/>
        <w:bottom w:val="none" w:sz="0" w:space="0" w:color="auto"/>
        <w:right w:val="none" w:sz="0" w:space="0" w:color="auto"/>
      </w:divBdr>
    </w:div>
    <w:div w:id="298465230">
      <w:bodyDiv w:val="1"/>
      <w:marLeft w:val="0"/>
      <w:marRight w:val="0"/>
      <w:marTop w:val="0"/>
      <w:marBottom w:val="0"/>
      <w:divBdr>
        <w:top w:val="none" w:sz="0" w:space="0" w:color="auto"/>
        <w:left w:val="none" w:sz="0" w:space="0" w:color="auto"/>
        <w:bottom w:val="none" w:sz="0" w:space="0" w:color="auto"/>
        <w:right w:val="none" w:sz="0" w:space="0" w:color="auto"/>
      </w:divBdr>
    </w:div>
    <w:div w:id="298729728">
      <w:bodyDiv w:val="1"/>
      <w:marLeft w:val="0"/>
      <w:marRight w:val="0"/>
      <w:marTop w:val="0"/>
      <w:marBottom w:val="0"/>
      <w:divBdr>
        <w:top w:val="none" w:sz="0" w:space="0" w:color="auto"/>
        <w:left w:val="none" w:sz="0" w:space="0" w:color="auto"/>
        <w:bottom w:val="none" w:sz="0" w:space="0" w:color="auto"/>
        <w:right w:val="none" w:sz="0" w:space="0" w:color="auto"/>
      </w:divBdr>
    </w:div>
    <w:div w:id="300888307">
      <w:bodyDiv w:val="1"/>
      <w:marLeft w:val="0"/>
      <w:marRight w:val="0"/>
      <w:marTop w:val="0"/>
      <w:marBottom w:val="0"/>
      <w:divBdr>
        <w:top w:val="none" w:sz="0" w:space="0" w:color="auto"/>
        <w:left w:val="none" w:sz="0" w:space="0" w:color="auto"/>
        <w:bottom w:val="none" w:sz="0" w:space="0" w:color="auto"/>
        <w:right w:val="none" w:sz="0" w:space="0" w:color="auto"/>
      </w:divBdr>
    </w:div>
    <w:div w:id="303170097">
      <w:bodyDiv w:val="1"/>
      <w:marLeft w:val="0"/>
      <w:marRight w:val="0"/>
      <w:marTop w:val="0"/>
      <w:marBottom w:val="0"/>
      <w:divBdr>
        <w:top w:val="none" w:sz="0" w:space="0" w:color="auto"/>
        <w:left w:val="none" w:sz="0" w:space="0" w:color="auto"/>
        <w:bottom w:val="none" w:sz="0" w:space="0" w:color="auto"/>
        <w:right w:val="none" w:sz="0" w:space="0" w:color="auto"/>
      </w:divBdr>
    </w:div>
    <w:div w:id="303396182">
      <w:bodyDiv w:val="1"/>
      <w:marLeft w:val="0"/>
      <w:marRight w:val="0"/>
      <w:marTop w:val="0"/>
      <w:marBottom w:val="0"/>
      <w:divBdr>
        <w:top w:val="none" w:sz="0" w:space="0" w:color="auto"/>
        <w:left w:val="none" w:sz="0" w:space="0" w:color="auto"/>
        <w:bottom w:val="none" w:sz="0" w:space="0" w:color="auto"/>
        <w:right w:val="none" w:sz="0" w:space="0" w:color="auto"/>
      </w:divBdr>
    </w:div>
    <w:div w:id="303587657">
      <w:bodyDiv w:val="1"/>
      <w:marLeft w:val="0"/>
      <w:marRight w:val="0"/>
      <w:marTop w:val="0"/>
      <w:marBottom w:val="0"/>
      <w:divBdr>
        <w:top w:val="none" w:sz="0" w:space="0" w:color="auto"/>
        <w:left w:val="none" w:sz="0" w:space="0" w:color="auto"/>
        <w:bottom w:val="none" w:sz="0" w:space="0" w:color="auto"/>
        <w:right w:val="none" w:sz="0" w:space="0" w:color="auto"/>
      </w:divBdr>
    </w:div>
    <w:div w:id="304285450">
      <w:bodyDiv w:val="1"/>
      <w:marLeft w:val="0"/>
      <w:marRight w:val="0"/>
      <w:marTop w:val="0"/>
      <w:marBottom w:val="0"/>
      <w:divBdr>
        <w:top w:val="none" w:sz="0" w:space="0" w:color="auto"/>
        <w:left w:val="none" w:sz="0" w:space="0" w:color="auto"/>
        <w:bottom w:val="none" w:sz="0" w:space="0" w:color="auto"/>
        <w:right w:val="none" w:sz="0" w:space="0" w:color="auto"/>
      </w:divBdr>
    </w:div>
    <w:div w:id="304628991">
      <w:bodyDiv w:val="1"/>
      <w:marLeft w:val="0"/>
      <w:marRight w:val="0"/>
      <w:marTop w:val="0"/>
      <w:marBottom w:val="0"/>
      <w:divBdr>
        <w:top w:val="none" w:sz="0" w:space="0" w:color="auto"/>
        <w:left w:val="none" w:sz="0" w:space="0" w:color="auto"/>
        <w:bottom w:val="none" w:sz="0" w:space="0" w:color="auto"/>
        <w:right w:val="none" w:sz="0" w:space="0" w:color="auto"/>
      </w:divBdr>
    </w:div>
    <w:div w:id="304629870">
      <w:bodyDiv w:val="1"/>
      <w:marLeft w:val="0"/>
      <w:marRight w:val="0"/>
      <w:marTop w:val="0"/>
      <w:marBottom w:val="0"/>
      <w:divBdr>
        <w:top w:val="none" w:sz="0" w:space="0" w:color="auto"/>
        <w:left w:val="none" w:sz="0" w:space="0" w:color="auto"/>
        <w:bottom w:val="none" w:sz="0" w:space="0" w:color="auto"/>
        <w:right w:val="none" w:sz="0" w:space="0" w:color="auto"/>
      </w:divBdr>
    </w:div>
    <w:div w:id="307786045">
      <w:bodyDiv w:val="1"/>
      <w:marLeft w:val="0"/>
      <w:marRight w:val="0"/>
      <w:marTop w:val="0"/>
      <w:marBottom w:val="0"/>
      <w:divBdr>
        <w:top w:val="none" w:sz="0" w:space="0" w:color="auto"/>
        <w:left w:val="none" w:sz="0" w:space="0" w:color="auto"/>
        <w:bottom w:val="none" w:sz="0" w:space="0" w:color="auto"/>
        <w:right w:val="none" w:sz="0" w:space="0" w:color="auto"/>
      </w:divBdr>
    </w:div>
    <w:div w:id="308051600">
      <w:bodyDiv w:val="1"/>
      <w:marLeft w:val="0"/>
      <w:marRight w:val="0"/>
      <w:marTop w:val="0"/>
      <w:marBottom w:val="0"/>
      <w:divBdr>
        <w:top w:val="none" w:sz="0" w:space="0" w:color="auto"/>
        <w:left w:val="none" w:sz="0" w:space="0" w:color="auto"/>
        <w:bottom w:val="none" w:sz="0" w:space="0" w:color="auto"/>
        <w:right w:val="none" w:sz="0" w:space="0" w:color="auto"/>
      </w:divBdr>
    </w:div>
    <w:div w:id="308286964">
      <w:bodyDiv w:val="1"/>
      <w:marLeft w:val="0"/>
      <w:marRight w:val="0"/>
      <w:marTop w:val="0"/>
      <w:marBottom w:val="0"/>
      <w:divBdr>
        <w:top w:val="none" w:sz="0" w:space="0" w:color="auto"/>
        <w:left w:val="none" w:sz="0" w:space="0" w:color="auto"/>
        <w:bottom w:val="none" w:sz="0" w:space="0" w:color="auto"/>
        <w:right w:val="none" w:sz="0" w:space="0" w:color="auto"/>
      </w:divBdr>
    </w:div>
    <w:div w:id="308940548">
      <w:bodyDiv w:val="1"/>
      <w:marLeft w:val="0"/>
      <w:marRight w:val="0"/>
      <w:marTop w:val="0"/>
      <w:marBottom w:val="0"/>
      <w:divBdr>
        <w:top w:val="none" w:sz="0" w:space="0" w:color="auto"/>
        <w:left w:val="none" w:sz="0" w:space="0" w:color="auto"/>
        <w:bottom w:val="none" w:sz="0" w:space="0" w:color="auto"/>
        <w:right w:val="none" w:sz="0" w:space="0" w:color="auto"/>
      </w:divBdr>
    </w:div>
    <w:div w:id="309093105">
      <w:bodyDiv w:val="1"/>
      <w:marLeft w:val="0"/>
      <w:marRight w:val="0"/>
      <w:marTop w:val="0"/>
      <w:marBottom w:val="0"/>
      <w:divBdr>
        <w:top w:val="none" w:sz="0" w:space="0" w:color="auto"/>
        <w:left w:val="none" w:sz="0" w:space="0" w:color="auto"/>
        <w:bottom w:val="none" w:sz="0" w:space="0" w:color="auto"/>
        <w:right w:val="none" w:sz="0" w:space="0" w:color="auto"/>
      </w:divBdr>
    </w:div>
    <w:div w:id="310064634">
      <w:bodyDiv w:val="1"/>
      <w:marLeft w:val="0"/>
      <w:marRight w:val="0"/>
      <w:marTop w:val="0"/>
      <w:marBottom w:val="0"/>
      <w:divBdr>
        <w:top w:val="none" w:sz="0" w:space="0" w:color="auto"/>
        <w:left w:val="none" w:sz="0" w:space="0" w:color="auto"/>
        <w:bottom w:val="none" w:sz="0" w:space="0" w:color="auto"/>
        <w:right w:val="none" w:sz="0" w:space="0" w:color="auto"/>
      </w:divBdr>
    </w:div>
    <w:div w:id="311450864">
      <w:bodyDiv w:val="1"/>
      <w:marLeft w:val="0"/>
      <w:marRight w:val="0"/>
      <w:marTop w:val="0"/>
      <w:marBottom w:val="0"/>
      <w:divBdr>
        <w:top w:val="none" w:sz="0" w:space="0" w:color="auto"/>
        <w:left w:val="none" w:sz="0" w:space="0" w:color="auto"/>
        <w:bottom w:val="none" w:sz="0" w:space="0" w:color="auto"/>
        <w:right w:val="none" w:sz="0" w:space="0" w:color="auto"/>
      </w:divBdr>
    </w:div>
    <w:div w:id="312638951">
      <w:bodyDiv w:val="1"/>
      <w:marLeft w:val="0"/>
      <w:marRight w:val="0"/>
      <w:marTop w:val="0"/>
      <w:marBottom w:val="0"/>
      <w:divBdr>
        <w:top w:val="none" w:sz="0" w:space="0" w:color="auto"/>
        <w:left w:val="none" w:sz="0" w:space="0" w:color="auto"/>
        <w:bottom w:val="none" w:sz="0" w:space="0" w:color="auto"/>
        <w:right w:val="none" w:sz="0" w:space="0" w:color="auto"/>
      </w:divBdr>
    </w:div>
    <w:div w:id="313727770">
      <w:bodyDiv w:val="1"/>
      <w:marLeft w:val="0"/>
      <w:marRight w:val="0"/>
      <w:marTop w:val="0"/>
      <w:marBottom w:val="0"/>
      <w:divBdr>
        <w:top w:val="none" w:sz="0" w:space="0" w:color="auto"/>
        <w:left w:val="none" w:sz="0" w:space="0" w:color="auto"/>
        <w:bottom w:val="none" w:sz="0" w:space="0" w:color="auto"/>
        <w:right w:val="none" w:sz="0" w:space="0" w:color="auto"/>
      </w:divBdr>
    </w:div>
    <w:div w:id="314726975">
      <w:bodyDiv w:val="1"/>
      <w:marLeft w:val="0"/>
      <w:marRight w:val="0"/>
      <w:marTop w:val="0"/>
      <w:marBottom w:val="0"/>
      <w:divBdr>
        <w:top w:val="none" w:sz="0" w:space="0" w:color="auto"/>
        <w:left w:val="none" w:sz="0" w:space="0" w:color="auto"/>
        <w:bottom w:val="none" w:sz="0" w:space="0" w:color="auto"/>
        <w:right w:val="none" w:sz="0" w:space="0" w:color="auto"/>
      </w:divBdr>
    </w:div>
    <w:div w:id="318576265">
      <w:bodyDiv w:val="1"/>
      <w:marLeft w:val="0"/>
      <w:marRight w:val="0"/>
      <w:marTop w:val="0"/>
      <w:marBottom w:val="0"/>
      <w:divBdr>
        <w:top w:val="none" w:sz="0" w:space="0" w:color="auto"/>
        <w:left w:val="none" w:sz="0" w:space="0" w:color="auto"/>
        <w:bottom w:val="none" w:sz="0" w:space="0" w:color="auto"/>
        <w:right w:val="none" w:sz="0" w:space="0" w:color="auto"/>
      </w:divBdr>
    </w:div>
    <w:div w:id="319777131">
      <w:bodyDiv w:val="1"/>
      <w:marLeft w:val="0"/>
      <w:marRight w:val="0"/>
      <w:marTop w:val="0"/>
      <w:marBottom w:val="0"/>
      <w:divBdr>
        <w:top w:val="none" w:sz="0" w:space="0" w:color="auto"/>
        <w:left w:val="none" w:sz="0" w:space="0" w:color="auto"/>
        <w:bottom w:val="none" w:sz="0" w:space="0" w:color="auto"/>
        <w:right w:val="none" w:sz="0" w:space="0" w:color="auto"/>
      </w:divBdr>
    </w:div>
    <w:div w:id="321855799">
      <w:bodyDiv w:val="1"/>
      <w:marLeft w:val="0"/>
      <w:marRight w:val="0"/>
      <w:marTop w:val="0"/>
      <w:marBottom w:val="0"/>
      <w:divBdr>
        <w:top w:val="none" w:sz="0" w:space="0" w:color="auto"/>
        <w:left w:val="none" w:sz="0" w:space="0" w:color="auto"/>
        <w:bottom w:val="none" w:sz="0" w:space="0" w:color="auto"/>
        <w:right w:val="none" w:sz="0" w:space="0" w:color="auto"/>
      </w:divBdr>
    </w:div>
    <w:div w:id="324163231">
      <w:bodyDiv w:val="1"/>
      <w:marLeft w:val="0"/>
      <w:marRight w:val="0"/>
      <w:marTop w:val="0"/>
      <w:marBottom w:val="0"/>
      <w:divBdr>
        <w:top w:val="none" w:sz="0" w:space="0" w:color="auto"/>
        <w:left w:val="none" w:sz="0" w:space="0" w:color="auto"/>
        <w:bottom w:val="none" w:sz="0" w:space="0" w:color="auto"/>
        <w:right w:val="none" w:sz="0" w:space="0" w:color="auto"/>
      </w:divBdr>
    </w:div>
    <w:div w:id="325864748">
      <w:bodyDiv w:val="1"/>
      <w:marLeft w:val="0"/>
      <w:marRight w:val="0"/>
      <w:marTop w:val="0"/>
      <w:marBottom w:val="0"/>
      <w:divBdr>
        <w:top w:val="none" w:sz="0" w:space="0" w:color="auto"/>
        <w:left w:val="none" w:sz="0" w:space="0" w:color="auto"/>
        <w:bottom w:val="none" w:sz="0" w:space="0" w:color="auto"/>
        <w:right w:val="none" w:sz="0" w:space="0" w:color="auto"/>
      </w:divBdr>
    </w:div>
    <w:div w:id="326054673">
      <w:bodyDiv w:val="1"/>
      <w:marLeft w:val="0"/>
      <w:marRight w:val="0"/>
      <w:marTop w:val="0"/>
      <w:marBottom w:val="0"/>
      <w:divBdr>
        <w:top w:val="none" w:sz="0" w:space="0" w:color="auto"/>
        <w:left w:val="none" w:sz="0" w:space="0" w:color="auto"/>
        <w:bottom w:val="none" w:sz="0" w:space="0" w:color="auto"/>
        <w:right w:val="none" w:sz="0" w:space="0" w:color="auto"/>
      </w:divBdr>
    </w:div>
    <w:div w:id="326595651">
      <w:bodyDiv w:val="1"/>
      <w:marLeft w:val="0"/>
      <w:marRight w:val="0"/>
      <w:marTop w:val="0"/>
      <w:marBottom w:val="0"/>
      <w:divBdr>
        <w:top w:val="none" w:sz="0" w:space="0" w:color="auto"/>
        <w:left w:val="none" w:sz="0" w:space="0" w:color="auto"/>
        <w:bottom w:val="none" w:sz="0" w:space="0" w:color="auto"/>
        <w:right w:val="none" w:sz="0" w:space="0" w:color="auto"/>
      </w:divBdr>
    </w:div>
    <w:div w:id="331497411">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2344007">
      <w:bodyDiv w:val="1"/>
      <w:marLeft w:val="0"/>
      <w:marRight w:val="0"/>
      <w:marTop w:val="0"/>
      <w:marBottom w:val="0"/>
      <w:divBdr>
        <w:top w:val="none" w:sz="0" w:space="0" w:color="auto"/>
        <w:left w:val="none" w:sz="0" w:space="0" w:color="auto"/>
        <w:bottom w:val="none" w:sz="0" w:space="0" w:color="auto"/>
        <w:right w:val="none" w:sz="0" w:space="0" w:color="auto"/>
      </w:divBdr>
    </w:div>
    <w:div w:id="332487857">
      <w:bodyDiv w:val="1"/>
      <w:marLeft w:val="0"/>
      <w:marRight w:val="0"/>
      <w:marTop w:val="0"/>
      <w:marBottom w:val="0"/>
      <w:divBdr>
        <w:top w:val="none" w:sz="0" w:space="0" w:color="auto"/>
        <w:left w:val="none" w:sz="0" w:space="0" w:color="auto"/>
        <w:bottom w:val="none" w:sz="0" w:space="0" w:color="auto"/>
        <w:right w:val="none" w:sz="0" w:space="0" w:color="auto"/>
      </w:divBdr>
    </w:div>
    <w:div w:id="332799673">
      <w:bodyDiv w:val="1"/>
      <w:marLeft w:val="0"/>
      <w:marRight w:val="0"/>
      <w:marTop w:val="0"/>
      <w:marBottom w:val="0"/>
      <w:divBdr>
        <w:top w:val="none" w:sz="0" w:space="0" w:color="auto"/>
        <w:left w:val="none" w:sz="0" w:space="0" w:color="auto"/>
        <w:bottom w:val="none" w:sz="0" w:space="0" w:color="auto"/>
        <w:right w:val="none" w:sz="0" w:space="0" w:color="auto"/>
      </w:divBdr>
    </w:div>
    <w:div w:id="336034769">
      <w:bodyDiv w:val="1"/>
      <w:marLeft w:val="0"/>
      <w:marRight w:val="0"/>
      <w:marTop w:val="0"/>
      <w:marBottom w:val="0"/>
      <w:divBdr>
        <w:top w:val="none" w:sz="0" w:space="0" w:color="auto"/>
        <w:left w:val="none" w:sz="0" w:space="0" w:color="auto"/>
        <w:bottom w:val="none" w:sz="0" w:space="0" w:color="auto"/>
        <w:right w:val="none" w:sz="0" w:space="0" w:color="auto"/>
      </w:divBdr>
    </w:div>
    <w:div w:id="336612172">
      <w:bodyDiv w:val="1"/>
      <w:marLeft w:val="0"/>
      <w:marRight w:val="0"/>
      <w:marTop w:val="0"/>
      <w:marBottom w:val="0"/>
      <w:divBdr>
        <w:top w:val="none" w:sz="0" w:space="0" w:color="auto"/>
        <w:left w:val="none" w:sz="0" w:space="0" w:color="auto"/>
        <w:bottom w:val="none" w:sz="0" w:space="0" w:color="auto"/>
        <w:right w:val="none" w:sz="0" w:space="0" w:color="auto"/>
      </w:divBdr>
    </w:div>
    <w:div w:id="336884673">
      <w:bodyDiv w:val="1"/>
      <w:marLeft w:val="0"/>
      <w:marRight w:val="0"/>
      <w:marTop w:val="0"/>
      <w:marBottom w:val="0"/>
      <w:divBdr>
        <w:top w:val="none" w:sz="0" w:space="0" w:color="auto"/>
        <w:left w:val="none" w:sz="0" w:space="0" w:color="auto"/>
        <w:bottom w:val="none" w:sz="0" w:space="0" w:color="auto"/>
        <w:right w:val="none" w:sz="0" w:space="0" w:color="auto"/>
      </w:divBdr>
    </w:div>
    <w:div w:id="337730853">
      <w:bodyDiv w:val="1"/>
      <w:marLeft w:val="0"/>
      <w:marRight w:val="0"/>
      <w:marTop w:val="0"/>
      <w:marBottom w:val="0"/>
      <w:divBdr>
        <w:top w:val="none" w:sz="0" w:space="0" w:color="auto"/>
        <w:left w:val="none" w:sz="0" w:space="0" w:color="auto"/>
        <w:bottom w:val="none" w:sz="0" w:space="0" w:color="auto"/>
        <w:right w:val="none" w:sz="0" w:space="0" w:color="auto"/>
      </w:divBdr>
    </w:div>
    <w:div w:id="337851262">
      <w:bodyDiv w:val="1"/>
      <w:marLeft w:val="0"/>
      <w:marRight w:val="0"/>
      <w:marTop w:val="0"/>
      <w:marBottom w:val="0"/>
      <w:divBdr>
        <w:top w:val="none" w:sz="0" w:space="0" w:color="auto"/>
        <w:left w:val="none" w:sz="0" w:space="0" w:color="auto"/>
        <w:bottom w:val="none" w:sz="0" w:space="0" w:color="auto"/>
        <w:right w:val="none" w:sz="0" w:space="0" w:color="auto"/>
      </w:divBdr>
    </w:div>
    <w:div w:id="339889355">
      <w:bodyDiv w:val="1"/>
      <w:marLeft w:val="0"/>
      <w:marRight w:val="0"/>
      <w:marTop w:val="0"/>
      <w:marBottom w:val="0"/>
      <w:divBdr>
        <w:top w:val="none" w:sz="0" w:space="0" w:color="auto"/>
        <w:left w:val="none" w:sz="0" w:space="0" w:color="auto"/>
        <w:bottom w:val="none" w:sz="0" w:space="0" w:color="auto"/>
        <w:right w:val="none" w:sz="0" w:space="0" w:color="auto"/>
      </w:divBdr>
    </w:div>
    <w:div w:id="340283028">
      <w:bodyDiv w:val="1"/>
      <w:marLeft w:val="0"/>
      <w:marRight w:val="0"/>
      <w:marTop w:val="0"/>
      <w:marBottom w:val="0"/>
      <w:divBdr>
        <w:top w:val="none" w:sz="0" w:space="0" w:color="auto"/>
        <w:left w:val="none" w:sz="0" w:space="0" w:color="auto"/>
        <w:bottom w:val="none" w:sz="0" w:space="0" w:color="auto"/>
        <w:right w:val="none" w:sz="0" w:space="0" w:color="auto"/>
      </w:divBdr>
    </w:div>
    <w:div w:id="340738331">
      <w:bodyDiv w:val="1"/>
      <w:marLeft w:val="0"/>
      <w:marRight w:val="0"/>
      <w:marTop w:val="0"/>
      <w:marBottom w:val="0"/>
      <w:divBdr>
        <w:top w:val="none" w:sz="0" w:space="0" w:color="auto"/>
        <w:left w:val="none" w:sz="0" w:space="0" w:color="auto"/>
        <w:bottom w:val="none" w:sz="0" w:space="0" w:color="auto"/>
        <w:right w:val="none" w:sz="0" w:space="0" w:color="auto"/>
      </w:divBdr>
    </w:div>
    <w:div w:id="341013485">
      <w:bodyDiv w:val="1"/>
      <w:marLeft w:val="0"/>
      <w:marRight w:val="0"/>
      <w:marTop w:val="0"/>
      <w:marBottom w:val="0"/>
      <w:divBdr>
        <w:top w:val="none" w:sz="0" w:space="0" w:color="auto"/>
        <w:left w:val="none" w:sz="0" w:space="0" w:color="auto"/>
        <w:bottom w:val="none" w:sz="0" w:space="0" w:color="auto"/>
        <w:right w:val="none" w:sz="0" w:space="0" w:color="auto"/>
      </w:divBdr>
    </w:div>
    <w:div w:id="341321519">
      <w:bodyDiv w:val="1"/>
      <w:marLeft w:val="0"/>
      <w:marRight w:val="0"/>
      <w:marTop w:val="0"/>
      <w:marBottom w:val="0"/>
      <w:divBdr>
        <w:top w:val="none" w:sz="0" w:space="0" w:color="auto"/>
        <w:left w:val="none" w:sz="0" w:space="0" w:color="auto"/>
        <w:bottom w:val="none" w:sz="0" w:space="0" w:color="auto"/>
        <w:right w:val="none" w:sz="0" w:space="0" w:color="auto"/>
      </w:divBdr>
    </w:div>
    <w:div w:id="345325020">
      <w:bodyDiv w:val="1"/>
      <w:marLeft w:val="0"/>
      <w:marRight w:val="0"/>
      <w:marTop w:val="0"/>
      <w:marBottom w:val="0"/>
      <w:divBdr>
        <w:top w:val="none" w:sz="0" w:space="0" w:color="auto"/>
        <w:left w:val="none" w:sz="0" w:space="0" w:color="auto"/>
        <w:bottom w:val="none" w:sz="0" w:space="0" w:color="auto"/>
        <w:right w:val="none" w:sz="0" w:space="0" w:color="auto"/>
      </w:divBdr>
    </w:div>
    <w:div w:id="347369990">
      <w:bodyDiv w:val="1"/>
      <w:marLeft w:val="0"/>
      <w:marRight w:val="0"/>
      <w:marTop w:val="0"/>
      <w:marBottom w:val="0"/>
      <w:divBdr>
        <w:top w:val="none" w:sz="0" w:space="0" w:color="auto"/>
        <w:left w:val="none" w:sz="0" w:space="0" w:color="auto"/>
        <w:bottom w:val="none" w:sz="0" w:space="0" w:color="auto"/>
        <w:right w:val="none" w:sz="0" w:space="0" w:color="auto"/>
      </w:divBdr>
    </w:div>
    <w:div w:id="347870391">
      <w:bodyDiv w:val="1"/>
      <w:marLeft w:val="0"/>
      <w:marRight w:val="0"/>
      <w:marTop w:val="0"/>
      <w:marBottom w:val="0"/>
      <w:divBdr>
        <w:top w:val="none" w:sz="0" w:space="0" w:color="auto"/>
        <w:left w:val="none" w:sz="0" w:space="0" w:color="auto"/>
        <w:bottom w:val="none" w:sz="0" w:space="0" w:color="auto"/>
        <w:right w:val="none" w:sz="0" w:space="0" w:color="auto"/>
      </w:divBdr>
    </w:div>
    <w:div w:id="356126105">
      <w:bodyDiv w:val="1"/>
      <w:marLeft w:val="0"/>
      <w:marRight w:val="0"/>
      <w:marTop w:val="0"/>
      <w:marBottom w:val="0"/>
      <w:divBdr>
        <w:top w:val="none" w:sz="0" w:space="0" w:color="auto"/>
        <w:left w:val="none" w:sz="0" w:space="0" w:color="auto"/>
        <w:bottom w:val="none" w:sz="0" w:space="0" w:color="auto"/>
        <w:right w:val="none" w:sz="0" w:space="0" w:color="auto"/>
      </w:divBdr>
    </w:div>
    <w:div w:id="356543126">
      <w:bodyDiv w:val="1"/>
      <w:marLeft w:val="0"/>
      <w:marRight w:val="0"/>
      <w:marTop w:val="0"/>
      <w:marBottom w:val="0"/>
      <w:divBdr>
        <w:top w:val="none" w:sz="0" w:space="0" w:color="auto"/>
        <w:left w:val="none" w:sz="0" w:space="0" w:color="auto"/>
        <w:bottom w:val="none" w:sz="0" w:space="0" w:color="auto"/>
        <w:right w:val="none" w:sz="0" w:space="0" w:color="auto"/>
      </w:divBdr>
    </w:div>
    <w:div w:id="357856045">
      <w:bodyDiv w:val="1"/>
      <w:marLeft w:val="0"/>
      <w:marRight w:val="0"/>
      <w:marTop w:val="0"/>
      <w:marBottom w:val="0"/>
      <w:divBdr>
        <w:top w:val="none" w:sz="0" w:space="0" w:color="auto"/>
        <w:left w:val="none" w:sz="0" w:space="0" w:color="auto"/>
        <w:bottom w:val="none" w:sz="0" w:space="0" w:color="auto"/>
        <w:right w:val="none" w:sz="0" w:space="0" w:color="auto"/>
      </w:divBdr>
    </w:div>
    <w:div w:id="358504616">
      <w:bodyDiv w:val="1"/>
      <w:marLeft w:val="0"/>
      <w:marRight w:val="0"/>
      <w:marTop w:val="0"/>
      <w:marBottom w:val="0"/>
      <w:divBdr>
        <w:top w:val="none" w:sz="0" w:space="0" w:color="auto"/>
        <w:left w:val="none" w:sz="0" w:space="0" w:color="auto"/>
        <w:bottom w:val="none" w:sz="0" w:space="0" w:color="auto"/>
        <w:right w:val="none" w:sz="0" w:space="0" w:color="auto"/>
      </w:divBdr>
    </w:div>
    <w:div w:id="359548476">
      <w:bodyDiv w:val="1"/>
      <w:marLeft w:val="0"/>
      <w:marRight w:val="0"/>
      <w:marTop w:val="0"/>
      <w:marBottom w:val="0"/>
      <w:divBdr>
        <w:top w:val="none" w:sz="0" w:space="0" w:color="auto"/>
        <w:left w:val="none" w:sz="0" w:space="0" w:color="auto"/>
        <w:bottom w:val="none" w:sz="0" w:space="0" w:color="auto"/>
        <w:right w:val="none" w:sz="0" w:space="0" w:color="auto"/>
      </w:divBdr>
    </w:div>
    <w:div w:id="359745862">
      <w:bodyDiv w:val="1"/>
      <w:marLeft w:val="0"/>
      <w:marRight w:val="0"/>
      <w:marTop w:val="0"/>
      <w:marBottom w:val="0"/>
      <w:divBdr>
        <w:top w:val="none" w:sz="0" w:space="0" w:color="auto"/>
        <w:left w:val="none" w:sz="0" w:space="0" w:color="auto"/>
        <w:bottom w:val="none" w:sz="0" w:space="0" w:color="auto"/>
        <w:right w:val="none" w:sz="0" w:space="0" w:color="auto"/>
      </w:divBdr>
    </w:div>
    <w:div w:id="363139209">
      <w:bodyDiv w:val="1"/>
      <w:marLeft w:val="0"/>
      <w:marRight w:val="0"/>
      <w:marTop w:val="0"/>
      <w:marBottom w:val="0"/>
      <w:divBdr>
        <w:top w:val="none" w:sz="0" w:space="0" w:color="auto"/>
        <w:left w:val="none" w:sz="0" w:space="0" w:color="auto"/>
        <w:bottom w:val="none" w:sz="0" w:space="0" w:color="auto"/>
        <w:right w:val="none" w:sz="0" w:space="0" w:color="auto"/>
      </w:divBdr>
    </w:div>
    <w:div w:id="364521216">
      <w:bodyDiv w:val="1"/>
      <w:marLeft w:val="0"/>
      <w:marRight w:val="0"/>
      <w:marTop w:val="0"/>
      <w:marBottom w:val="0"/>
      <w:divBdr>
        <w:top w:val="none" w:sz="0" w:space="0" w:color="auto"/>
        <w:left w:val="none" w:sz="0" w:space="0" w:color="auto"/>
        <w:bottom w:val="none" w:sz="0" w:space="0" w:color="auto"/>
        <w:right w:val="none" w:sz="0" w:space="0" w:color="auto"/>
      </w:divBdr>
    </w:div>
    <w:div w:id="366762689">
      <w:bodyDiv w:val="1"/>
      <w:marLeft w:val="0"/>
      <w:marRight w:val="0"/>
      <w:marTop w:val="0"/>
      <w:marBottom w:val="0"/>
      <w:divBdr>
        <w:top w:val="none" w:sz="0" w:space="0" w:color="auto"/>
        <w:left w:val="none" w:sz="0" w:space="0" w:color="auto"/>
        <w:bottom w:val="none" w:sz="0" w:space="0" w:color="auto"/>
        <w:right w:val="none" w:sz="0" w:space="0" w:color="auto"/>
      </w:divBdr>
    </w:div>
    <w:div w:id="367414730">
      <w:bodyDiv w:val="1"/>
      <w:marLeft w:val="0"/>
      <w:marRight w:val="0"/>
      <w:marTop w:val="0"/>
      <w:marBottom w:val="0"/>
      <w:divBdr>
        <w:top w:val="none" w:sz="0" w:space="0" w:color="auto"/>
        <w:left w:val="none" w:sz="0" w:space="0" w:color="auto"/>
        <w:bottom w:val="none" w:sz="0" w:space="0" w:color="auto"/>
        <w:right w:val="none" w:sz="0" w:space="0" w:color="auto"/>
      </w:divBdr>
    </w:div>
    <w:div w:id="368262790">
      <w:bodyDiv w:val="1"/>
      <w:marLeft w:val="0"/>
      <w:marRight w:val="0"/>
      <w:marTop w:val="0"/>
      <w:marBottom w:val="0"/>
      <w:divBdr>
        <w:top w:val="none" w:sz="0" w:space="0" w:color="auto"/>
        <w:left w:val="none" w:sz="0" w:space="0" w:color="auto"/>
        <w:bottom w:val="none" w:sz="0" w:space="0" w:color="auto"/>
        <w:right w:val="none" w:sz="0" w:space="0" w:color="auto"/>
      </w:divBdr>
    </w:div>
    <w:div w:id="368646572">
      <w:bodyDiv w:val="1"/>
      <w:marLeft w:val="0"/>
      <w:marRight w:val="0"/>
      <w:marTop w:val="0"/>
      <w:marBottom w:val="0"/>
      <w:divBdr>
        <w:top w:val="none" w:sz="0" w:space="0" w:color="auto"/>
        <w:left w:val="none" w:sz="0" w:space="0" w:color="auto"/>
        <w:bottom w:val="none" w:sz="0" w:space="0" w:color="auto"/>
        <w:right w:val="none" w:sz="0" w:space="0" w:color="auto"/>
      </w:divBdr>
    </w:div>
    <w:div w:id="369114028">
      <w:bodyDiv w:val="1"/>
      <w:marLeft w:val="0"/>
      <w:marRight w:val="0"/>
      <w:marTop w:val="0"/>
      <w:marBottom w:val="0"/>
      <w:divBdr>
        <w:top w:val="none" w:sz="0" w:space="0" w:color="auto"/>
        <w:left w:val="none" w:sz="0" w:space="0" w:color="auto"/>
        <w:bottom w:val="none" w:sz="0" w:space="0" w:color="auto"/>
        <w:right w:val="none" w:sz="0" w:space="0" w:color="auto"/>
      </w:divBdr>
    </w:div>
    <w:div w:id="370573154">
      <w:bodyDiv w:val="1"/>
      <w:marLeft w:val="0"/>
      <w:marRight w:val="0"/>
      <w:marTop w:val="0"/>
      <w:marBottom w:val="0"/>
      <w:divBdr>
        <w:top w:val="none" w:sz="0" w:space="0" w:color="auto"/>
        <w:left w:val="none" w:sz="0" w:space="0" w:color="auto"/>
        <w:bottom w:val="none" w:sz="0" w:space="0" w:color="auto"/>
        <w:right w:val="none" w:sz="0" w:space="0" w:color="auto"/>
      </w:divBdr>
    </w:div>
    <w:div w:id="372461927">
      <w:bodyDiv w:val="1"/>
      <w:marLeft w:val="0"/>
      <w:marRight w:val="0"/>
      <w:marTop w:val="0"/>
      <w:marBottom w:val="0"/>
      <w:divBdr>
        <w:top w:val="none" w:sz="0" w:space="0" w:color="auto"/>
        <w:left w:val="none" w:sz="0" w:space="0" w:color="auto"/>
        <w:bottom w:val="none" w:sz="0" w:space="0" w:color="auto"/>
        <w:right w:val="none" w:sz="0" w:space="0" w:color="auto"/>
      </w:divBdr>
    </w:div>
    <w:div w:id="373892910">
      <w:bodyDiv w:val="1"/>
      <w:marLeft w:val="0"/>
      <w:marRight w:val="0"/>
      <w:marTop w:val="0"/>
      <w:marBottom w:val="0"/>
      <w:divBdr>
        <w:top w:val="none" w:sz="0" w:space="0" w:color="auto"/>
        <w:left w:val="none" w:sz="0" w:space="0" w:color="auto"/>
        <w:bottom w:val="none" w:sz="0" w:space="0" w:color="auto"/>
        <w:right w:val="none" w:sz="0" w:space="0" w:color="auto"/>
      </w:divBdr>
    </w:div>
    <w:div w:id="375472708">
      <w:bodyDiv w:val="1"/>
      <w:marLeft w:val="0"/>
      <w:marRight w:val="0"/>
      <w:marTop w:val="0"/>
      <w:marBottom w:val="0"/>
      <w:divBdr>
        <w:top w:val="none" w:sz="0" w:space="0" w:color="auto"/>
        <w:left w:val="none" w:sz="0" w:space="0" w:color="auto"/>
        <w:bottom w:val="none" w:sz="0" w:space="0" w:color="auto"/>
        <w:right w:val="none" w:sz="0" w:space="0" w:color="auto"/>
      </w:divBdr>
    </w:div>
    <w:div w:id="376247130">
      <w:bodyDiv w:val="1"/>
      <w:marLeft w:val="0"/>
      <w:marRight w:val="0"/>
      <w:marTop w:val="0"/>
      <w:marBottom w:val="0"/>
      <w:divBdr>
        <w:top w:val="none" w:sz="0" w:space="0" w:color="auto"/>
        <w:left w:val="none" w:sz="0" w:space="0" w:color="auto"/>
        <w:bottom w:val="none" w:sz="0" w:space="0" w:color="auto"/>
        <w:right w:val="none" w:sz="0" w:space="0" w:color="auto"/>
      </w:divBdr>
    </w:div>
    <w:div w:id="376592697">
      <w:bodyDiv w:val="1"/>
      <w:marLeft w:val="0"/>
      <w:marRight w:val="0"/>
      <w:marTop w:val="0"/>
      <w:marBottom w:val="0"/>
      <w:divBdr>
        <w:top w:val="none" w:sz="0" w:space="0" w:color="auto"/>
        <w:left w:val="none" w:sz="0" w:space="0" w:color="auto"/>
        <w:bottom w:val="none" w:sz="0" w:space="0" w:color="auto"/>
        <w:right w:val="none" w:sz="0" w:space="0" w:color="auto"/>
      </w:divBdr>
    </w:div>
    <w:div w:id="377516335">
      <w:bodyDiv w:val="1"/>
      <w:marLeft w:val="0"/>
      <w:marRight w:val="0"/>
      <w:marTop w:val="0"/>
      <w:marBottom w:val="0"/>
      <w:divBdr>
        <w:top w:val="none" w:sz="0" w:space="0" w:color="auto"/>
        <w:left w:val="none" w:sz="0" w:space="0" w:color="auto"/>
        <w:bottom w:val="none" w:sz="0" w:space="0" w:color="auto"/>
        <w:right w:val="none" w:sz="0" w:space="0" w:color="auto"/>
      </w:divBdr>
    </w:div>
    <w:div w:id="377559801">
      <w:bodyDiv w:val="1"/>
      <w:marLeft w:val="0"/>
      <w:marRight w:val="0"/>
      <w:marTop w:val="0"/>
      <w:marBottom w:val="0"/>
      <w:divBdr>
        <w:top w:val="none" w:sz="0" w:space="0" w:color="auto"/>
        <w:left w:val="none" w:sz="0" w:space="0" w:color="auto"/>
        <w:bottom w:val="none" w:sz="0" w:space="0" w:color="auto"/>
        <w:right w:val="none" w:sz="0" w:space="0" w:color="auto"/>
      </w:divBdr>
    </w:div>
    <w:div w:id="379285294">
      <w:bodyDiv w:val="1"/>
      <w:marLeft w:val="0"/>
      <w:marRight w:val="0"/>
      <w:marTop w:val="0"/>
      <w:marBottom w:val="0"/>
      <w:divBdr>
        <w:top w:val="none" w:sz="0" w:space="0" w:color="auto"/>
        <w:left w:val="none" w:sz="0" w:space="0" w:color="auto"/>
        <w:bottom w:val="none" w:sz="0" w:space="0" w:color="auto"/>
        <w:right w:val="none" w:sz="0" w:space="0" w:color="auto"/>
      </w:divBdr>
    </w:div>
    <w:div w:id="380784919">
      <w:bodyDiv w:val="1"/>
      <w:marLeft w:val="0"/>
      <w:marRight w:val="0"/>
      <w:marTop w:val="0"/>
      <w:marBottom w:val="0"/>
      <w:divBdr>
        <w:top w:val="none" w:sz="0" w:space="0" w:color="auto"/>
        <w:left w:val="none" w:sz="0" w:space="0" w:color="auto"/>
        <w:bottom w:val="none" w:sz="0" w:space="0" w:color="auto"/>
        <w:right w:val="none" w:sz="0" w:space="0" w:color="auto"/>
      </w:divBdr>
    </w:div>
    <w:div w:id="380833122">
      <w:bodyDiv w:val="1"/>
      <w:marLeft w:val="0"/>
      <w:marRight w:val="0"/>
      <w:marTop w:val="0"/>
      <w:marBottom w:val="0"/>
      <w:divBdr>
        <w:top w:val="none" w:sz="0" w:space="0" w:color="auto"/>
        <w:left w:val="none" w:sz="0" w:space="0" w:color="auto"/>
        <w:bottom w:val="none" w:sz="0" w:space="0" w:color="auto"/>
        <w:right w:val="none" w:sz="0" w:space="0" w:color="auto"/>
      </w:divBdr>
    </w:div>
    <w:div w:id="380909634">
      <w:bodyDiv w:val="1"/>
      <w:marLeft w:val="0"/>
      <w:marRight w:val="0"/>
      <w:marTop w:val="0"/>
      <w:marBottom w:val="0"/>
      <w:divBdr>
        <w:top w:val="none" w:sz="0" w:space="0" w:color="auto"/>
        <w:left w:val="none" w:sz="0" w:space="0" w:color="auto"/>
        <w:bottom w:val="none" w:sz="0" w:space="0" w:color="auto"/>
        <w:right w:val="none" w:sz="0" w:space="0" w:color="auto"/>
      </w:divBdr>
    </w:div>
    <w:div w:id="381442541">
      <w:bodyDiv w:val="1"/>
      <w:marLeft w:val="0"/>
      <w:marRight w:val="0"/>
      <w:marTop w:val="0"/>
      <w:marBottom w:val="0"/>
      <w:divBdr>
        <w:top w:val="none" w:sz="0" w:space="0" w:color="auto"/>
        <w:left w:val="none" w:sz="0" w:space="0" w:color="auto"/>
        <w:bottom w:val="none" w:sz="0" w:space="0" w:color="auto"/>
        <w:right w:val="none" w:sz="0" w:space="0" w:color="auto"/>
      </w:divBdr>
    </w:div>
    <w:div w:id="381753328">
      <w:bodyDiv w:val="1"/>
      <w:marLeft w:val="0"/>
      <w:marRight w:val="0"/>
      <w:marTop w:val="0"/>
      <w:marBottom w:val="0"/>
      <w:divBdr>
        <w:top w:val="none" w:sz="0" w:space="0" w:color="auto"/>
        <w:left w:val="none" w:sz="0" w:space="0" w:color="auto"/>
        <w:bottom w:val="none" w:sz="0" w:space="0" w:color="auto"/>
        <w:right w:val="none" w:sz="0" w:space="0" w:color="auto"/>
      </w:divBdr>
    </w:div>
    <w:div w:id="382217882">
      <w:bodyDiv w:val="1"/>
      <w:marLeft w:val="0"/>
      <w:marRight w:val="0"/>
      <w:marTop w:val="0"/>
      <w:marBottom w:val="0"/>
      <w:divBdr>
        <w:top w:val="none" w:sz="0" w:space="0" w:color="auto"/>
        <w:left w:val="none" w:sz="0" w:space="0" w:color="auto"/>
        <w:bottom w:val="none" w:sz="0" w:space="0" w:color="auto"/>
        <w:right w:val="none" w:sz="0" w:space="0" w:color="auto"/>
      </w:divBdr>
    </w:div>
    <w:div w:id="382993543">
      <w:bodyDiv w:val="1"/>
      <w:marLeft w:val="0"/>
      <w:marRight w:val="0"/>
      <w:marTop w:val="0"/>
      <w:marBottom w:val="0"/>
      <w:divBdr>
        <w:top w:val="none" w:sz="0" w:space="0" w:color="auto"/>
        <w:left w:val="none" w:sz="0" w:space="0" w:color="auto"/>
        <w:bottom w:val="none" w:sz="0" w:space="0" w:color="auto"/>
        <w:right w:val="none" w:sz="0" w:space="0" w:color="auto"/>
      </w:divBdr>
    </w:div>
    <w:div w:id="383136885">
      <w:bodyDiv w:val="1"/>
      <w:marLeft w:val="0"/>
      <w:marRight w:val="0"/>
      <w:marTop w:val="0"/>
      <w:marBottom w:val="0"/>
      <w:divBdr>
        <w:top w:val="none" w:sz="0" w:space="0" w:color="auto"/>
        <w:left w:val="none" w:sz="0" w:space="0" w:color="auto"/>
        <w:bottom w:val="none" w:sz="0" w:space="0" w:color="auto"/>
        <w:right w:val="none" w:sz="0" w:space="0" w:color="auto"/>
      </w:divBdr>
    </w:div>
    <w:div w:id="383407635">
      <w:bodyDiv w:val="1"/>
      <w:marLeft w:val="0"/>
      <w:marRight w:val="0"/>
      <w:marTop w:val="0"/>
      <w:marBottom w:val="0"/>
      <w:divBdr>
        <w:top w:val="none" w:sz="0" w:space="0" w:color="auto"/>
        <w:left w:val="none" w:sz="0" w:space="0" w:color="auto"/>
        <w:bottom w:val="none" w:sz="0" w:space="0" w:color="auto"/>
        <w:right w:val="none" w:sz="0" w:space="0" w:color="auto"/>
      </w:divBdr>
    </w:div>
    <w:div w:id="385684090">
      <w:bodyDiv w:val="1"/>
      <w:marLeft w:val="0"/>
      <w:marRight w:val="0"/>
      <w:marTop w:val="0"/>
      <w:marBottom w:val="0"/>
      <w:divBdr>
        <w:top w:val="none" w:sz="0" w:space="0" w:color="auto"/>
        <w:left w:val="none" w:sz="0" w:space="0" w:color="auto"/>
        <w:bottom w:val="none" w:sz="0" w:space="0" w:color="auto"/>
        <w:right w:val="none" w:sz="0" w:space="0" w:color="auto"/>
      </w:divBdr>
    </w:div>
    <w:div w:id="386345644">
      <w:bodyDiv w:val="1"/>
      <w:marLeft w:val="0"/>
      <w:marRight w:val="0"/>
      <w:marTop w:val="0"/>
      <w:marBottom w:val="0"/>
      <w:divBdr>
        <w:top w:val="none" w:sz="0" w:space="0" w:color="auto"/>
        <w:left w:val="none" w:sz="0" w:space="0" w:color="auto"/>
        <w:bottom w:val="none" w:sz="0" w:space="0" w:color="auto"/>
        <w:right w:val="none" w:sz="0" w:space="0" w:color="auto"/>
      </w:divBdr>
    </w:div>
    <w:div w:id="387536237">
      <w:bodyDiv w:val="1"/>
      <w:marLeft w:val="0"/>
      <w:marRight w:val="0"/>
      <w:marTop w:val="0"/>
      <w:marBottom w:val="0"/>
      <w:divBdr>
        <w:top w:val="none" w:sz="0" w:space="0" w:color="auto"/>
        <w:left w:val="none" w:sz="0" w:space="0" w:color="auto"/>
        <w:bottom w:val="none" w:sz="0" w:space="0" w:color="auto"/>
        <w:right w:val="none" w:sz="0" w:space="0" w:color="auto"/>
      </w:divBdr>
    </w:div>
    <w:div w:id="387726874">
      <w:bodyDiv w:val="1"/>
      <w:marLeft w:val="0"/>
      <w:marRight w:val="0"/>
      <w:marTop w:val="0"/>
      <w:marBottom w:val="0"/>
      <w:divBdr>
        <w:top w:val="none" w:sz="0" w:space="0" w:color="auto"/>
        <w:left w:val="none" w:sz="0" w:space="0" w:color="auto"/>
        <w:bottom w:val="none" w:sz="0" w:space="0" w:color="auto"/>
        <w:right w:val="none" w:sz="0" w:space="0" w:color="auto"/>
      </w:divBdr>
    </w:div>
    <w:div w:id="387922980">
      <w:bodyDiv w:val="1"/>
      <w:marLeft w:val="0"/>
      <w:marRight w:val="0"/>
      <w:marTop w:val="0"/>
      <w:marBottom w:val="0"/>
      <w:divBdr>
        <w:top w:val="none" w:sz="0" w:space="0" w:color="auto"/>
        <w:left w:val="none" w:sz="0" w:space="0" w:color="auto"/>
        <w:bottom w:val="none" w:sz="0" w:space="0" w:color="auto"/>
        <w:right w:val="none" w:sz="0" w:space="0" w:color="auto"/>
      </w:divBdr>
    </w:div>
    <w:div w:id="388309182">
      <w:bodyDiv w:val="1"/>
      <w:marLeft w:val="0"/>
      <w:marRight w:val="0"/>
      <w:marTop w:val="0"/>
      <w:marBottom w:val="0"/>
      <w:divBdr>
        <w:top w:val="none" w:sz="0" w:space="0" w:color="auto"/>
        <w:left w:val="none" w:sz="0" w:space="0" w:color="auto"/>
        <w:bottom w:val="none" w:sz="0" w:space="0" w:color="auto"/>
        <w:right w:val="none" w:sz="0" w:space="0" w:color="auto"/>
      </w:divBdr>
    </w:div>
    <w:div w:id="389547741">
      <w:bodyDiv w:val="1"/>
      <w:marLeft w:val="0"/>
      <w:marRight w:val="0"/>
      <w:marTop w:val="0"/>
      <w:marBottom w:val="0"/>
      <w:divBdr>
        <w:top w:val="none" w:sz="0" w:space="0" w:color="auto"/>
        <w:left w:val="none" w:sz="0" w:space="0" w:color="auto"/>
        <w:bottom w:val="none" w:sz="0" w:space="0" w:color="auto"/>
        <w:right w:val="none" w:sz="0" w:space="0" w:color="auto"/>
      </w:divBdr>
    </w:div>
    <w:div w:id="390077243">
      <w:bodyDiv w:val="1"/>
      <w:marLeft w:val="0"/>
      <w:marRight w:val="0"/>
      <w:marTop w:val="0"/>
      <w:marBottom w:val="0"/>
      <w:divBdr>
        <w:top w:val="none" w:sz="0" w:space="0" w:color="auto"/>
        <w:left w:val="none" w:sz="0" w:space="0" w:color="auto"/>
        <w:bottom w:val="none" w:sz="0" w:space="0" w:color="auto"/>
        <w:right w:val="none" w:sz="0" w:space="0" w:color="auto"/>
      </w:divBdr>
    </w:div>
    <w:div w:id="392386049">
      <w:bodyDiv w:val="1"/>
      <w:marLeft w:val="0"/>
      <w:marRight w:val="0"/>
      <w:marTop w:val="0"/>
      <w:marBottom w:val="0"/>
      <w:divBdr>
        <w:top w:val="none" w:sz="0" w:space="0" w:color="auto"/>
        <w:left w:val="none" w:sz="0" w:space="0" w:color="auto"/>
        <w:bottom w:val="none" w:sz="0" w:space="0" w:color="auto"/>
        <w:right w:val="none" w:sz="0" w:space="0" w:color="auto"/>
      </w:divBdr>
    </w:div>
    <w:div w:id="393041184">
      <w:bodyDiv w:val="1"/>
      <w:marLeft w:val="0"/>
      <w:marRight w:val="0"/>
      <w:marTop w:val="0"/>
      <w:marBottom w:val="0"/>
      <w:divBdr>
        <w:top w:val="none" w:sz="0" w:space="0" w:color="auto"/>
        <w:left w:val="none" w:sz="0" w:space="0" w:color="auto"/>
        <w:bottom w:val="none" w:sz="0" w:space="0" w:color="auto"/>
        <w:right w:val="none" w:sz="0" w:space="0" w:color="auto"/>
      </w:divBdr>
    </w:div>
    <w:div w:id="393431796">
      <w:bodyDiv w:val="1"/>
      <w:marLeft w:val="0"/>
      <w:marRight w:val="0"/>
      <w:marTop w:val="0"/>
      <w:marBottom w:val="0"/>
      <w:divBdr>
        <w:top w:val="none" w:sz="0" w:space="0" w:color="auto"/>
        <w:left w:val="none" w:sz="0" w:space="0" w:color="auto"/>
        <w:bottom w:val="none" w:sz="0" w:space="0" w:color="auto"/>
        <w:right w:val="none" w:sz="0" w:space="0" w:color="auto"/>
      </w:divBdr>
    </w:div>
    <w:div w:id="393502954">
      <w:bodyDiv w:val="1"/>
      <w:marLeft w:val="0"/>
      <w:marRight w:val="0"/>
      <w:marTop w:val="0"/>
      <w:marBottom w:val="0"/>
      <w:divBdr>
        <w:top w:val="none" w:sz="0" w:space="0" w:color="auto"/>
        <w:left w:val="none" w:sz="0" w:space="0" w:color="auto"/>
        <w:bottom w:val="none" w:sz="0" w:space="0" w:color="auto"/>
        <w:right w:val="none" w:sz="0" w:space="0" w:color="auto"/>
      </w:divBdr>
    </w:div>
    <w:div w:id="394086550">
      <w:bodyDiv w:val="1"/>
      <w:marLeft w:val="0"/>
      <w:marRight w:val="0"/>
      <w:marTop w:val="0"/>
      <w:marBottom w:val="0"/>
      <w:divBdr>
        <w:top w:val="none" w:sz="0" w:space="0" w:color="auto"/>
        <w:left w:val="none" w:sz="0" w:space="0" w:color="auto"/>
        <w:bottom w:val="none" w:sz="0" w:space="0" w:color="auto"/>
        <w:right w:val="none" w:sz="0" w:space="0" w:color="auto"/>
      </w:divBdr>
    </w:div>
    <w:div w:id="394275917">
      <w:bodyDiv w:val="1"/>
      <w:marLeft w:val="0"/>
      <w:marRight w:val="0"/>
      <w:marTop w:val="0"/>
      <w:marBottom w:val="0"/>
      <w:divBdr>
        <w:top w:val="none" w:sz="0" w:space="0" w:color="auto"/>
        <w:left w:val="none" w:sz="0" w:space="0" w:color="auto"/>
        <w:bottom w:val="none" w:sz="0" w:space="0" w:color="auto"/>
        <w:right w:val="none" w:sz="0" w:space="0" w:color="auto"/>
      </w:divBdr>
    </w:div>
    <w:div w:id="394938741">
      <w:bodyDiv w:val="1"/>
      <w:marLeft w:val="0"/>
      <w:marRight w:val="0"/>
      <w:marTop w:val="0"/>
      <w:marBottom w:val="0"/>
      <w:divBdr>
        <w:top w:val="none" w:sz="0" w:space="0" w:color="auto"/>
        <w:left w:val="none" w:sz="0" w:space="0" w:color="auto"/>
        <w:bottom w:val="none" w:sz="0" w:space="0" w:color="auto"/>
        <w:right w:val="none" w:sz="0" w:space="0" w:color="auto"/>
      </w:divBdr>
    </w:div>
    <w:div w:id="395323725">
      <w:bodyDiv w:val="1"/>
      <w:marLeft w:val="0"/>
      <w:marRight w:val="0"/>
      <w:marTop w:val="0"/>
      <w:marBottom w:val="0"/>
      <w:divBdr>
        <w:top w:val="none" w:sz="0" w:space="0" w:color="auto"/>
        <w:left w:val="none" w:sz="0" w:space="0" w:color="auto"/>
        <w:bottom w:val="none" w:sz="0" w:space="0" w:color="auto"/>
        <w:right w:val="none" w:sz="0" w:space="0" w:color="auto"/>
      </w:divBdr>
    </w:div>
    <w:div w:id="395708819">
      <w:bodyDiv w:val="1"/>
      <w:marLeft w:val="0"/>
      <w:marRight w:val="0"/>
      <w:marTop w:val="0"/>
      <w:marBottom w:val="0"/>
      <w:divBdr>
        <w:top w:val="none" w:sz="0" w:space="0" w:color="auto"/>
        <w:left w:val="none" w:sz="0" w:space="0" w:color="auto"/>
        <w:bottom w:val="none" w:sz="0" w:space="0" w:color="auto"/>
        <w:right w:val="none" w:sz="0" w:space="0" w:color="auto"/>
      </w:divBdr>
    </w:div>
    <w:div w:id="396706102">
      <w:bodyDiv w:val="1"/>
      <w:marLeft w:val="0"/>
      <w:marRight w:val="0"/>
      <w:marTop w:val="0"/>
      <w:marBottom w:val="0"/>
      <w:divBdr>
        <w:top w:val="none" w:sz="0" w:space="0" w:color="auto"/>
        <w:left w:val="none" w:sz="0" w:space="0" w:color="auto"/>
        <w:bottom w:val="none" w:sz="0" w:space="0" w:color="auto"/>
        <w:right w:val="none" w:sz="0" w:space="0" w:color="auto"/>
      </w:divBdr>
    </w:div>
    <w:div w:id="402144516">
      <w:bodyDiv w:val="1"/>
      <w:marLeft w:val="0"/>
      <w:marRight w:val="0"/>
      <w:marTop w:val="0"/>
      <w:marBottom w:val="0"/>
      <w:divBdr>
        <w:top w:val="none" w:sz="0" w:space="0" w:color="auto"/>
        <w:left w:val="none" w:sz="0" w:space="0" w:color="auto"/>
        <w:bottom w:val="none" w:sz="0" w:space="0" w:color="auto"/>
        <w:right w:val="none" w:sz="0" w:space="0" w:color="auto"/>
      </w:divBdr>
    </w:div>
    <w:div w:id="402871118">
      <w:bodyDiv w:val="1"/>
      <w:marLeft w:val="0"/>
      <w:marRight w:val="0"/>
      <w:marTop w:val="0"/>
      <w:marBottom w:val="0"/>
      <w:divBdr>
        <w:top w:val="none" w:sz="0" w:space="0" w:color="auto"/>
        <w:left w:val="none" w:sz="0" w:space="0" w:color="auto"/>
        <w:bottom w:val="none" w:sz="0" w:space="0" w:color="auto"/>
        <w:right w:val="none" w:sz="0" w:space="0" w:color="auto"/>
      </w:divBdr>
    </w:div>
    <w:div w:id="402921975">
      <w:bodyDiv w:val="1"/>
      <w:marLeft w:val="0"/>
      <w:marRight w:val="0"/>
      <w:marTop w:val="0"/>
      <w:marBottom w:val="0"/>
      <w:divBdr>
        <w:top w:val="none" w:sz="0" w:space="0" w:color="auto"/>
        <w:left w:val="none" w:sz="0" w:space="0" w:color="auto"/>
        <w:bottom w:val="none" w:sz="0" w:space="0" w:color="auto"/>
        <w:right w:val="none" w:sz="0" w:space="0" w:color="auto"/>
      </w:divBdr>
    </w:div>
    <w:div w:id="404448799">
      <w:bodyDiv w:val="1"/>
      <w:marLeft w:val="0"/>
      <w:marRight w:val="0"/>
      <w:marTop w:val="0"/>
      <w:marBottom w:val="0"/>
      <w:divBdr>
        <w:top w:val="none" w:sz="0" w:space="0" w:color="auto"/>
        <w:left w:val="none" w:sz="0" w:space="0" w:color="auto"/>
        <w:bottom w:val="none" w:sz="0" w:space="0" w:color="auto"/>
        <w:right w:val="none" w:sz="0" w:space="0" w:color="auto"/>
      </w:divBdr>
    </w:div>
    <w:div w:id="406420005">
      <w:bodyDiv w:val="1"/>
      <w:marLeft w:val="0"/>
      <w:marRight w:val="0"/>
      <w:marTop w:val="0"/>
      <w:marBottom w:val="0"/>
      <w:divBdr>
        <w:top w:val="none" w:sz="0" w:space="0" w:color="auto"/>
        <w:left w:val="none" w:sz="0" w:space="0" w:color="auto"/>
        <w:bottom w:val="none" w:sz="0" w:space="0" w:color="auto"/>
        <w:right w:val="none" w:sz="0" w:space="0" w:color="auto"/>
      </w:divBdr>
    </w:div>
    <w:div w:id="410352792">
      <w:bodyDiv w:val="1"/>
      <w:marLeft w:val="0"/>
      <w:marRight w:val="0"/>
      <w:marTop w:val="0"/>
      <w:marBottom w:val="0"/>
      <w:divBdr>
        <w:top w:val="none" w:sz="0" w:space="0" w:color="auto"/>
        <w:left w:val="none" w:sz="0" w:space="0" w:color="auto"/>
        <w:bottom w:val="none" w:sz="0" w:space="0" w:color="auto"/>
        <w:right w:val="none" w:sz="0" w:space="0" w:color="auto"/>
      </w:divBdr>
    </w:div>
    <w:div w:id="410665428">
      <w:bodyDiv w:val="1"/>
      <w:marLeft w:val="0"/>
      <w:marRight w:val="0"/>
      <w:marTop w:val="0"/>
      <w:marBottom w:val="0"/>
      <w:divBdr>
        <w:top w:val="none" w:sz="0" w:space="0" w:color="auto"/>
        <w:left w:val="none" w:sz="0" w:space="0" w:color="auto"/>
        <w:bottom w:val="none" w:sz="0" w:space="0" w:color="auto"/>
        <w:right w:val="none" w:sz="0" w:space="0" w:color="auto"/>
      </w:divBdr>
    </w:div>
    <w:div w:id="414789772">
      <w:bodyDiv w:val="1"/>
      <w:marLeft w:val="0"/>
      <w:marRight w:val="0"/>
      <w:marTop w:val="0"/>
      <w:marBottom w:val="0"/>
      <w:divBdr>
        <w:top w:val="none" w:sz="0" w:space="0" w:color="auto"/>
        <w:left w:val="none" w:sz="0" w:space="0" w:color="auto"/>
        <w:bottom w:val="none" w:sz="0" w:space="0" w:color="auto"/>
        <w:right w:val="none" w:sz="0" w:space="0" w:color="auto"/>
      </w:divBdr>
    </w:div>
    <w:div w:id="415445288">
      <w:bodyDiv w:val="1"/>
      <w:marLeft w:val="0"/>
      <w:marRight w:val="0"/>
      <w:marTop w:val="0"/>
      <w:marBottom w:val="0"/>
      <w:divBdr>
        <w:top w:val="none" w:sz="0" w:space="0" w:color="auto"/>
        <w:left w:val="none" w:sz="0" w:space="0" w:color="auto"/>
        <w:bottom w:val="none" w:sz="0" w:space="0" w:color="auto"/>
        <w:right w:val="none" w:sz="0" w:space="0" w:color="auto"/>
      </w:divBdr>
    </w:div>
    <w:div w:id="415516335">
      <w:bodyDiv w:val="1"/>
      <w:marLeft w:val="0"/>
      <w:marRight w:val="0"/>
      <w:marTop w:val="0"/>
      <w:marBottom w:val="0"/>
      <w:divBdr>
        <w:top w:val="none" w:sz="0" w:space="0" w:color="auto"/>
        <w:left w:val="none" w:sz="0" w:space="0" w:color="auto"/>
        <w:bottom w:val="none" w:sz="0" w:space="0" w:color="auto"/>
        <w:right w:val="none" w:sz="0" w:space="0" w:color="auto"/>
      </w:divBdr>
    </w:div>
    <w:div w:id="417335926">
      <w:bodyDiv w:val="1"/>
      <w:marLeft w:val="0"/>
      <w:marRight w:val="0"/>
      <w:marTop w:val="0"/>
      <w:marBottom w:val="0"/>
      <w:divBdr>
        <w:top w:val="none" w:sz="0" w:space="0" w:color="auto"/>
        <w:left w:val="none" w:sz="0" w:space="0" w:color="auto"/>
        <w:bottom w:val="none" w:sz="0" w:space="0" w:color="auto"/>
        <w:right w:val="none" w:sz="0" w:space="0" w:color="auto"/>
      </w:divBdr>
    </w:div>
    <w:div w:id="417336774">
      <w:bodyDiv w:val="1"/>
      <w:marLeft w:val="0"/>
      <w:marRight w:val="0"/>
      <w:marTop w:val="0"/>
      <w:marBottom w:val="0"/>
      <w:divBdr>
        <w:top w:val="none" w:sz="0" w:space="0" w:color="auto"/>
        <w:left w:val="none" w:sz="0" w:space="0" w:color="auto"/>
        <w:bottom w:val="none" w:sz="0" w:space="0" w:color="auto"/>
        <w:right w:val="none" w:sz="0" w:space="0" w:color="auto"/>
      </w:divBdr>
    </w:div>
    <w:div w:id="417555329">
      <w:bodyDiv w:val="1"/>
      <w:marLeft w:val="0"/>
      <w:marRight w:val="0"/>
      <w:marTop w:val="0"/>
      <w:marBottom w:val="0"/>
      <w:divBdr>
        <w:top w:val="none" w:sz="0" w:space="0" w:color="auto"/>
        <w:left w:val="none" w:sz="0" w:space="0" w:color="auto"/>
        <w:bottom w:val="none" w:sz="0" w:space="0" w:color="auto"/>
        <w:right w:val="none" w:sz="0" w:space="0" w:color="auto"/>
      </w:divBdr>
    </w:div>
    <w:div w:id="418530436">
      <w:bodyDiv w:val="1"/>
      <w:marLeft w:val="0"/>
      <w:marRight w:val="0"/>
      <w:marTop w:val="0"/>
      <w:marBottom w:val="0"/>
      <w:divBdr>
        <w:top w:val="none" w:sz="0" w:space="0" w:color="auto"/>
        <w:left w:val="none" w:sz="0" w:space="0" w:color="auto"/>
        <w:bottom w:val="none" w:sz="0" w:space="0" w:color="auto"/>
        <w:right w:val="none" w:sz="0" w:space="0" w:color="auto"/>
      </w:divBdr>
    </w:div>
    <w:div w:id="418599121">
      <w:bodyDiv w:val="1"/>
      <w:marLeft w:val="0"/>
      <w:marRight w:val="0"/>
      <w:marTop w:val="0"/>
      <w:marBottom w:val="0"/>
      <w:divBdr>
        <w:top w:val="none" w:sz="0" w:space="0" w:color="auto"/>
        <w:left w:val="none" w:sz="0" w:space="0" w:color="auto"/>
        <w:bottom w:val="none" w:sz="0" w:space="0" w:color="auto"/>
        <w:right w:val="none" w:sz="0" w:space="0" w:color="auto"/>
      </w:divBdr>
    </w:div>
    <w:div w:id="420495288">
      <w:bodyDiv w:val="1"/>
      <w:marLeft w:val="0"/>
      <w:marRight w:val="0"/>
      <w:marTop w:val="0"/>
      <w:marBottom w:val="0"/>
      <w:divBdr>
        <w:top w:val="none" w:sz="0" w:space="0" w:color="auto"/>
        <w:left w:val="none" w:sz="0" w:space="0" w:color="auto"/>
        <w:bottom w:val="none" w:sz="0" w:space="0" w:color="auto"/>
        <w:right w:val="none" w:sz="0" w:space="0" w:color="auto"/>
      </w:divBdr>
    </w:div>
    <w:div w:id="420760142">
      <w:bodyDiv w:val="1"/>
      <w:marLeft w:val="0"/>
      <w:marRight w:val="0"/>
      <w:marTop w:val="0"/>
      <w:marBottom w:val="0"/>
      <w:divBdr>
        <w:top w:val="none" w:sz="0" w:space="0" w:color="auto"/>
        <w:left w:val="none" w:sz="0" w:space="0" w:color="auto"/>
        <w:bottom w:val="none" w:sz="0" w:space="0" w:color="auto"/>
        <w:right w:val="none" w:sz="0" w:space="0" w:color="auto"/>
      </w:divBdr>
    </w:div>
    <w:div w:id="423654407">
      <w:bodyDiv w:val="1"/>
      <w:marLeft w:val="0"/>
      <w:marRight w:val="0"/>
      <w:marTop w:val="0"/>
      <w:marBottom w:val="0"/>
      <w:divBdr>
        <w:top w:val="none" w:sz="0" w:space="0" w:color="auto"/>
        <w:left w:val="none" w:sz="0" w:space="0" w:color="auto"/>
        <w:bottom w:val="none" w:sz="0" w:space="0" w:color="auto"/>
        <w:right w:val="none" w:sz="0" w:space="0" w:color="auto"/>
      </w:divBdr>
    </w:div>
    <w:div w:id="423838735">
      <w:bodyDiv w:val="1"/>
      <w:marLeft w:val="0"/>
      <w:marRight w:val="0"/>
      <w:marTop w:val="0"/>
      <w:marBottom w:val="0"/>
      <w:divBdr>
        <w:top w:val="none" w:sz="0" w:space="0" w:color="auto"/>
        <w:left w:val="none" w:sz="0" w:space="0" w:color="auto"/>
        <w:bottom w:val="none" w:sz="0" w:space="0" w:color="auto"/>
        <w:right w:val="none" w:sz="0" w:space="0" w:color="auto"/>
      </w:divBdr>
    </w:div>
    <w:div w:id="424694179">
      <w:bodyDiv w:val="1"/>
      <w:marLeft w:val="0"/>
      <w:marRight w:val="0"/>
      <w:marTop w:val="0"/>
      <w:marBottom w:val="0"/>
      <w:divBdr>
        <w:top w:val="none" w:sz="0" w:space="0" w:color="auto"/>
        <w:left w:val="none" w:sz="0" w:space="0" w:color="auto"/>
        <w:bottom w:val="none" w:sz="0" w:space="0" w:color="auto"/>
        <w:right w:val="none" w:sz="0" w:space="0" w:color="auto"/>
      </w:divBdr>
    </w:div>
    <w:div w:id="426773193">
      <w:bodyDiv w:val="1"/>
      <w:marLeft w:val="0"/>
      <w:marRight w:val="0"/>
      <w:marTop w:val="0"/>
      <w:marBottom w:val="0"/>
      <w:divBdr>
        <w:top w:val="none" w:sz="0" w:space="0" w:color="auto"/>
        <w:left w:val="none" w:sz="0" w:space="0" w:color="auto"/>
        <w:bottom w:val="none" w:sz="0" w:space="0" w:color="auto"/>
        <w:right w:val="none" w:sz="0" w:space="0" w:color="auto"/>
      </w:divBdr>
    </w:div>
    <w:div w:id="426774663">
      <w:bodyDiv w:val="1"/>
      <w:marLeft w:val="0"/>
      <w:marRight w:val="0"/>
      <w:marTop w:val="0"/>
      <w:marBottom w:val="0"/>
      <w:divBdr>
        <w:top w:val="none" w:sz="0" w:space="0" w:color="auto"/>
        <w:left w:val="none" w:sz="0" w:space="0" w:color="auto"/>
        <w:bottom w:val="none" w:sz="0" w:space="0" w:color="auto"/>
        <w:right w:val="none" w:sz="0" w:space="0" w:color="auto"/>
      </w:divBdr>
    </w:div>
    <w:div w:id="426921249">
      <w:bodyDiv w:val="1"/>
      <w:marLeft w:val="0"/>
      <w:marRight w:val="0"/>
      <w:marTop w:val="0"/>
      <w:marBottom w:val="0"/>
      <w:divBdr>
        <w:top w:val="none" w:sz="0" w:space="0" w:color="auto"/>
        <w:left w:val="none" w:sz="0" w:space="0" w:color="auto"/>
        <w:bottom w:val="none" w:sz="0" w:space="0" w:color="auto"/>
        <w:right w:val="none" w:sz="0" w:space="0" w:color="auto"/>
      </w:divBdr>
    </w:div>
    <w:div w:id="427115016">
      <w:bodyDiv w:val="1"/>
      <w:marLeft w:val="0"/>
      <w:marRight w:val="0"/>
      <w:marTop w:val="0"/>
      <w:marBottom w:val="0"/>
      <w:divBdr>
        <w:top w:val="none" w:sz="0" w:space="0" w:color="auto"/>
        <w:left w:val="none" w:sz="0" w:space="0" w:color="auto"/>
        <w:bottom w:val="none" w:sz="0" w:space="0" w:color="auto"/>
        <w:right w:val="none" w:sz="0" w:space="0" w:color="auto"/>
      </w:divBdr>
    </w:div>
    <w:div w:id="427653660">
      <w:bodyDiv w:val="1"/>
      <w:marLeft w:val="0"/>
      <w:marRight w:val="0"/>
      <w:marTop w:val="0"/>
      <w:marBottom w:val="0"/>
      <w:divBdr>
        <w:top w:val="none" w:sz="0" w:space="0" w:color="auto"/>
        <w:left w:val="none" w:sz="0" w:space="0" w:color="auto"/>
        <w:bottom w:val="none" w:sz="0" w:space="0" w:color="auto"/>
        <w:right w:val="none" w:sz="0" w:space="0" w:color="auto"/>
      </w:divBdr>
    </w:div>
    <w:div w:id="431247709">
      <w:bodyDiv w:val="1"/>
      <w:marLeft w:val="0"/>
      <w:marRight w:val="0"/>
      <w:marTop w:val="0"/>
      <w:marBottom w:val="0"/>
      <w:divBdr>
        <w:top w:val="none" w:sz="0" w:space="0" w:color="auto"/>
        <w:left w:val="none" w:sz="0" w:space="0" w:color="auto"/>
        <w:bottom w:val="none" w:sz="0" w:space="0" w:color="auto"/>
        <w:right w:val="none" w:sz="0" w:space="0" w:color="auto"/>
      </w:divBdr>
    </w:div>
    <w:div w:id="431894731">
      <w:bodyDiv w:val="1"/>
      <w:marLeft w:val="0"/>
      <w:marRight w:val="0"/>
      <w:marTop w:val="0"/>
      <w:marBottom w:val="0"/>
      <w:divBdr>
        <w:top w:val="none" w:sz="0" w:space="0" w:color="auto"/>
        <w:left w:val="none" w:sz="0" w:space="0" w:color="auto"/>
        <w:bottom w:val="none" w:sz="0" w:space="0" w:color="auto"/>
        <w:right w:val="none" w:sz="0" w:space="0" w:color="auto"/>
      </w:divBdr>
    </w:div>
    <w:div w:id="432093214">
      <w:bodyDiv w:val="1"/>
      <w:marLeft w:val="0"/>
      <w:marRight w:val="0"/>
      <w:marTop w:val="0"/>
      <w:marBottom w:val="0"/>
      <w:divBdr>
        <w:top w:val="none" w:sz="0" w:space="0" w:color="auto"/>
        <w:left w:val="none" w:sz="0" w:space="0" w:color="auto"/>
        <w:bottom w:val="none" w:sz="0" w:space="0" w:color="auto"/>
        <w:right w:val="none" w:sz="0" w:space="0" w:color="auto"/>
      </w:divBdr>
    </w:div>
    <w:div w:id="433861572">
      <w:bodyDiv w:val="1"/>
      <w:marLeft w:val="0"/>
      <w:marRight w:val="0"/>
      <w:marTop w:val="0"/>
      <w:marBottom w:val="0"/>
      <w:divBdr>
        <w:top w:val="none" w:sz="0" w:space="0" w:color="auto"/>
        <w:left w:val="none" w:sz="0" w:space="0" w:color="auto"/>
        <w:bottom w:val="none" w:sz="0" w:space="0" w:color="auto"/>
        <w:right w:val="none" w:sz="0" w:space="0" w:color="auto"/>
      </w:divBdr>
    </w:div>
    <w:div w:id="433980114">
      <w:bodyDiv w:val="1"/>
      <w:marLeft w:val="0"/>
      <w:marRight w:val="0"/>
      <w:marTop w:val="0"/>
      <w:marBottom w:val="0"/>
      <w:divBdr>
        <w:top w:val="none" w:sz="0" w:space="0" w:color="auto"/>
        <w:left w:val="none" w:sz="0" w:space="0" w:color="auto"/>
        <w:bottom w:val="none" w:sz="0" w:space="0" w:color="auto"/>
        <w:right w:val="none" w:sz="0" w:space="0" w:color="auto"/>
      </w:divBdr>
    </w:div>
    <w:div w:id="433981932">
      <w:bodyDiv w:val="1"/>
      <w:marLeft w:val="0"/>
      <w:marRight w:val="0"/>
      <w:marTop w:val="0"/>
      <w:marBottom w:val="0"/>
      <w:divBdr>
        <w:top w:val="none" w:sz="0" w:space="0" w:color="auto"/>
        <w:left w:val="none" w:sz="0" w:space="0" w:color="auto"/>
        <w:bottom w:val="none" w:sz="0" w:space="0" w:color="auto"/>
        <w:right w:val="none" w:sz="0" w:space="0" w:color="auto"/>
      </w:divBdr>
    </w:div>
    <w:div w:id="434599853">
      <w:bodyDiv w:val="1"/>
      <w:marLeft w:val="0"/>
      <w:marRight w:val="0"/>
      <w:marTop w:val="0"/>
      <w:marBottom w:val="0"/>
      <w:divBdr>
        <w:top w:val="none" w:sz="0" w:space="0" w:color="auto"/>
        <w:left w:val="none" w:sz="0" w:space="0" w:color="auto"/>
        <w:bottom w:val="none" w:sz="0" w:space="0" w:color="auto"/>
        <w:right w:val="none" w:sz="0" w:space="0" w:color="auto"/>
      </w:divBdr>
    </w:div>
    <w:div w:id="438836046">
      <w:bodyDiv w:val="1"/>
      <w:marLeft w:val="0"/>
      <w:marRight w:val="0"/>
      <w:marTop w:val="0"/>
      <w:marBottom w:val="0"/>
      <w:divBdr>
        <w:top w:val="none" w:sz="0" w:space="0" w:color="auto"/>
        <w:left w:val="none" w:sz="0" w:space="0" w:color="auto"/>
        <w:bottom w:val="none" w:sz="0" w:space="0" w:color="auto"/>
        <w:right w:val="none" w:sz="0" w:space="0" w:color="auto"/>
      </w:divBdr>
    </w:div>
    <w:div w:id="440877836">
      <w:bodyDiv w:val="1"/>
      <w:marLeft w:val="0"/>
      <w:marRight w:val="0"/>
      <w:marTop w:val="0"/>
      <w:marBottom w:val="0"/>
      <w:divBdr>
        <w:top w:val="none" w:sz="0" w:space="0" w:color="auto"/>
        <w:left w:val="none" w:sz="0" w:space="0" w:color="auto"/>
        <w:bottom w:val="none" w:sz="0" w:space="0" w:color="auto"/>
        <w:right w:val="none" w:sz="0" w:space="0" w:color="auto"/>
      </w:divBdr>
    </w:div>
    <w:div w:id="445808469">
      <w:bodyDiv w:val="1"/>
      <w:marLeft w:val="0"/>
      <w:marRight w:val="0"/>
      <w:marTop w:val="0"/>
      <w:marBottom w:val="0"/>
      <w:divBdr>
        <w:top w:val="none" w:sz="0" w:space="0" w:color="auto"/>
        <w:left w:val="none" w:sz="0" w:space="0" w:color="auto"/>
        <w:bottom w:val="none" w:sz="0" w:space="0" w:color="auto"/>
        <w:right w:val="none" w:sz="0" w:space="0" w:color="auto"/>
      </w:divBdr>
    </w:div>
    <w:div w:id="450635489">
      <w:bodyDiv w:val="1"/>
      <w:marLeft w:val="0"/>
      <w:marRight w:val="0"/>
      <w:marTop w:val="0"/>
      <w:marBottom w:val="0"/>
      <w:divBdr>
        <w:top w:val="none" w:sz="0" w:space="0" w:color="auto"/>
        <w:left w:val="none" w:sz="0" w:space="0" w:color="auto"/>
        <w:bottom w:val="none" w:sz="0" w:space="0" w:color="auto"/>
        <w:right w:val="none" w:sz="0" w:space="0" w:color="auto"/>
      </w:divBdr>
    </w:div>
    <w:div w:id="454913638">
      <w:bodyDiv w:val="1"/>
      <w:marLeft w:val="0"/>
      <w:marRight w:val="0"/>
      <w:marTop w:val="0"/>
      <w:marBottom w:val="0"/>
      <w:divBdr>
        <w:top w:val="none" w:sz="0" w:space="0" w:color="auto"/>
        <w:left w:val="none" w:sz="0" w:space="0" w:color="auto"/>
        <w:bottom w:val="none" w:sz="0" w:space="0" w:color="auto"/>
        <w:right w:val="none" w:sz="0" w:space="0" w:color="auto"/>
      </w:divBdr>
    </w:div>
    <w:div w:id="455149587">
      <w:bodyDiv w:val="1"/>
      <w:marLeft w:val="0"/>
      <w:marRight w:val="0"/>
      <w:marTop w:val="0"/>
      <w:marBottom w:val="0"/>
      <w:divBdr>
        <w:top w:val="none" w:sz="0" w:space="0" w:color="auto"/>
        <w:left w:val="none" w:sz="0" w:space="0" w:color="auto"/>
        <w:bottom w:val="none" w:sz="0" w:space="0" w:color="auto"/>
        <w:right w:val="none" w:sz="0" w:space="0" w:color="auto"/>
      </w:divBdr>
    </w:div>
    <w:div w:id="455295773">
      <w:bodyDiv w:val="1"/>
      <w:marLeft w:val="0"/>
      <w:marRight w:val="0"/>
      <w:marTop w:val="0"/>
      <w:marBottom w:val="0"/>
      <w:divBdr>
        <w:top w:val="none" w:sz="0" w:space="0" w:color="auto"/>
        <w:left w:val="none" w:sz="0" w:space="0" w:color="auto"/>
        <w:bottom w:val="none" w:sz="0" w:space="0" w:color="auto"/>
        <w:right w:val="none" w:sz="0" w:space="0" w:color="auto"/>
      </w:divBdr>
    </w:div>
    <w:div w:id="455373894">
      <w:bodyDiv w:val="1"/>
      <w:marLeft w:val="0"/>
      <w:marRight w:val="0"/>
      <w:marTop w:val="0"/>
      <w:marBottom w:val="0"/>
      <w:divBdr>
        <w:top w:val="none" w:sz="0" w:space="0" w:color="auto"/>
        <w:left w:val="none" w:sz="0" w:space="0" w:color="auto"/>
        <w:bottom w:val="none" w:sz="0" w:space="0" w:color="auto"/>
        <w:right w:val="none" w:sz="0" w:space="0" w:color="auto"/>
      </w:divBdr>
    </w:div>
    <w:div w:id="457184016">
      <w:bodyDiv w:val="1"/>
      <w:marLeft w:val="0"/>
      <w:marRight w:val="0"/>
      <w:marTop w:val="0"/>
      <w:marBottom w:val="0"/>
      <w:divBdr>
        <w:top w:val="none" w:sz="0" w:space="0" w:color="auto"/>
        <w:left w:val="none" w:sz="0" w:space="0" w:color="auto"/>
        <w:bottom w:val="none" w:sz="0" w:space="0" w:color="auto"/>
        <w:right w:val="none" w:sz="0" w:space="0" w:color="auto"/>
      </w:divBdr>
    </w:div>
    <w:div w:id="457770829">
      <w:bodyDiv w:val="1"/>
      <w:marLeft w:val="0"/>
      <w:marRight w:val="0"/>
      <w:marTop w:val="0"/>
      <w:marBottom w:val="0"/>
      <w:divBdr>
        <w:top w:val="none" w:sz="0" w:space="0" w:color="auto"/>
        <w:left w:val="none" w:sz="0" w:space="0" w:color="auto"/>
        <w:bottom w:val="none" w:sz="0" w:space="0" w:color="auto"/>
        <w:right w:val="none" w:sz="0" w:space="0" w:color="auto"/>
      </w:divBdr>
    </w:div>
    <w:div w:id="462649979">
      <w:bodyDiv w:val="1"/>
      <w:marLeft w:val="0"/>
      <w:marRight w:val="0"/>
      <w:marTop w:val="0"/>
      <w:marBottom w:val="0"/>
      <w:divBdr>
        <w:top w:val="none" w:sz="0" w:space="0" w:color="auto"/>
        <w:left w:val="none" w:sz="0" w:space="0" w:color="auto"/>
        <w:bottom w:val="none" w:sz="0" w:space="0" w:color="auto"/>
        <w:right w:val="none" w:sz="0" w:space="0" w:color="auto"/>
      </w:divBdr>
    </w:div>
    <w:div w:id="462815455">
      <w:bodyDiv w:val="1"/>
      <w:marLeft w:val="0"/>
      <w:marRight w:val="0"/>
      <w:marTop w:val="0"/>
      <w:marBottom w:val="0"/>
      <w:divBdr>
        <w:top w:val="none" w:sz="0" w:space="0" w:color="auto"/>
        <w:left w:val="none" w:sz="0" w:space="0" w:color="auto"/>
        <w:bottom w:val="none" w:sz="0" w:space="0" w:color="auto"/>
        <w:right w:val="none" w:sz="0" w:space="0" w:color="auto"/>
      </w:divBdr>
    </w:div>
    <w:div w:id="463961803">
      <w:bodyDiv w:val="1"/>
      <w:marLeft w:val="0"/>
      <w:marRight w:val="0"/>
      <w:marTop w:val="0"/>
      <w:marBottom w:val="0"/>
      <w:divBdr>
        <w:top w:val="none" w:sz="0" w:space="0" w:color="auto"/>
        <w:left w:val="none" w:sz="0" w:space="0" w:color="auto"/>
        <w:bottom w:val="none" w:sz="0" w:space="0" w:color="auto"/>
        <w:right w:val="none" w:sz="0" w:space="0" w:color="auto"/>
      </w:divBdr>
    </w:div>
    <w:div w:id="465512493">
      <w:bodyDiv w:val="1"/>
      <w:marLeft w:val="0"/>
      <w:marRight w:val="0"/>
      <w:marTop w:val="0"/>
      <w:marBottom w:val="0"/>
      <w:divBdr>
        <w:top w:val="none" w:sz="0" w:space="0" w:color="auto"/>
        <w:left w:val="none" w:sz="0" w:space="0" w:color="auto"/>
        <w:bottom w:val="none" w:sz="0" w:space="0" w:color="auto"/>
        <w:right w:val="none" w:sz="0" w:space="0" w:color="auto"/>
      </w:divBdr>
    </w:div>
    <w:div w:id="466243417">
      <w:bodyDiv w:val="1"/>
      <w:marLeft w:val="0"/>
      <w:marRight w:val="0"/>
      <w:marTop w:val="0"/>
      <w:marBottom w:val="0"/>
      <w:divBdr>
        <w:top w:val="none" w:sz="0" w:space="0" w:color="auto"/>
        <w:left w:val="none" w:sz="0" w:space="0" w:color="auto"/>
        <w:bottom w:val="none" w:sz="0" w:space="0" w:color="auto"/>
        <w:right w:val="none" w:sz="0" w:space="0" w:color="auto"/>
      </w:divBdr>
    </w:div>
    <w:div w:id="467013367">
      <w:bodyDiv w:val="1"/>
      <w:marLeft w:val="0"/>
      <w:marRight w:val="0"/>
      <w:marTop w:val="0"/>
      <w:marBottom w:val="0"/>
      <w:divBdr>
        <w:top w:val="none" w:sz="0" w:space="0" w:color="auto"/>
        <w:left w:val="none" w:sz="0" w:space="0" w:color="auto"/>
        <w:bottom w:val="none" w:sz="0" w:space="0" w:color="auto"/>
        <w:right w:val="none" w:sz="0" w:space="0" w:color="auto"/>
      </w:divBdr>
    </w:div>
    <w:div w:id="467213600">
      <w:bodyDiv w:val="1"/>
      <w:marLeft w:val="0"/>
      <w:marRight w:val="0"/>
      <w:marTop w:val="0"/>
      <w:marBottom w:val="0"/>
      <w:divBdr>
        <w:top w:val="none" w:sz="0" w:space="0" w:color="auto"/>
        <w:left w:val="none" w:sz="0" w:space="0" w:color="auto"/>
        <w:bottom w:val="none" w:sz="0" w:space="0" w:color="auto"/>
        <w:right w:val="none" w:sz="0" w:space="0" w:color="auto"/>
      </w:divBdr>
    </w:div>
    <w:div w:id="469632736">
      <w:bodyDiv w:val="1"/>
      <w:marLeft w:val="0"/>
      <w:marRight w:val="0"/>
      <w:marTop w:val="0"/>
      <w:marBottom w:val="0"/>
      <w:divBdr>
        <w:top w:val="none" w:sz="0" w:space="0" w:color="auto"/>
        <w:left w:val="none" w:sz="0" w:space="0" w:color="auto"/>
        <w:bottom w:val="none" w:sz="0" w:space="0" w:color="auto"/>
        <w:right w:val="none" w:sz="0" w:space="0" w:color="auto"/>
      </w:divBdr>
    </w:div>
    <w:div w:id="474763601">
      <w:bodyDiv w:val="1"/>
      <w:marLeft w:val="0"/>
      <w:marRight w:val="0"/>
      <w:marTop w:val="0"/>
      <w:marBottom w:val="0"/>
      <w:divBdr>
        <w:top w:val="none" w:sz="0" w:space="0" w:color="auto"/>
        <w:left w:val="none" w:sz="0" w:space="0" w:color="auto"/>
        <w:bottom w:val="none" w:sz="0" w:space="0" w:color="auto"/>
        <w:right w:val="none" w:sz="0" w:space="0" w:color="auto"/>
      </w:divBdr>
    </w:div>
    <w:div w:id="476916840">
      <w:bodyDiv w:val="1"/>
      <w:marLeft w:val="0"/>
      <w:marRight w:val="0"/>
      <w:marTop w:val="0"/>
      <w:marBottom w:val="0"/>
      <w:divBdr>
        <w:top w:val="none" w:sz="0" w:space="0" w:color="auto"/>
        <w:left w:val="none" w:sz="0" w:space="0" w:color="auto"/>
        <w:bottom w:val="none" w:sz="0" w:space="0" w:color="auto"/>
        <w:right w:val="none" w:sz="0" w:space="0" w:color="auto"/>
      </w:divBdr>
    </w:div>
    <w:div w:id="478766110">
      <w:bodyDiv w:val="1"/>
      <w:marLeft w:val="0"/>
      <w:marRight w:val="0"/>
      <w:marTop w:val="0"/>
      <w:marBottom w:val="0"/>
      <w:divBdr>
        <w:top w:val="none" w:sz="0" w:space="0" w:color="auto"/>
        <w:left w:val="none" w:sz="0" w:space="0" w:color="auto"/>
        <w:bottom w:val="none" w:sz="0" w:space="0" w:color="auto"/>
        <w:right w:val="none" w:sz="0" w:space="0" w:color="auto"/>
      </w:divBdr>
    </w:div>
    <w:div w:id="480394019">
      <w:bodyDiv w:val="1"/>
      <w:marLeft w:val="0"/>
      <w:marRight w:val="0"/>
      <w:marTop w:val="0"/>
      <w:marBottom w:val="0"/>
      <w:divBdr>
        <w:top w:val="none" w:sz="0" w:space="0" w:color="auto"/>
        <w:left w:val="none" w:sz="0" w:space="0" w:color="auto"/>
        <w:bottom w:val="none" w:sz="0" w:space="0" w:color="auto"/>
        <w:right w:val="none" w:sz="0" w:space="0" w:color="auto"/>
      </w:divBdr>
    </w:div>
    <w:div w:id="481124646">
      <w:bodyDiv w:val="1"/>
      <w:marLeft w:val="0"/>
      <w:marRight w:val="0"/>
      <w:marTop w:val="0"/>
      <w:marBottom w:val="0"/>
      <w:divBdr>
        <w:top w:val="none" w:sz="0" w:space="0" w:color="auto"/>
        <w:left w:val="none" w:sz="0" w:space="0" w:color="auto"/>
        <w:bottom w:val="none" w:sz="0" w:space="0" w:color="auto"/>
        <w:right w:val="none" w:sz="0" w:space="0" w:color="auto"/>
      </w:divBdr>
    </w:div>
    <w:div w:id="482040446">
      <w:bodyDiv w:val="1"/>
      <w:marLeft w:val="0"/>
      <w:marRight w:val="0"/>
      <w:marTop w:val="0"/>
      <w:marBottom w:val="0"/>
      <w:divBdr>
        <w:top w:val="none" w:sz="0" w:space="0" w:color="auto"/>
        <w:left w:val="none" w:sz="0" w:space="0" w:color="auto"/>
        <w:bottom w:val="none" w:sz="0" w:space="0" w:color="auto"/>
        <w:right w:val="none" w:sz="0" w:space="0" w:color="auto"/>
      </w:divBdr>
    </w:div>
    <w:div w:id="482963798">
      <w:bodyDiv w:val="1"/>
      <w:marLeft w:val="0"/>
      <w:marRight w:val="0"/>
      <w:marTop w:val="0"/>
      <w:marBottom w:val="0"/>
      <w:divBdr>
        <w:top w:val="none" w:sz="0" w:space="0" w:color="auto"/>
        <w:left w:val="none" w:sz="0" w:space="0" w:color="auto"/>
        <w:bottom w:val="none" w:sz="0" w:space="0" w:color="auto"/>
        <w:right w:val="none" w:sz="0" w:space="0" w:color="auto"/>
      </w:divBdr>
    </w:div>
    <w:div w:id="483472842">
      <w:bodyDiv w:val="1"/>
      <w:marLeft w:val="0"/>
      <w:marRight w:val="0"/>
      <w:marTop w:val="0"/>
      <w:marBottom w:val="0"/>
      <w:divBdr>
        <w:top w:val="none" w:sz="0" w:space="0" w:color="auto"/>
        <w:left w:val="none" w:sz="0" w:space="0" w:color="auto"/>
        <w:bottom w:val="none" w:sz="0" w:space="0" w:color="auto"/>
        <w:right w:val="none" w:sz="0" w:space="0" w:color="auto"/>
      </w:divBdr>
    </w:div>
    <w:div w:id="485127099">
      <w:bodyDiv w:val="1"/>
      <w:marLeft w:val="0"/>
      <w:marRight w:val="0"/>
      <w:marTop w:val="0"/>
      <w:marBottom w:val="0"/>
      <w:divBdr>
        <w:top w:val="none" w:sz="0" w:space="0" w:color="auto"/>
        <w:left w:val="none" w:sz="0" w:space="0" w:color="auto"/>
        <w:bottom w:val="none" w:sz="0" w:space="0" w:color="auto"/>
        <w:right w:val="none" w:sz="0" w:space="0" w:color="auto"/>
      </w:divBdr>
    </w:div>
    <w:div w:id="487136990">
      <w:bodyDiv w:val="1"/>
      <w:marLeft w:val="0"/>
      <w:marRight w:val="0"/>
      <w:marTop w:val="0"/>
      <w:marBottom w:val="0"/>
      <w:divBdr>
        <w:top w:val="none" w:sz="0" w:space="0" w:color="auto"/>
        <w:left w:val="none" w:sz="0" w:space="0" w:color="auto"/>
        <w:bottom w:val="none" w:sz="0" w:space="0" w:color="auto"/>
        <w:right w:val="none" w:sz="0" w:space="0" w:color="auto"/>
      </w:divBdr>
    </w:div>
    <w:div w:id="489248829">
      <w:bodyDiv w:val="1"/>
      <w:marLeft w:val="0"/>
      <w:marRight w:val="0"/>
      <w:marTop w:val="0"/>
      <w:marBottom w:val="0"/>
      <w:divBdr>
        <w:top w:val="none" w:sz="0" w:space="0" w:color="auto"/>
        <w:left w:val="none" w:sz="0" w:space="0" w:color="auto"/>
        <w:bottom w:val="none" w:sz="0" w:space="0" w:color="auto"/>
        <w:right w:val="none" w:sz="0" w:space="0" w:color="auto"/>
      </w:divBdr>
    </w:div>
    <w:div w:id="490683273">
      <w:bodyDiv w:val="1"/>
      <w:marLeft w:val="0"/>
      <w:marRight w:val="0"/>
      <w:marTop w:val="0"/>
      <w:marBottom w:val="0"/>
      <w:divBdr>
        <w:top w:val="none" w:sz="0" w:space="0" w:color="auto"/>
        <w:left w:val="none" w:sz="0" w:space="0" w:color="auto"/>
        <w:bottom w:val="none" w:sz="0" w:space="0" w:color="auto"/>
        <w:right w:val="none" w:sz="0" w:space="0" w:color="auto"/>
      </w:divBdr>
    </w:div>
    <w:div w:id="490754776">
      <w:bodyDiv w:val="1"/>
      <w:marLeft w:val="0"/>
      <w:marRight w:val="0"/>
      <w:marTop w:val="0"/>
      <w:marBottom w:val="0"/>
      <w:divBdr>
        <w:top w:val="none" w:sz="0" w:space="0" w:color="auto"/>
        <w:left w:val="none" w:sz="0" w:space="0" w:color="auto"/>
        <w:bottom w:val="none" w:sz="0" w:space="0" w:color="auto"/>
        <w:right w:val="none" w:sz="0" w:space="0" w:color="auto"/>
      </w:divBdr>
    </w:div>
    <w:div w:id="491914307">
      <w:bodyDiv w:val="1"/>
      <w:marLeft w:val="0"/>
      <w:marRight w:val="0"/>
      <w:marTop w:val="0"/>
      <w:marBottom w:val="0"/>
      <w:divBdr>
        <w:top w:val="none" w:sz="0" w:space="0" w:color="auto"/>
        <w:left w:val="none" w:sz="0" w:space="0" w:color="auto"/>
        <w:bottom w:val="none" w:sz="0" w:space="0" w:color="auto"/>
        <w:right w:val="none" w:sz="0" w:space="0" w:color="auto"/>
      </w:divBdr>
    </w:div>
    <w:div w:id="493570739">
      <w:bodyDiv w:val="1"/>
      <w:marLeft w:val="0"/>
      <w:marRight w:val="0"/>
      <w:marTop w:val="0"/>
      <w:marBottom w:val="0"/>
      <w:divBdr>
        <w:top w:val="none" w:sz="0" w:space="0" w:color="auto"/>
        <w:left w:val="none" w:sz="0" w:space="0" w:color="auto"/>
        <w:bottom w:val="none" w:sz="0" w:space="0" w:color="auto"/>
        <w:right w:val="none" w:sz="0" w:space="0" w:color="auto"/>
      </w:divBdr>
    </w:div>
    <w:div w:id="494303718">
      <w:bodyDiv w:val="1"/>
      <w:marLeft w:val="0"/>
      <w:marRight w:val="0"/>
      <w:marTop w:val="0"/>
      <w:marBottom w:val="0"/>
      <w:divBdr>
        <w:top w:val="none" w:sz="0" w:space="0" w:color="auto"/>
        <w:left w:val="none" w:sz="0" w:space="0" w:color="auto"/>
        <w:bottom w:val="none" w:sz="0" w:space="0" w:color="auto"/>
        <w:right w:val="none" w:sz="0" w:space="0" w:color="auto"/>
      </w:divBdr>
    </w:div>
    <w:div w:id="494493841">
      <w:bodyDiv w:val="1"/>
      <w:marLeft w:val="0"/>
      <w:marRight w:val="0"/>
      <w:marTop w:val="0"/>
      <w:marBottom w:val="0"/>
      <w:divBdr>
        <w:top w:val="none" w:sz="0" w:space="0" w:color="auto"/>
        <w:left w:val="none" w:sz="0" w:space="0" w:color="auto"/>
        <w:bottom w:val="none" w:sz="0" w:space="0" w:color="auto"/>
        <w:right w:val="none" w:sz="0" w:space="0" w:color="auto"/>
      </w:divBdr>
    </w:div>
    <w:div w:id="495460092">
      <w:bodyDiv w:val="1"/>
      <w:marLeft w:val="0"/>
      <w:marRight w:val="0"/>
      <w:marTop w:val="0"/>
      <w:marBottom w:val="0"/>
      <w:divBdr>
        <w:top w:val="none" w:sz="0" w:space="0" w:color="auto"/>
        <w:left w:val="none" w:sz="0" w:space="0" w:color="auto"/>
        <w:bottom w:val="none" w:sz="0" w:space="0" w:color="auto"/>
        <w:right w:val="none" w:sz="0" w:space="0" w:color="auto"/>
      </w:divBdr>
    </w:div>
    <w:div w:id="496724301">
      <w:bodyDiv w:val="1"/>
      <w:marLeft w:val="0"/>
      <w:marRight w:val="0"/>
      <w:marTop w:val="0"/>
      <w:marBottom w:val="0"/>
      <w:divBdr>
        <w:top w:val="none" w:sz="0" w:space="0" w:color="auto"/>
        <w:left w:val="none" w:sz="0" w:space="0" w:color="auto"/>
        <w:bottom w:val="none" w:sz="0" w:space="0" w:color="auto"/>
        <w:right w:val="none" w:sz="0" w:space="0" w:color="auto"/>
      </w:divBdr>
    </w:div>
    <w:div w:id="500463153">
      <w:bodyDiv w:val="1"/>
      <w:marLeft w:val="0"/>
      <w:marRight w:val="0"/>
      <w:marTop w:val="0"/>
      <w:marBottom w:val="0"/>
      <w:divBdr>
        <w:top w:val="none" w:sz="0" w:space="0" w:color="auto"/>
        <w:left w:val="none" w:sz="0" w:space="0" w:color="auto"/>
        <w:bottom w:val="none" w:sz="0" w:space="0" w:color="auto"/>
        <w:right w:val="none" w:sz="0" w:space="0" w:color="auto"/>
      </w:divBdr>
    </w:div>
    <w:div w:id="501357539">
      <w:bodyDiv w:val="1"/>
      <w:marLeft w:val="0"/>
      <w:marRight w:val="0"/>
      <w:marTop w:val="0"/>
      <w:marBottom w:val="0"/>
      <w:divBdr>
        <w:top w:val="none" w:sz="0" w:space="0" w:color="auto"/>
        <w:left w:val="none" w:sz="0" w:space="0" w:color="auto"/>
        <w:bottom w:val="none" w:sz="0" w:space="0" w:color="auto"/>
        <w:right w:val="none" w:sz="0" w:space="0" w:color="auto"/>
      </w:divBdr>
    </w:div>
    <w:div w:id="501820031">
      <w:bodyDiv w:val="1"/>
      <w:marLeft w:val="0"/>
      <w:marRight w:val="0"/>
      <w:marTop w:val="0"/>
      <w:marBottom w:val="0"/>
      <w:divBdr>
        <w:top w:val="none" w:sz="0" w:space="0" w:color="auto"/>
        <w:left w:val="none" w:sz="0" w:space="0" w:color="auto"/>
        <w:bottom w:val="none" w:sz="0" w:space="0" w:color="auto"/>
        <w:right w:val="none" w:sz="0" w:space="0" w:color="auto"/>
      </w:divBdr>
    </w:div>
    <w:div w:id="503326682">
      <w:bodyDiv w:val="1"/>
      <w:marLeft w:val="0"/>
      <w:marRight w:val="0"/>
      <w:marTop w:val="0"/>
      <w:marBottom w:val="0"/>
      <w:divBdr>
        <w:top w:val="none" w:sz="0" w:space="0" w:color="auto"/>
        <w:left w:val="none" w:sz="0" w:space="0" w:color="auto"/>
        <w:bottom w:val="none" w:sz="0" w:space="0" w:color="auto"/>
        <w:right w:val="none" w:sz="0" w:space="0" w:color="auto"/>
      </w:divBdr>
    </w:div>
    <w:div w:id="503479533">
      <w:bodyDiv w:val="1"/>
      <w:marLeft w:val="0"/>
      <w:marRight w:val="0"/>
      <w:marTop w:val="0"/>
      <w:marBottom w:val="0"/>
      <w:divBdr>
        <w:top w:val="none" w:sz="0" w:space="0" w:color="auto"/>
        <w:left w:val="none" w:sz="0" w:space="0" w:color="auto"/>
        <w:bottom w:val="none" w:sz="0" w:space="0" w:color="auto"/>
        <w:right w:val="none" w:sz="0" w:space="0" w:color="auto"/>
      </w:divBdr>
    </w:div>
    <w:div w:id="506797425">
      <w:bodyDiv w:val="1"/>
      <w:marLeft w:val="0"/>
      <w:marRight w:val="0"/>
      <w:marTop w:val="0"/>
      <w:marBottom w:val="0"/>
      <w:divBdr>
        <w:top w:val="none" w:sz="0" w:space="0" w:color="auto"/>
        <w:left w:val="none" w:sz="0" w:space="0" w:color="auto"/>
        <w:bottom w:val="none" w:sz="0" w:space="0" w:color="auto"/>
        <w:right w:val="none" w:sz="0" w:space="0" w:color="auto"/>
      </w:divBdr>
    </w:div>
    <w:div w:id="510145303">
      <w:bodyDiv w:val="1"/>
      <w:marLeft w:val="0"/>
      <w:marRight w:val="0"/>
      <w:marTop w:val="0"/>
      <w:marBottom w:val="0"/>
      <w:divBdr>
        <w:top w:val="none" w:sz="0" w:space="0" w:color="auto"/>
        <w:left w:val="none" w:sz="0" w:space="0" w:color="auto"/>
        <w:bottom w:val="none" w:sz="0" w:space="0" w:color="auto"/>
        <w:right w:val="none" w:sz="0" w:space="0" w:color="auto"/>
      </w:divBdr>
    </w:div>
    <w:div w:id="514610668">
      <w:bodyDiv w:val="1"/>
      <w:marLeft w:val="0"/>
      <w:marRight w:val="0"/>
      <w:marTop w:val="0"/>
      <w:marBottom w:val="0"/>
      <w:divBdr>
        <w:top w:val="none" w:sz="0" w:space="0" w:color="auto"/>
        <w:left w:val="none" w:sz="0" w:space="0" w:color="auto"/>
        <w:bottom w:val="none" w:sz="0" w:space="0" w:color="auto"/>
        <w:right w:val="none" w:sz="0" w:space="0" w:color="auto"/>
      </w:divBdr>
    </w:div>
    <w:div w:id="515116118">
      <w:bodyDiv w:val="1"/>
      <w:marLeft w:val="0"/>
      <w:marRight w:val="0"/>
      <w:marTop w:val="0"/>
      <w:marBottom w:val="0"/>
      <w:divBdr>
        <w:top w:val="none" w:sz="0" w:space="0" w:color="auto"/>
        <w:left w:val="none" w:sz="0" w:space="0" w:color="auto"/>
        <w:bottom w:val="none" w:sz="0" w:space="0" w:color="auto"/>
        <w:right w:val="none" w:sz="0" w:space="0" w:color="auto"/>
      </w:divBdr>
    </w:div>
    <w:div w:id="515122443">
      <w:bodyDiv w:val="1"/>
      <w:marLeft w:val="0"/>
      <w:marRight w:val="0"/>
      <w:marTop w:val="0"/>
      <w:marBottom w:val="0"/>
      <w:divBdr>
        <w:top w:val="none" w:sz="0" w:space="0" w:color="auto"/>
        <w:left w:val="none" w:sz="0" w:space="0" w:color="auto"/>
        <w:bottom w:val="none" w:sz="0" w:space="0" w:color="auto"/>
        <w:right w:val="none" w:sz="0" w:space="0" w:color="auto"/>
      </w:divBdr>
    </w:div>
    <w:div w:id="516189624">
      <w:bodyDiv w:val="1"/>
      <w:marLeft w:val="0"/>
      <w:marRight w:val="0"/>
      <w:marTop w:val="0"/>
      <w:marBottom w:val="0"/>
      <w:divBdr>
        <w:top w:val="none" w:sz="0" w:space="0" w:color="auto"/>
        <w:left w:val="none" w:sz="0" w:space="0" w:color="auto"/>
        <w:bottom w:val="none" w:sz="0" w:space="0" w:color="auto"/>
        <w:right w:val="none" w:sz="0" w:space="0" w:color="auto"/>
      </w:divBdr>
    </w:div>
    <w:div w:id="516388000">
      <w:bodyDiv w:val="1"/>
      <w:marLeft w:val="0"/>
      <w:marRight w:val="0"/>
      <w:marTop w:val="0"/>
      <w:marBottom w:val="0"/>
      <w:divBdr>
        <w:top w:val="none" w:sz="0" w:space="0" w:color="auto"/>
        <w:left w:val="none" w:sz="0" w:space="0" w:color="auto"/>
        <w:bottom w:val="none" w:sz="0" w:space="0" w:color="auto"/>
        <w:right w:val="none" w:sz="0" w:space="0" w:color="auto"/>
      </w:divBdr>
    </w:div>
    <w:div w:id="517618747">
      <w:bodyDiv w:val="1"/>
      <w:marLeft w:val="0"/>
      <w:marRight w:val="0"/>
      <w:marTop w:val="0"/>
      <w:marBottom w:val="0"/>
      <w:divBdr>
        <w:top w:val="none" w:sz="0" w:space="0" w:color="auto"/>
        <w:left w:val="none" w:sz="0" w:space="0" w:color="auto"/>
        <w:bottom w:val="none" w:sz="0" w:space="0" w:color="auto"/>
        <w:right w:val="none" w:sz="0" w:space="0" w:color="auto"/>
      </w:divBdr>
    </w:div>
    <w:div w:id="519317372">
      <w:bodyDiv w:val="1"/>
      <w:marLeft w:val="0"/>
      <w:marRight w:val="0"/>
      <w:marTop w:val="0"/>
      <w:marBottom w:val="0"/>
      <w:divBdr>
        <w:top w:val="none" w:sz="0" w:space="0" w:color="auto"/>
        <w:left w:val="none" w:sz="0" w:space="0" w:color="auto"/>
        <w:bottom w:val="none" w:sz="0" w:space="0" w:color="auto"/>
        <w:right w:val="none" w:sz="0" w:space="0" w:color="auto"/>
      </w:divBdr>
    </w:div>
    <w:div w:id="519659523">
      <w:bodyDiv w:val="1"/>
      <w:marLeft w:val="0"/>
      <w:marRight w:val="0"/>
      <w:marTop w:val="0"/>
      <w:marBottom w:val="0"/>
      <w:divBdr>
        <w:top w:val="none" w:sz="0" w:space="0" w:color="auto"/>
        <w:left w:val="none" w:sz="0" w:space="0" w:color="auto"/>
        <w:bottom w:val="none" w:sz="0" w:space="0" w:color="auto"/>
        <w:right w:val="none" w:sz="0" w:space="0" w:color="auto"/>
      </w:divBdr>
    </w:div>
    <w:div w:id="520512171">
      <w:bodyDiv w:val="1"/>
      <w:marLeft w:val="0"/>
      <w:marRight w:val="0"/>
      <w:marTop w:val="0"/>
      <w:marBottom w:val="0"/>
      <w:divBdr>
        <w:top w:val="none" w:sz="0" w:space="0" w:color="auto"/>
        <w:left w:val="none" w:sz="0" w:space="0" w:color="auto"/>
        <w:bottom w:val="none" w:sz="0" w:space="0" w:color="auto"/>
        <w:right w:val="none" w:sz="0" w:space="0" w:color="auto"/>
      </w:divBdr>
    </w:div>
    <w:div w:id="522205449">
      <w:bodyDiv w:val="1"/>
      <w:marLeft w:val="0"/>
      <w:marRight w:val="0"/>
      <w:marTop w:val="0"/>
      <w:marBottom w:val="0"/>
      <w:divBdr>
        <w:top w:val="none" w:sz="0" w:space="0" w:color="auto"/>
        <w:left w:val="none" w:sz="0" w:space="0" w:color="auto"/>
        <w:bottom w:val="none" w:sz="0" w:space="0" w:color="auto"/>
        <w:right w:val="none" w:sz="0" w:space="0" w:color="auto"/>
      </w:divBdr>
    </w:div>
    <w:div w:id="522282335">
      <w:bodyDiv w:val="1"/>
      <w:marLeft w:val="0"/>
      <w:marRight w:val="0"/>
      <w:marTop w:val="0"/>
      <w:marBottom w:val="0"/>
      <w:divBdr>
        <w:top w:val="none" w:sz="0" w:space="0" w:color="auto"/>
        <w:left w:val="none" w:sz="0" w:space="0" w:color="auto"/>
        <w:bottom w:val="none" w:sz="0" w:space="0" w:color="auto"/>
        <w:right w:val="none" w:sz="0" w:space="0" w:color="auto"/>
      </w:divBdr>
    </w:div>
    <w:div w:id="522473460">
      <w:bodyDiv w:val="1"/>
      <w:marLeft w:val="0"/>
      <w:marRight w:val="0"/>
      <w:marTop w:val="0"/>
      <w:marBottom w:val="0"/>
      <w:divBdr>
        <w:top w:val="none" w:sz="0" w:space="0" w:color="auto"/>
        <w:left w:val="none" w:sz="0" w:space="0" w:color="auto"/>
        <w:bottom w:val="none" w:sz="0" w:space="0" w:color="auto"/>
        <w:right w:val="none" w:sz="0" w:space="0" w:color="auto"/>
      </w:divBdr>
    </w:div>
    <w:div w:id="522481945">
      <w:bodyDiv w:val="1"/>
      <w:marLeft w:val="0"/>
      <w:marRight w:val="0"/>
      <w:marTop w:val="0"/>
      <w:marBottom w:val="0"/>
      <w:divBdr>
        <w:top w:val="none" w:sz="0" w:space="0" w:color="auto"/>
        <w:left w:val="none" w:sz="0" w:space="0" w:color="auto"/>
        <w:bottom w:val="none" w:sz="0" w:space="0" w:color="auto"/>
        <w:right w:val="none" w:sz="0" w:space="0" w:color="auto"/>
      </w:divBdr>
    </w:div>
    <w:div w:id="523372854">
      <w:bodyDiv w:val="1"/>
      <w:marLeft w:val="0"/>
      <w:marRight w:val="0"/>
      <w:marTop w:val="0"/>
      <w:marBottom w:val="0"/>
      <w:divBdr>
        <w:top w:val="none" w:sz="0" w:space="0" w:color="auto"/>
        <w:left w:val="none" w:sz="0" w:space="0" w:color="auto"/>
        <w:bottom w:val="none" w:sz="0" w:space="0" w:color="auto"/>
        <w:right w:val="none" w:sz="0" w:space="0" w:color="auto"/>
      </w:divBdr>
    </w:div>
    <w:div w:id="526065362">
      <w:bodyDiv w:val="1"/>
      <w:marLeft w:val="0"/>
      <w:marRight w:val="0"/>
      <w:marTop w:val="0"/>
      <w:marBottom w:val="0"/>
      <w:divBdr>
        <w:top w:val="none" w:sz="0" w:space="0" w:color="auto"/>
        <w:left w:val="none" w:sz="0" w:space="0" w:color="auto"/>
        <w:bottom w:val="none" w:sz="0" w:space="0" w:color="auto"/>
        <w:right w:val="none" w:sz="0" w:space="0" w:color="auto"/>
      </w:divBdr>
    </w:div>
    <w:div w:id="526214114">
      <w:bodyDiv w:val="1"/>
      <w:marLeft w:val="0"/>
      <w:marRight w:val="0"/>
      <w:marTop w:val="0"/>
      <w:marBottom w:val="0"/>
      <w:divBdr>
        <w:top w:val="none" w:sz="0" w:space="0" w:color="auto"/>
        <w:left w:val="none" w:sz="0" w:space="0" w:color="auto"/>
        <w:bottom w:val="none" w:sz="0" w:space="0" w:color="auto"/>
        <w:right w:val="none" w:sz="0" w:space="0" w:color="auto"/>
      </w:divBdr>
    </w:div>
    <w:div w:id="526329692">
      <w:bodyDiv w:val="1"/>
      <w:marLeft w:val="0"/>
      <w:marRight w:val="0"/>
      <w:marTop w:val="0"/>
      <w:marBottom w:val="0"/>
      <w:divBdr>
        <w:top w:val="none" w:sz="0" w:space="0" w:color="auto"/>
        <w:left w:val="none" w:sz="0" w:space="0" w:color="auto"/>
        <w:bottom w:val="none" w:sz="0" w:space="0" w:color="auto"/>
        <w:right w:val="none" w:sz="0" w:space="0" w:color="auto"/>
      </w:divBdr>
    </w:div>
    <w:div w:id="526911105">
      <w:bodyDiv w:val="1"/>
      <w:marLeft w:val="0"/>
      <w:marRight w:val="0"/>
      <w:marTop w:val="0"/>
      <w:marBottom w:val="0"/>
      <w:divBdr>
        <w:top w:val="none" w:sz="0" w:space="0" w:color="auto"/>
        <w:left w:val="none" w:sz="0" w:space="0" w:color="auto"/>
        <w:bottom w:val="none" w:sz="0" w:space="0" w:color="auto"/>
        <w:right w:val="none" w:sz="0" w:space="0" w:color="auto"/>
      </w:divBdr>
    </w:div>
    <w:div w:id="528957341">
      <w:bodyDiv w:val="1"/>
      <w:marLeft w:val="0"/>
      <w:marRight w:val="0"/>
      <w:marTop w:val="0"/>
      <w:marBottom w:val="0"/>
      <w:divBdr>
        <w:top w:val="none" w:sz="0" w:space="0" w:color="auto"/>
        <w:left w:val="none" w:sz="0" w:space="0" w:color="auto"/>
        <w:bottom w:val="none" w:sz="0" w:space="0" w:color="auto"/>
        <w:right w:val="none" w:sz="0" w:space="0" w:color="auto"/>
      </w:divBdr>
    </w:div>
    <w:div w:id="529610925">
      <w:bodyDiv w:val="1"/>
      <w:marLeft w:val="0"/>
      <w:marRight w:val="0"/>
      <w:marTop w:val="0"/>
      <w:marBottom w:val="0"/>
      <w:divBdr>
        <w:top w:val="none" w:sz="0" w:space="0" w:color="auto"/>
        <w:left w:val="none" w:sz="0" w:space="0" w:color="auto"/>
        <w:bottom w:val="none" w:sz="0" w:space="0" w:color="auto"/>
        <w:right w:val="none" w:sz="0" w:space="0" w:color="auto"/>
      </w:divBdr>
    </w:div>
    <w:div w:id="530344295">
      <w:bodyDiv w:val="1"/>
      <w:marLeft w:val="0"/>
      <w:marRight w:val="0"/>
      <w:marTop w:val="0"/>
      <w:marBottom w:val="0"/>
      <w:divBdr>
        <w:top w:val="none" w:sz="0" w:space="0" w:color="auto"/>
        <w:left w:val="none" w:sz="0" w:space="0" w:color="auto"/>
        <w:bottom w:val="none" w:sz="0" w:space="0" w:color="auto"/>
        <w:right w:val="none" w:sz="0" w:space="0" w:color="auto"/>
      </w:divBdr>
    </w:div>
    <w:div w:id="532111170">
      <w:bodyDiv w:val="1"/>
      <w:marLeft w:val="0"/>
      <w:marRight w:val="0"/>
      <w:marTop w:val="0"/>
      <w:marBottom w:val="0"/>
      <w:divBdr>
        <w:top w:val="none" w:sz="0" w:space="0" w:color="auto"/>
        <w:left w:val="none" w:sz="0" w:space="0" w:color="auto"/>
        <w:bottom w:val="none" w:sz="0" w:space="0" w:color="auto"/>
        <w:right w:val="none" w:sz="0" w:space="0" w:color="auto"/>
      </w:divBdr>
    </w:div>
    <w:div w:id="535310368">
      <w:bodyDiv w:val="1"/>
      <w:marLeft w:val="0"/>
      <w:marRight w:val="0"/>
      <w:marTop w:val="0"/>
      <w:marBottom w:val="0"/>
      <w:divBdr>
        <w:top w:val="none" w:sz="0" w:space="0" w:color="auto"/>
        <w:left w:val="none" w:sz="0" w:space="0" w:color="auto"/>
        <w:bottom w:val="none" w:sz="0" w:space="0" w:color="auto"/>
        <w:right w:val="none" w:sz="0" w:space="0" w:color="auto"/>
      </w:divBdr>
    </w:div>
    <w:div w:id="536041339">
      <w:bodyDiv w:val="1"/>
      <w:marLeft w:val="0"/>
      <w:marRight w:val="0"/>
      <w:marTop w:val="0"/>
      <w:marBottom w:val="0"/>
      <w:divBdr>
        <w:top w:val="none" w:sz="0" w:space="0" w:color="auto"/>
        <w:left w:val="none" w:sz="0" w:space="0" w:color="auto"/>
        <w:bottom w:val="none" w:sz="0" w:space="0" w:color="auto"/>
        <w:right w:val="none" w:sz="0" w:space="0" w:color="auto"/>
      </w:divBdr>
    </w:div>
    <w:div w:id="536092310">
      <w:bodyDiv w:val="1"/>
      <w:marLeft w:val="0"/>
      <w:marRight w:val="0"/>
      <w:marTop w:val="0"/>
      <w:marBottom w:val="0"/>
      <w:divBdr>
        <w:top w:val="none" w:sz="0" w:space="0" w:color="auto"/>
        <w:left w:val="none" w:sz="0" w:space="0" w:color="auto"/>
        <w:bottom w:val="none" w:sz="0" w:space="0" w:color="auto"/>
        <w:right w:val="none" w:sz="0" w:space="0" w:color="auto"/>
      </w:divBdr>
    </w:div>
    <w:div w:id="537282228">
      <w:bodyDiv w:val="1"/>
      <w:marLeft w:val="0"/>
      <w:marRight w:val="0"/>
      <w:marTop w:val="0"/>
      <w:marBottom w:val="0"/>
      <w:divBdr>
        <w:top w:val="none" w:sz="0" w:space="0" w:color="auto"/>
        <w:left w:val="none" w:sz="0" w:space="0" w:color="auto"/>
        <w:bottom w:val="none" w:sz="0" w:space="0" w:color="auto"/>
        <w:right w:val="none" w:sz="0" w:space="0" w:color="auto"/>
      </w:divBdr>
    </w:div>
    <w:div w:id="541022757">
      <w:bodyDiv w:val="1"/>
      <w:marLeft w:val="0"/>
      <w:marRight w:val="0"/>
      <w:marTop w:val="0"/>
      <w:marBottom w:val="0"/>
      <w:divBdr>
        <w:top w:val="none" w:sz="0" w:space="0" w:color="auto"/>
        <w:left w:val="none" w:sz="0" w:space="0" w:color="auto"/>
        <w:bottom w:val="none" w:sz="0" w:space="0" w:color="auto"/>
        <w:right w:val="none" w:sz="0" w:space="0" w:color="auto"/>
      </w:divBdr>
    </w:div>
    <w:div w:id="541096124">
      <w:bodyDiv w:val="1"/>
      <w:marLeft w:val="0"/>
      <w:marRight w:val="0"/>
      <w:marTop w:val="0"/>
      <w:marBottom w:val="0"/>
      <w:divBdr>
        <w:top w:val="none" w:sz="0" w:space="0" w:color="auto"/>
        <w:left w:val="none" w:sz="0" w:space="0" w:color="auto"/>
        <w:bottom w:val="none" w:sz="0" w:space="0" w:color="auto"/>
        <w:right w:val="none" w:sz="0" w:space="0" w:color="auto"/>
      </w:divBdr>
    </w:div>
    <w:div w:id="541864259">
      <w:bodyDiv w:val="1"/>
      <w:marLeft w:val="0"/>
      <w:marRight w:val="0"/>
      <w:marTop w:val="0"/>
      <w:marBottom w:val="0"/>
      <w:divBdr>
        <w:top w:val="none" w:sz="0" w:space="0" w:color="auto"/>
        <w:left w:val="none" w:sz="0" w:space="0" w:color="auto"/>
        <w:bottom w:val="none" w:sz="0" w:space="0" w:color="auto"/>
        <w:right w:val="none" w:sz="0" w:space="0" w:color="auto"/>
      </w:divBdr>
    </w:div>
    <w:div w:id="542134217">
      <w:bodyDiv w:val="1"/>
      <w:marLeft w:val="0"/>
      <w:marRight w:val="0"/>
      <w:marTop w:val="0"/>
      <w:marBottom w:val="0"/>
      <w:divBdr>
        <w:top w:val="none" w:sz="0" w:space="0" w:color="auto"/>
        <w:left w:val="none" w:sz="0" w:space="0" w:color="auto"/>
        <w:bottom w:val="none" w:sz="0" w:space="0" w:color="auto"/>
        <w:right w:val="none" w:sz="0" w:space="0" w:color="auto"/>
      </w:divBdr>
    </w:div>
    <w:div w:id="542863447">
      <w:bodyDiv w:val="1"/>
      <w:marLeft w:val="0"/>
      <w:marRight w:val="0"/>
      <w:marTop w:val="0"/>
      <w:marBottom w:val="0"/>
      <w:divBdr>
        <w:top w:val="none" w:sz="0" w:space="0" w:color="auto"/>
        <w:left w:val="none" w:sz="0" w:space="0" w:color="auto"/>
        <w:bottom w:val="none" w:sz="0" w:space="0" w:color="auto"/>
        <w:right w:val="none" w:sz="0" w:space="0" w:color="auto"/>
      </w:divBdr>
    </w:div>
    <w:div w:id="544678998">
      <w:bodyDiv w:val="1"/>
      <w:marLeft w:val="0"/>
      <w:marRight w:val="0"/>
      <w:marTop w:val="0"/>
      <w:marBottom w:val="0"/>
      <w:divBdr>
        <w:top w:val="none" w:sz="0" w:space="0" w:color="auto"/>
        <w:left w:val="none" w:sz="0" w:space="0" w:color="auto"/>
        <w:bottom w:val="none" w:sz="0" w:space="0" w:color="auto"/>
        <w:right w:val="none" w:sz="0" w:space="0" w:color="auto"/>
      </w:divBdr>
    </w:div>
    <w:div w:id="545219004">
      <w:bodyDiv w:val="1"/>
      <w:marLeft w:val="0"/>
      <w:marRight w:val="0"/>
      <w:marTop w:val="0"/>
      <w:marBottom w:val="0"/>
      <w:divBdr>
        <w:top w:val="none" w:sz="0" w:space="0" w:color="auto"/>
        <w:left w:val="none" w:sz="0" w:space="0" w:color="auto"/>
        <w:bottom w:val="none" w:sz="0" w:space="0" w:color="auto"/>
        <w:right w:val="none" w:sz="0" w:space="0" w:color="auto"/>
      </w:divBdr>
    </w:div>
    <w:div w:id="545333700">
      <w:bodyDiv w:val="1"/>
      <w:marLeft w:val="0"/>
      <w:marRight w:val="0"/>
      <w:marTop w:val="0"/>
      <w:marBottom w:val="0"/>
      <w:divBdr>
        <w:top w:val="none" w:sz="0" w:space="0" w:color="auto"/>
        <w:left w:val="none" w:sz="0" w:space="0" w:color="auto"/>
        <w:bottom w:val="none" w:sz="0" w:space="0" w:color="auto"/>
        <w:right w:val="none" w:sz="0" w:space="0" w:color="auto"/>
      </w:divBdr>
    </w:div>
    <w:div w:id="546378683">
      <w:bodyDiv w:val="1"/>
      <w:marLeft w:val="0"/>
      <w:marRight w:val="0"/>
      <w:marTop w:val="0"/>
      <w:marBottom w:val="0"/>
      <w:divBdr>
        <w:top w:val="none" w:sz="0" w:space="0" w:color="auto"/>
        <w:left w:val="none" w:sz="0" w:space="0" w:color="auto"/>
        <w:bottom w:val="none" w:sz="0" w:space="0" w:color="auto"/>
        <w:right w:val="none" w:sz="0" w:space="0" w:color="auto"/>
      </w:divBdr>
    </w:div>
    <w:div w:id="546645012">
      <w:bodyDiv w:val="1"/>
      <w:marLeft w:val="0"/>
      <w:marRight w:val="0"/>
      <w:marTop w:val="0"/>
      <w:marBottom w:val="0"/>
      <w:divBdr>
        <w:top w:val="none" w:sz="0" w:space="0" w:color="auto"/>
        <w:left w:val="none" w:sz="0" w:space="0" w:color="auto"/>
        <w:bottom w:val="none" w:sz="0" w:space="0" w:color="auto"/>
        <w:right w:val="none" w:sz="0" w:space="0" w:color="auto"/>
      </w:divBdr>
    </w:div>
    <w:div w:id="547686027">
      <w:bodyDiv w:val="1"/>
      <w:marLeft w:val="0"/>
      <w:marRight w:val="0"/>
      <w:marTop w:val="0"/>
      <w:marBottom w:val="0"/>
      <w:divBdr>
        <w:top w:val="none" w:sz="0" w:space="0" w:color="auto"/>
        <w:left w:val="none" w:sz="0" w:space="0" w:color="auto"/>
        <w:bottom w:val="none" w:sz="0" w:space="0" w:color="auto"/>
        <w:right w:val="none" w:sz="0" w:space="0" w:color="auto"/>
      </w:divBdr>
    </w:div>
    <w:div w:id="549464569">
      <w:bodyDiv w:val="1"/>
      <w:marLeft w:val="0"/>
      <w:marRight w:val="0"/>
      <w:marTop w:val="0"/>
      <w:marBottom w:val="0"/>
      <w:divBdr>
        <w:top w:val="none" w:sz="0" w:space="0" w:color="auto"/>
        <w:left w:val="none" w:sz="0" w:space="0" w:color="auto"/>
        <w:bottom w:val="none" w:sz="0" w:space="0" w:color="auto"/>
        <w:right w:val="none" w:sz="0" w:space="0" w:color="auto"/>
      </w:divBdr>
    </w:div>
    <w:div w:id="550649500">
      <w:bodyDiv w:val="1"/>
      <w:marLeft w:val="0"/>
      <w:marRight w:val="0"/>
      <w:marTop w:val="0"/>
      <w:marBottom w:val="0"/>
      <w:divBdr>
        <w:top w:val="none" w:sz="0" w:space="0" w:color="auto"/>
        <w:left w:val="none" w:sz="0" w:space="0" w:color="auto"/>
        <w:bottom w:val="none" w:sz="0" w:space="0" w:color="auto"/>
        <w:right w:val="none" w:sz="0" w:space="0" w:color="auto"/>
      </w:divBdr>
    </w:div>
    <w:div w:id="553156266">
      <w:bodyDiv w:val="1"/>
      <w:marLeft w:val="0"/>
      <w:marRight w:val="0"/>
      <w:marTop w:val="0"/>
      <w:marBottom w:val="0"/>
      <w:divBdr>
        <w:top w:val="none" w:sz="0" w:space="0" w:color="auto"/>
        <w:left w:val="none" w:sz="0" w:space="0" w:color="auto"/>
        <w:bottom w:val="none" w:sz="0" w:space="0" w:color="auto"/>
        <w:right w:val="none" w:sz="0" w:space="0" w:color="auto"/>
      </w:divBdr>
    </w:div>
    <w:div w:id="553590325">
      <w:bodyDiv w:val="1"/>
      <w:marLeft w:val="0"/>
      <w:marRight w:val="0"/>
      <w:marTop w:val="0"/>
      <w:marBottom w:val="0"/>
      <w:divBdr>
        <w:top w:val="none" w:sz="0" w:space="0" w:color="auto"/>
        <w:left w:val="none" w:sz="0" w:space="0" w:color="auto"/>
        <w:bottom w:val="none" w:sz="0" w:space="0" w:color="auto"/>
        <w:right w:val="none" w:sz="0" w:space="0" w:color="auto"/>
      </w:divBdr>
    </w:div>
    <w:div w:id="556205603">
      <w:bodyDiv w:val="1"/>
      <w:marLeft w:val="0"/>
      <w:marRight w:val="0"/>
      <w:marTop w:val="0"/>
      <w:marBottom w:val="0"/>
      <w:divBdr>
        <w:top w:val="none" w:sz="0" w:space="0" w:color="auto"/>
        <w:left w:val="none" w:sz="0" w:space="0" w:color="auto"/>
        <w:bottom w:val="none" w:sz="0" w:space="0" w:color="auto"/>
        <w:right w:val="none" w:sz="0" w:space="0" w:color="auto"/>
      </w:divBdr>
    </w:div>
    <w:div w:id="557202741">
      <w:bodyDiv w:val="1"/>
      <w:marLeft w:val="0"/>
      <w:marRight w:val="0"/>
      <w:marTop w:val="0"/>
      <w:marBottom w:val="0"/>
      <w:divBdr>
        <w:top w:val="none" w:sz="0" w:space="0" w:color="auto"/>
        <w:left w:val="none" w:sz="0" w:space="0" w:color="auto"/>
        <w:bottom w:val="none" w:sz="0" w:space="0" w:color="auto"/>
        <w:right w:val="none" w:sz="0" w:space="0" w:color="auto"/>
      </w:divBdr>
    </w:div>
    <w:div w:id="557476726">
      <w:bodyDiv w:val="1"/>
      <w:marLeft w:val="0"/>
      <w:marRight w:val="0"/>
      <w:marTop w:val="0"/>
      <w:marBottom w:val="0"/>
      <w:divBdr>
        <w:top w:val="none" w:sz="0" w:space="0" w:color="auto"/>
        <w:left w:val="none" w:sz="0" w:space="0" w:color="auto"/>
        <w:bottom w:val="none" w:sz="0" w:space="0" w:color="auto"/>
        <w:right w:val="none" w:sz="0" w:space="0" w:color="auto"/>
      </w:divBdr>
    </w:div>
    <w:div w:id="558900946">
      <w:bodyDiv w:val="1"/>
      <w:marLeft w:val="0"/>
      <w:marRight w:val="0"/>
      <w:marTop w:val="0"/>
      <w:marBottom w:val="0"/>
      <w:divBdr>
        <w:top w:val="none" w:sz="0" w:space="0" w:color="auto"/>
        <w:left w:val="none" w:sz="0" w:space="0" w:color="auto"/>
        <w:bottom w:val="none" w:sz="0" w:space="0" w:color="auto"/>
        <w:right w:val="none" w:sz="0" w:space="0" w:color="auto"/>
      </w:divBdr>
    </w:div>
    <w:div w:id="559637706">
      <w:bodyDiv w:val="1"/>
      <w:marLeft w:val="0"/>
      <w:marRight w:val="0"/>
      <w:marTop w:val="0"/>
      <w:marBottom w:val="0"/>
      <w:divBdr>
        <w:top w:val="none" w:sz="0" w:space="0" w:color="auto"/>
        <w:left w:val="none" w:sz="0" w:space="0" w:color="auto"/>
        <w:bottom w:val="none" w:sz="0" w:space="0" w:color="auto"/>
        <w:right w:val="none" w:sz="0" w:space="0" w:color="auto"/>
      </w:divBdr>
    </w:div>
    <w:div w:id="559832159">
      <w:bodyDiv w:val="1"/>
      <w:marLeft w:val="0"/>
      <w:marRight w:val="0"/>
      <w:marTop w:val="0"/>
      <w:marBottom w:val="0"/>
      <w:divBdr>
        <w:top w:val="none" w:sz="0" w:space="0" w:color="auto"/>
        <w:left w:val="none" w:sz="0" w:space="0" w:color="auto"/>
        <w:bottom w:val="none" w:sz="0" w:space="0" w:color="auto"/>
        <w:right w:val="none" w:sz="0" w:space="0" w:color="auto"/>
      </w:divBdr>
    </w:div>
    <w:div w:id="561330906">
      <w:bodyDiv w:val="1"/>
      <w:marLeft w:val="0"/>
      <w:marRight w:val="0"/>
      <w:marTop w:val="0"/>
      <w:marBottom w:val="0"/>
      <w:divBdr>
        <w:top w:val="none" w:sz="0" w:space="0" w:color="auto"/>
        <w:left w:val="none" w:sz="0" w:space="0" w:color="auto"/>
        <w:bottom w:val="none" w:sz="0" w:space="0" w:color="auto"/>
        <w:right w:val="none" w:sz="0" w:space="0" w:color="auto"/>
      </w:divBdr>
    </w:div>
    <w:div w:id="561985313">
      <w:bodyDiv w:val="1"/>
      <w:marLeft w:val="0"/>
      <w:marRight w:val="0"/>
      <w:marTop w:val="0"/>
      <w:marBottom w:val="0"/>
      <w:divBdr>
        <w:top w:val="none" w:sz="0" w:space="0" w:color="auto"/>
        <w:left w:val="none" w:sz="0" w:space="0" w:color="auto"/>
        <w:bottom w:val="none" w:sz="0" w:space="0" w:color="auto"/>
        <w:right w:val="none" w:sz="0" w:space="0" w:color="auto"/>
      </w:divBdr>
    </w:div>
    <w:div w:id="562956259">
      <w:bodyDiv w:val="1"/>
      <w:marLeft w:val="0"/>
      <w:marRight w:val="0"/>
      <w:marTop w:val="0"/>
      <w:marBottom w:val="0"/>
      <w:divBdr>
        <w:top w:val="none" w:sz="0" w:space="0" w:color="auto"/>
        <w:left w:val="none" w:sz="0" w:space="0" w:color="auto"/>
        <w:bottom w:val="none" w:sz="0" w:space="0" w:color="auto"/>
        <w:right w:val="none" w:sz="0" w:space="0" w:color="auto"/>
      </w:divBdr>
    </w:div>
    <w:div w:id="563102191">
      <w:bodyDiv w:val="1"/>
      <w:marLeft w:val="0"/>
      <w:marRight w:val="0"/>
      <w:marTop w:val="0"/>
      <w:marBottom w:val="0"/>
      <w:divBdr>
        <w:top w:val="none" w:sz="0" w:space="0" w:color="auto"/>
        <w:left w:val="none" w:sz="0" w:space="0" w:color="auto"/>
        <w:bottom w:val="none" w:sz="0" w:space="0" w:color="auto"/>
        <w:right w:val="none" w:sz="0" w:space="0" w:color="auto"/>
      </w:divBdr>
    </w:div>
    <w:div w:id="563218288">
      <w:bodyDiv w:val="1"/>
      <w:marLeft w:val="0"/>
      <w:marRight w:val="0"/>
      <w:marTop w:val="0"/>
      <w:marBottom w:val="0"/>
      <w:divBdr>
        <w:top w:val="none" w:sz="0" w:space="0" w:color="auto"/>
        <w:left w:val="none" w:sz="0" w:space="0" w:color="auto"/>
        <w:bottom w:val="none" w:sz="0" w:space="0" w:color="auto"/>
        <w:right w:val="none" w:sz="0" w:space="0" w:color="auto"/>
      </w:divBdr>
    </w:div>
    <w:div w:id="564604607">
      <w:bodyDiv w:val="1"/>
      <w:marLeft w:val="0"/>
      <w:marRight w:val="0"/>
      <w:marTop w:val="0"/>
      <w:marBottom w:val="0"/>
      <w:divBdr>
        <w:top w:val="none" w:sz="0" w:space="0" w:color="auto"/>
        <w:left w:val="none" w:sz="0" w:space="0" w:color="auto"/>
        <w:bottom w:val="none" w:sz="0" w:space="0" w:color="auto"/>
        <w:right w:val="none" w:sz="0" w:space="0" w:color="auto"/>
      </w:divBdr>
    </w:div>
    <w:div w:id="565187959">
      <w:bodyDiv w:val="1"/>
      <w:marLeft w:val="0"/>
      <w:marRight w:val="0"/>
      <w:marTop w:val="0"/>
      <w:marBottom w:val="0"/>
      <w:divBdr>
        <w:top w:val="none" w:sz="0" w:space="0" w:color="auto"/>
        <w:left w:val="none" w:sz="0" w:space="0" w:color="auto"/>
        <w:bottom w:val="none" w:sz="0" w:space="0" w:color="auto"/>
        <w:right w:val="none" w:sz="0" w:space="0" w:color="auto"/>
      </w:divBdr>
    </w:div>
    <w:div w:id="565840920">
      <w:bodyDiv w:val="1"/>
      <w:marLeft w:val="0"/>
      <w:marRight w:val="0"/>
      <w:marTop w:val="0"/>
      <w:marBottom w:val="0"/>
      <w:divBdr>
        <w:top w:val="none" w:sz="0" w:space="0" w:color="auto"/>
        <w:left w:val="none" w:sz="0" w:space="0" w:color="auto"/>
        <w:bottom w:val="none" w:sz="0" w:space="0" w:color="auto"/>
        <w:right w:val="none" w:sz="0" w:space="0" w:color="auto"/>
      </w:divBdr>
    </w:div>
    <w:div w:id="565992694">
      <w:bodyDiv w:val="1"/>
      <w:marLeft w:val="0"/>
      <w:marRight w:val="0"/>
      <w:marTop w:val="0"/>
      <w:marBottom w:val="0"/>
      <w:divBdr>
        <w:top w:val="none" w:sz="0" w:space="0" w:color="auto"/>
        <w:left w:val="none" w:sz="0" w:space="0" w:color="auto"/>
        <w:bottom w:val="none" w:sz="0" w:space="0" w:color="auto"/>
        <w:right w:val="none" w:sz="0" w:space="0" w:color="auto"/>
      </w:divBdr>
    </w:div>
    <w:div w:id="566459636">
      <w:bodyDiv w:val="1"/>
      <w:marLeft w:val="0"/>
      <w:marRight w:val="0"/>
      <w:marTop w:val="0"/>
      <w:marBottom w:val="0"/>
      <w:divBdr>
        <w:top w:val="none" w:sz="0" w:space="0" w:color="auto"/>
        <w:left w:val="none" w:sz="0" w:space="0" w:color="auto"/>
        <w:bottom w:val="none" w:sz="0" w:space="0" w:color="auto"/>
        <w:right w:val="none" w:sz="0" w:space="0" w:color="auto"/>
      </w:divBdr>
    </w:div>
    <w:div w:id="567375973">
      <w:bodyDiv w:val="1"/>
      <w:marLeft w:val="0"/>
      <w:marRight w:val="0"/>
      <w:marTop w:val="0"/>
      <w:marBottom w:val="0"/>
      <w:divBdr>
        <w:top w:val="none" w:sz="0" w:space="0" w:color="auto"/>
        <w:left w:val="none" w:sz="0" w:space="0" w:color="auto"/>
        <w:bottom w:val="none" w:sz="0" w:space="0" w:color="auto"/>
        <w:right w:val="none" w:sz="0" w:space="0" w:color="auto"/>
      </w:divBdr>
    </w:div>
    <w:div w:id="567494254">
      <w:bodyDiv w:val="1"/>
      <w:marLeft w:val="0"/>
      <w:marRight w:val="0"/>
      <w:marTop w:val="0"/>
      <w:marBottom w:val="0"/>
      <w:divBdr>
        <w:top w:val="none" w:sz="0" w:space="0" w:color="auto"/>
        <w:left w:val="none" w:sz="0" w:space="0" w:color="auto"/>
        <w:bottom w:val="none" w:sz="0" w:space="0" w:color="auto"/>
        <w:right w:val="none" w:sz="0" w:space="0" w:color="auto"/>
      </w:divBdr>
    </w:div>
    <w:div w:id="569267114">
      <w:bodyDiv w:val="1"/>
      <w:marLeft w:val="0"/>
      <w:marRight w:val="0"/>
      <w:marTop w:val="0"/>
      <w:marBottom w:val="0"/>
      <w:divBdr>
        <w:top w:val="none" w:sz="0" w:space="0" w:color="auto"/>
        <w:left w:val="none" w:sz="0" w:space="0" w:color="auto"/>
        <w:bottom w:val="none" w:sz="0" w:space="0" w:color="auto"/>
        <w:right w:val="none" w:sz="0" w:space="0" w:color="auto"/>
      </w:divBdr>
    </w:div>
    <w:div w:id="571622510">
      <w:bodyDiv w:val="1"/>
      <w:marLeft w:val="0"/>
      <w:marRight w:val="0"/>
      <w:marTop w:val="0"/>
      <w:marBottom w:val="0"/>
      <w:divBdr>
        <w:top w:val="none" w:sz="0" w:space="0" w:color="auto"/>
        <w:left w:val="none" w:sz="0" w:space="0" w:color="auto"/>
        <w:bottom w:val="none" w:sz="0" w:space="0" w:color="auto"/>
        <w:right w:val="none" w:sz="0" w:space="0" w:color="auto"/>
      </w:divBdr>
    </w:div>
    <w:div w:id="573704085">
      <w:bodyDiv w:val="1"/>
      <w:marLeft w:val="0"/>
      <w:marRight w:val="0"/>
      <w:marTop w:val="0"/>
      <w:marBottom w:val="0"/>
      <w:divBdr>
        <w:top w:val="none" w:sz="0" w:space="0" w:color="auto"/>
        <w:left w:val="none" w:sz="0" w:space="0" w:color="auto"/>
        <w:bottom w:val="none" w:sz="0" w:space="0" w:color="auto"/>
        <w:right w:val="none" w:sz="0" w:space="0" w:color="auto"/>
      </w:divBdr>
    </w:div>
    <w:div w:id="574358480">
      <w:bodyDiv w:val="1"/>
      <w:marLeft w:val="0"/>
      <w:marRight w:val="0"/>
      <w:marTop w:val="0"/>
      <w:marBottom w:val="0"/>
      <w:divBdr>
        <w:top w:val="none" w:sz="0" w:space="0" w:color="auto"/>
        <w:left w:val="none" w:sz="0" w:space="0" w:color="auto"/>
        <w:bottom w:val="none" w:sz="0" w:space="0" w:color="auto"/>
        <w:right w:val="none" w:sz="0" w:space="0" w:color="auto"/>
      </w:divBdr>
    </w:div>
    <w:div w:id="575282344">
      <w:bodyDiv w:val="1"/>
      <w:marLeft w:val="0"/>
      <w:marRight w:val="0"/>
      <w:marTop w:val="0"/>
      <w:marBottom w:val="0"/>
      <w:divBdr>
        <w:top w:val="none" w:sz="0" w:space="0" w:color="auto"/>
        <w:left w:val="none" w:sz="0" w:space="0" w:color="auto"/>
        <w:bottom w:val="none" w:sz="0" w:space="0" w:color="auto"/>
        <w:right w:val="none" w:sz="0" w:space="0" w:color="auto"/>
      </w:divBdr>
    </w:div>
    <w:div w:id="576280942">
      <w:bodyDiv w:val="1"/>
      <w:marLeft w:val="0"/>
      <w:marRight w:val="0"/>
      <w:marTop w:val="0"/>
      <w:marBottom w:val="0"/>
      <w:divBdr>
        <w:top w:val="none" w:sz="0" w:space="0" w:color="auto"/>
        <w:left w:val="none" w:sz="0" w:space="0" w:color="auto"/>
        <w:bottom w:val="none" w:sz="0" w:space="0" w:color="auto"/>
        <w:right w:val="none" w:sz="0" w:space="0" w:color="auto"/>
      </w:divBdr>
    </w:div>
    <w:div w:id="578176464">
      <w:bodyDiv w:val="1"/>
      <w:marLeft w:val="0"/>
      <w:marRight w:val="0"/>
      <w:marTop w:val="0"/>
      <w:marBottom w:val="0"/>
      <w:divBdr>
        <w:top w:val="none" w:sz="0" w:space="0" w:color="auto"/>
        <w:left w:val="none" w:sz="0" w:space="0" w:color="auto"/>
        <w:bottom w:val="none" w:sz="0" w:space="0" w:color="auto"/>
        <w:right w:val="none" w:sz="0" w:space="0" w:color="auto"/>
      </w:divBdr>
    </w:div>
    <w:div w:id="580337291">
      <w:bodyDiv w:val="1"/>
      <w:marLeft w:val="0"/>
      <w:marRight w:val="0"/>
      <w:marTop w:val="0"/>
      <w:marBottom w:val="0"/>
      <w:divBdr>
        <w:top w:val="none" w:sz="0" w:space="0" w:color="auto"/>
        <w:left w:val="none" w:sz="0" w:space="0" w:color="auto"/>
        <w:bottom w:val="none" w:sz="0" w:space="0" w:color="auto"/>
        <w:right w:val="none" w:sz="0" w:space="0" w:color="auto"/>
      </w:divBdr>
    </w:div>
    <w:div w:id="581108416">
      <w:bodyDiv w:val="1"/>
      <w:marLeft w:val="0"/>
      <w:marRight w:val="0"/>
      <w:marTop w:val="0"/>
      <w:marBottom w:val="0"/>
      <w:divBdr>
        <w:top w:val="none" w:sz="0" w:space="0" w:color="auto"/>
        <w:left w:val="none" w:sz="0" w:space="0" w:color="auto"/>
        <w:bottom w:val="none" w:sz="0" w:space="0" w:color="auto"/>
        <w:right w:val="none" w:sz="0" w:space="0" w:color="auto"/>
      </w:divBdr>
    </w:div>
    <w:div w:id="581112128">
      <w:bodyDiv w:val="1"/>
      <w:marLeft w:val="0"/>
      <w:marRight w:val="0"/>
      <w:marTop w:val="0"/>
      <w:marBottom w:val="0"/>
      <w:divBdr>
        <w:top w:val="none" w:sz="0" w:space="0" w:color="auto"/>
        <w:left w:val="none" w:sz="0" w:space="0" w:color="auto"/>
        <w:bottom w:val="none" w:sz="0" w:space="0" w:color="auto"/>
        <w:right w:val="none" w:sz="0" w:space="0" w:color="auto"/>
      </w:divBdr>
    </w:div>
    <w:div w:id="581835887">
      <w:bodyDiv w:val="1"/>
      <w:marLeft w:val="0"/>
      <w:marRight w:val="0"/>
      <w:marTop w:val="0"/>
      <w:marBottom w:val="0"/>
      <w:divBdr>
        <w:top w:val="none" w:sz="0" w:space="0" w:color="auto"/>
        <w:left w:val="none" w:sz="0" w:space="0" w:color="auto"/>
        <w:bottom w:val="none" w:sz="0" w:space="0" w:color="auto"/>
        <w:right w:val="none" w:sz="0" w:space="0" w:color="auto"/>
      </w:divBdr>
    </w:div>
    <w:div w:id="582449996">
      <w:bodyDiv w:val="1"/>
      <w:marLeft w:val="0"/>
      <w:marRight w:val="0"/>
      <w:marTop w:val="0"/>
      <w:marBottom w:val="0"/>
      <w:divBdr>
        <w:top w:val="none" w:sz="0" w:space="0" w:color="auto"/>
        <w:left w:val="none" w:sz="0" w:space="0" w:color="auto"/>
        <w:bottom w:val="none" w:sz="0" w:space="0" w:color="auto"/>
        <w:right w:val="none" w:sz="0" w:space="0" w:color="auto"/>
      </w:divBdr>
    </w:div>
    <w:div w:id="583302931">
      <w:bodyDiv w:val="1"/>
      <w:marLeft w:val="0"/>
      <w:marRight w:val="0"/>
      <w:marTop w:val="0"/>
      <w:marBottom w:val="0"/>
      <w:divBdr>
        <w:top w:val="none" w:sz="0" w:space="0" w:color="auto"/>
        <w:left w:val="none" w:sz="0" w:space="0" w:color="auto"/>
        <w:bottom w:val="none" w:sz="0" w:space="0" w:color="auto"/>
        <w:right w:val="none" w:sz="0" w:space="0" w:color="auto"/>
      </w:divBdr>
    </w:div>
    <w:div w:id="583415016">
      <w:bodyDiv w:val="1"/>
      <w:marLeft w:val="0"/>
      <w:marRight w:val="0"/>
      <w:marTop w:val="0"/>
      <w:marBottom w:val="0"/>
      <w:divBdr>
        <w:top w:val="none" w:sz="0" w:space="0" w:color="auto"/>
        <w:left w:val="none" w:sz="0" w:space="0" w:color="auto"/>
        <w:bottom w:val="none" w:sz="0" w:space="0" w:color="auto"/>
        <w:right w:val="none" w:sz="0" w:space="0" w:color="auto"/>
      </w:divBdr>
    </w:div>
    <w:div w:id="583732592">
      <w:bodyDiv w:val="1"/>
      <w:marLeft w:val="0"/>
      <w:marRight w:val="0"/>
      <w:marTop w:val="0"/>
      <w:marBottom w:val="0"/>
      <w:divBdr>
        <w:top w:val="none" w:sz="0" w:space="0" w:color="auto"/>
        <w:left w:val="none" w:sz="0" w:space="0" w:color="auto"/>
        <w:bottom w:val="none" w:sz="0" w:space="0" w:color="auto"/>
        <w:right w:val="none" w:sz="0" w:space="0" w:color="auto"/>
      </w:divBdr>
    </w:div>
    <w:div w:id="585041906">
      <w:bodyDiv w:val="1"/>
      <w:marLeft w:val="0"/>
      <w:marRight w:val="0"/>
      <w:marTop w:val="0"/>
      <w:marBottom w:val="0"/>
      <w:divBdr>
        <w:top w:val="none" w:sz="0" w:space="0" w:color="auto"/>
        <w:left w:val="none" w:sz="0" w:space="0" w:color="auto"/>
        <w:bottom w:val="none" w:sz="0" w:space="0" w:color="auto"/>
        <w:right w:val="none" w:sz="0" w:space="0" w:color="auto"/>
      </w:divBdr>
    </w:div>
    <w:div w:id="585303327">
      <w:bodyDiv w:val="1"/>
      <w:marLeft w:val="0"/>
      <w:marRight w:val="0"/>
      <w:marTop w:val="0"/>
      <w:marBottom w:val="0"/>
      <w:divBdr>
        <w:top w:val="none" w:sz="0" w:space="0" w:color="auto"/>
        <w:left w:val="none" w:sz="0" w:space="0" w:color="auto"/>
        <w:bottom w:val="none" w:sz="0" w:space="0" w:color="auto"/>
        <w:right w:val="none" w:sz="0" w:space="0" w:color="auto"/>
      </w:divBdr>
    </w:div>
    <w:div w:id="586184562">
      <w:bodyDiv w:val="1"/>
      <w:marLeft w:val="0"/>
      <w:marRight w:val="0"/>
      <w:marTop w:val="0"/>
      <w:marBottom w:val="0"/>
      <w:divBdr>
        <w:top w:val="none" w:sz="0" w:space="0" w:color="auto"/>
        <w:left w:val="none" w:sz="0" w:space="0" w:color="auto"/>
        <w:bottom w:val="none" w:sz="0" w:space="0" w:color="auto"/>
        <w:right w:val="none" w:sz="0" w:space="0" w:color="auto"/>
      </w:divBdr>
    </w:div>
    <w:div w:id="586354399">
      <w:bodyDiv w:val="1"/>
      <w:marLeft w:val="0"/>
      <w:marRight w:val="0"/>
      <w:marTop w:val="0"/>
      <w:marBottom w:val="0"/>
      <w:divBdr>
        <w:top w:val="none" w:sz="0" w:space="0" w:color="auto"/>
        <w:left w:val="none" w:sz="0" w:space="0" w:color="auto"/>
        <w:bottom w:val="none" w:sz="0" w:space="0" w:color="auto"/>
        <w:right w:val="none" w:sz="0" w:space="0" w:color="auto"/>
      </w:divBdr>
    </w:div>
    <w:div w:id="588393609">
      <w:bodyDiv w:val="1"/>
      <w:marLeft w:val="0"/>
      <w:marRight w:val="0"/>
      <w:marTop w:val="0"/>
      <w:marBottom w:val="0"/>
      <w:divBdr>
        <w:top w:val="none" w:sz="0" w:space="0" w:color="auto"/>
        <w:left w:val="none" w:sz="0" w:space="0" w:color="auto"/>
        <w:bottom w:val="none" w:sz="0" w:space="0" w:color="auto"/>
        <w:right w:val="none" w:sz="0" w:space="0" w:color="auto"/>
      </w:divBdr>
    </w:div>
    <w:div w:id="588850734">
      <w:bodyDiv w:val="1"/>
      <w:marLeft w:val="0"/>
      <w:marRight w:val="0"/>
      <w:marTop w:val="0"/>
      <w:marBottom w:val="0"/>
      <w:divBdr>
        <w:top w:val="none" w:sz="0" w:space="0" w:color="auto"/>
        <w:left w:val="none" w:sz="0" w:space="0" w:color="auto"/>
        <w:bottom w:val="none" w:sz="0" w:space="0" w:color="auto"/>
        <w:right w:val="none" w:sz="0" w:space="0" w:color="auto"/>
      </w:divBdr>
    </w:div>
    <w:div w:id="589200639">
      <w:bodyDiv w:val="1"/>
      <w:marLeft w:val="0"/>
      <w:marRight w:val="0"/>
      <w:marTop w:val="0"/>
      <w:marBottom w:val="0"/>
      <w:divBdr>
        <w:top w:val="none" w:sz="0" w:space="0" w:color="auto"/>
        <w:left w:val="none" w:sz="0" w:space="0" w:color="auto"/>
        <w:bottom w:val="none" w:sz="0" w:space="0" w:color="auto"/>
        <w:right w:val="none" w:sz="0" w:space="0" w:color="auto"/>
      </w:divBdr>
    </w:div>
    <w:div w:id="589508629">
      <w:bodyDiv w:val="1"/>
      <w:marLeft w:val="0"/>
      <w:marRight w:val="0"/>
      <w:marTop w:val="0"/>
      <w:marBottom w:val="0"/>
      <w:divBdr>
        <w:top w:val="none" w:sz="0" w:space="0" w:color="auto"/>
        <w:left w:val="none" w:sz="0" w:space="0" w:color="auto"/>
        <w:bottom w:val="none" w:sz="0" w:space="0" w:color="auto"/>
        <w:right w:val="none" w:sz="0" w:space="0" w:color="auto"/>
      </w:divBdr>
    </w:div>
    <w:div w:id="590238714">
      <w:bodyDiv w:val="1"/>
      <w:marLeft w:val="0"/>
      <w:marRight w:val="0"/>
      <w:marTop w:val="0"/>
      <w:marBottom w:val="0"/>
      <w:divBdr>
        <w:top w:val="none" w:sz="0" w:space="0" w:color="auto"/>
        <w:left w:val="none" w:sz="0" w:space="0" w:color="auto"/>
        <w:bottom w:val="none" w:sz="0" w:space="0" w:color="auto"/>
        <w:right w:val="none" w:sz="0" w:space="0" w:color="auto"/>
      </w:divBdr>
    </w:div>
    <w:div w:id="591352515">
      <w:bodyDiv w:val="1"/>
      <w:marLeft w:val="0"/>
      <w:marRight w:val="0"/>
      <w:marTop w:val="0"/>
      <w:marBottom w:val="0"/>
      <w:divBdr>
        <w:top w:val="none" w:sz="0" w:space="0" w:color="auto"/>
        <w:left w:val="none" w:sz="0" w:space="0" w:color="auto"/>
        <w:bottom w:val="none" w:sz="0" w:space="0" w:color="auto"/>
        <w:right w:val="none" w:sz="0" w:space="0" w:color="auto"/>
      </w:divBdr>
    </w:div>
    <w:div w:id="592318911">
      <w:bodyDiv w:val="1"/>
      <w:marLeft w:val="0"/>
      <w:marRight w:val="0"/>
      <w:marTop w:val="0"/>
      <w:marBottom w:val="0"/>
      <w:divBdr>
        <w:top w:val="none" w:sz="0" w:space="0" w:color="auto"/>
        <w:left w:val="none" w:sz="0" w:space="0" w:color="auto"/>
        <w:bottom w:val="none" w:sz="0" w:space="0" w:color="auto"/>
        <w:right w:val="none" w:sz="0" w:space="0" w:color="auto"/>
      </w:divBdr>
    </w:div>
    <w:div w:id="592594021">
      <w:bodyDiv w:val="1"/>
      <w:marLeft w:val="0"/>
      <w:marRight w:val="0"/>
      <w:marTop w:val="0"/>
      <w:marBottom w:val="0"/>
      <w:divBdr>
        <w:top w:val="none" w:sz="0" w:space="0" w:color="auto"/>
        <w:left w:val="none" w:sz="0" w:space="0" w:color="auto"/>
        <w:bottom w:val="none" w:sz="0" w:space="0" w:color="auto"/>
        <w:right w:val="none" w:sz="0" w:space="0" w:color="auto"/>
      </w:divBdr>
    </w:div>
    <w:div w:id="594675588">
      <w:bodyDiv w:val="1"/>
      <w:marLeft w:val="0"/>
      <w:marRight w:val="0"/>
      <w:marTop w:val="0"/>
      <w:marBottom w:val="0"/>
      <w:divBdr>
        <w:top w:val="none" w:sz="0" w:space="0" w:color="auto"/>
        <w:left w:val="none" w:sz="0" w:space="0" w:color="auto"/>
        <w:bottom w:val="none" w:sz="0" w:space="0" w:color="auto"/>
        <w:right w:val="none" w:sz="0" w:space="0" w:color="auto"/>
      </w:divBdr>
    </w:div>
    <w:div w:id="597905346">
      <w:bodyDiv w:val="1"/>
      <w:marLeft w:val="0"/>
      <w:marRight w:val="0"/>
      <w:marTop w:val="0"/>
      <w:marBottom w:val="0"/>
      <w:divBdr>
        <w:top w:val="none" w:sz="0" w:space="0" w:color="auto"/>
        <w:left w:val="none" w:sz="0" w:space="0" w:color="auto"/>
        <w:bottom w:val="none" w:sz="0" w:space="0" w:color="auto"/>
        <w:right w:val="none" w:sz="0" w:space="0" w:color="auto"/>
      </w:divBdr>
    </w:div>
    <w:div w:id="597955410">
      <w:bodyDiv w:val="1"/>
      <w:marLeft w:val="0"/>
      <w:marRight w:val="0"/>
      <w:marTop w:val="0"/>
      <w:marBottom w:val="0"/>
      <w:divBdr>
        <w:top w:val="none" w:sz="0" w:space="0" w:color="auto"/>
        <w:left w:val="none" w:sz="0" w:space="0" w:color="auto"/>
        <w:bottom w:val="none" w:sz="0" w:space="0" w:color="auto"/>
        <w:right w:val="none" w:sz="0" w:space="0" w:color="auto"/>
      </w:divBdr>
    </w:div>
    <w:div w:id="599532198">
      <w:bodyDiv w:val="1"/>
      <w:marLeft w:val="0"/>
      <w:marRight w:val="0"/>
      <w:marTop w:val="0"/>
      <w:marBottom w:val="0"/>
      <w:divBdr>
        <w:top w:val="none" w:sz="0" w:space="0" w:color="auto"/>
        <w:left w:val="none" w:sz="0" w:space="0" w:color="auto"/>
        <w:bottom w:val="none" w:sz="0" w:space="0" w:color="auto"/>
        <w:right w:val="none" w:sz="0" w:space="0" w:color="auto"/>
      </w:divBdr>
    </w:div>
    <w:div w:id="599724509">
      <w:bodyDiv w:val="1"/>
      <w:marLeft w:val="0"/>
      <w:marRight w:val="0"/>
      <w:marTop w:val="0"/>
      <w:marBottom w:val="0"/>
      <w:divBdr>
        <w:top w:val="none" w:sz="0" w:space="0" w:color="auto"/>
        <w:left w:val="none" w:sz="0" w:space="0" w:color="auto"/>
        <w:bottom w:val="none" w:sz="0" w:space="0" w:color="auto"/>
        <w:right w:val="none" w:sz="0" w:space="0" w:color="auto"/>
      </w:divBdr>
    </w:div>
    <w:div w:id="601571793">
      <w:bodyDiv w:val="1"/>
      <w:marLeft w:val="0"/>
      <w:marRight w:val="0"/>
      <w:marTop w:val="0"/>
      <w:marBottom w:val="0"/>
      <w:divBdr>
        <w:top w:val="none" w:sz="0" w:space="0" w:color="auto"/>
        <w:left w:val="none" w:sz="0" w:space="0" w:color="auto"/>
        <w:bottom w:val="none" w:sz="0" w:space="0" w:color="auto"/>
        <w:right w:val="none" w:sz="0" w:space="0" w:color="auto"/>
      </w:divBdr>
    </w:div>
    <w:div w:id="603417981">
      <w:bodyDiv w:val="1"/>
      <w:marLeft w:val="0"/>
      <w:marRight w:val="0"/>
      <w:marTop w:val="0"/>
      <w:marBottom w:val="0"/>
      <w:divBdr>
        <w:top w:val="none" w:sz="0" w:space="0" w:color="auto"/>
        <w:left w:val="none" w:sz="0" w:space="0" w:color="auto"/>
        <w:bottom w:val="none" w:sz="0" w:space="0" w:color="auto"/>
        <w:right w:val="none" w:sz="0" w:space="0" w:color="auto"/>
      </w:divBdr>
    </w:div>
    <w:div w:id="603809010">
      <w:bodyDiv w:val="1"/>
      <w:marLeft w:val="0"/>
      <w:marRight w:val="0"/>
      <w:marTop w:val="0"/>
      <w:marBottom w:val="0"/>
      <w:divBdr>
        <w:top w:val="none" w:sz="0" w:space="0" w:color="auto"/>
        <w:left w:val="none" w:sz="0" w:space="0" w:color="auto"/>
        <w:bottom w:val="none" w:sz="0" w:space="0" w:color="auto"/>
        <w:right w:val="none" w:sz="0" w:space="0" w:color="auto"/>
      </w:divBdr>
    </w:div>
    <w:div w:id="604581282">
      <w:bodyDiv w:val="1"/>
      <w:marLeft w:val="0"/>
      <w:marRight w:val="0"/>
      <w:marTop w:val="0"/>
      <w:marBottom w:val="0"/>
      <w:divBdr>
        <w:top w:val="none" w:sz="0" w:space="0" w:color="auto"/>
        <w:left w:val="none" w:sz="0" w:space="0" w:color="auto"/>
        <w:bottom w:val="none" w:sz="0" w:space="0" w:color="auto"/>
        <w:right w:val="none" w:sz="0" w:space="0" w:color="auto"/>
      </w:divBdr>
    </w:div>
    <w:div w:id="605692386">
      <w:bodyDiv w:val="1"/>
      <w:marLeft w:val="0"/>
      <w:marRight w:val="0"/>
      <w:marTop w:val="0"/>
      <w:marBottom w:val="0"/>
      <w:divBdr>
        <w:top w:val="none" w:sz="0" w:space="0" w:color="auto"/>
        <w:left w:val="none" w:sz="0" w:space="0" w:color="auto"/>
        <w:bottom w:val="none" w:sz="0" w:space="0" w:color="auto"/>
        <w:right w:val="none" w:sz="0" w:space="0" w:color="auto"/>
      </w:divBdr>
    </w:div>
    <w:div w:id="606012515">
      <w:bodyDiv w:val="1"/>
      <w:marLeft w:val="0"/>
      <w:marRight w:val="0"/>
      <w:marTop w:val="0"/>
      <w:marBottom w:val="0"/>
      <w:divBdr>
        <w:top w:val="none" w:sz="0" w:space="0" w:color="auto"/>
        <w:left w:val="none" w:sz="0" w:space="0" w:color="auto"/>
        <w:bottom w:val="none" w:sz="0" w:space="0" w:color="auto"/>
        <w:right w:val="none" w:sz="0" w:space="0" w:color="auto"/>
      </w:divBdr>
    </w:div>
    <w:div w:id="606087319">
      <w:bodyDiv w:val="1"/>
      <w:marLeft w:val="0"/>
      <w:marRight w:val="0"/>
      <w:marTop w:val="0"/>
      <w:marBottom w:val="0"/>
      <w:divBdr>
        <w:top w:val="none" w:sz="0" w:space="0" w:color="auto"/>
        <w:left w:val="none" w:sz="0" w:space="0" w:color="auto"/>
        <w:bottom w:val="none" w:sz="0" w:space="0" w:color="auto"/>
        <w:right w:val="none" w:sz="0" w:space="0" w:color="auto"/>
      </w:divBdr>
    </w:div>
    <w:div w:id="606279263">
      <w:bodyDiv w:val="1"/>
      <w:marLeft w:val="0"/>
      <w:marRight w:val="0"/>
      <w:marTop w:val="0"/>
      <w:marBottom w:val="0"/>
      <w:divBdr>
        <w:top w:val="none" w:sz="0" w:space="0" w:color="auto"/>
        <w:left w:val="none" w:sz="0" w:space="0" w:color="auto"/>
        <w:bottom w:val="none" w:sz="0" w:space="0" w:color="auto"/>
        <w:right w:val="none" w:sz="0" w:space="0" w:color="auto"/>
      </w:divBdr>
    </w:div>
    <w:div w:id="607084304">
      <w:bodyDiv w:val="1"/>
      <w:marLeft w:val="0"/>
      <w:marRight w:val="0"/>
      <w:marTop w:val="0"/>
      <w:marBottom w:val="0"/>
      <w:divBdr>
        <w:top w:val="none" w:sz="0" w:space="0" w:color="auto"/>
        <w:left w:val="none" w:sz="0" w:space="0" w:color="auto"/>
        <w:bottom w:val="none" w:sz="0" w:space="0" w:color="auto"/>
        <w:right w:val="none" w:sz="0" w:space="0" w:color="auto"/>
      </w:divBdr>
    </w:div>
    <w:div w:id="608053343">
      <w:bodyDiv w:val="1"/>
      <w:marLeft w:val="0"/>
      <w:marRight w:val="0"/>
      <w:marTop w:val="0"/>
      <w:marBottom w:val="0"/>
      <w:divBdr>
        <w:top w:val="none" w:sz="0" w:space="0" w:color="auto"/>
        <w:left w:val="none" w:sz="0" w:space="0" w:color="auto"/>
        <w:bottom w:val="none" w:sz="0" w:space="0" w:color="auto"/>
        <w:right w:val="none" w:sz="0" w:space="0" w:color="auto"/>
      </w:divBdr>
    </w:div>
    <w:div w:id="608270279">
      <w:bodyDiv w:val="1"/>
      <w:marLeft w:val="0"/>
      <w:marRight w:val="0"/>
      <w:marTop w:val="0"/>
      <w:marBottom w:val="0"/>
      <w:divBdr>
        <w:top w:val="none" w:sz="0" w:space="0" w:color="auto"/>
        <w:left w:val="none" w:sz="0" w:space="0" w:color="auto"/>
        <w:bottom w:val="none" w:sz="0" w:space="0" w:color="auto"/>
        <w:right w:val="none" w:sz="0" w:space="0" w:color="auto"/>
      </w:divBdr>
    </w:div>
    <w:div w:id="608703612">
      <w:bodyDiv w:val="1"/>
      <w:marLeft w:val="0"/>
      <w:marRight w:val="0"/>
      <w:marTop w:val="0"/>
      <w:marBottom w:val="0"/>
      <w:divBdr>
        <w:top w:val="none" w:sz="0" w:space="0" w:color="auto"/>
        <w:left w:val="none" w:sz="0" w:space="0" w:color="auto"/>
        <w:bottom w:val="none" w:sz="0" w:space="0" w:color="auto"/>
        <w:right w:val="none" w:sz="0" w:space="0" w:color="auto"/>
      </w:divBdr>
    </w:div>
    <w:div w:id="610278682">
      <w:bodyDiv w:val="1"/>
      <w:marLeft w:val="0"/>
      <w:marRight w:val="0"/>
      <w:marTop w:val="0"/>
      <w:marBottom w:val="0"/>
      <w:divBdr>
        <w:top w:val="none" w:sz="0" w:space="0" w:color="auto"/>
        <w:left w:val="none" w:sz="0" w:space="0" w:color="auto"/>
        <w:bottom w:val="none" w:sz="0" w:space="0" w:color="auto"/>
        <w:right w:val="none" w:sz="0" w:space="0" w:color="auto"/>
      </w:divBdr>
    </w:div>
    <w:div w:id="610823016">
      <w:bodyDiv w:val="1"/>
      <w:marLeft w:val="0"/>
      <w:marRight w:val="0"/>
      <w:marTop w:val="0"/>
      <w:marBottom w:val="0"/>
      <w:divBdr>
        <w:top w:val="none" w:sz="0" w:space="0" w:color="auto"/>
        <w:left w:val="none" w:sz="0" w:space="0" w:color="auto"/>
        <w:bottom w:val="none" w:sz="0" w:space="0" w:color="auto"/>
        <w:right w:val="none" w:sz="0" w:space="0" w:color="auto"/>
      </w:divBdr>
    </w:div>
    <w:div w:id="610892715">
      <w:bodyDiv w:val="1"/>
      <w:marLeft w:val="0"/>
      <w:marRight w:val="0"/>
      <w:marTop w:val="0"/>
      <w:marBottom w:val="0"/>
      <w:divBdr>
        <w:top w:val="none" w:sz="0" w:space="0" w:color="auto"/>
        <w:left w:val="none" w:sz="0" w:space="0" w:color="auto"/>
        <w:bottom w:val="none" w:sz="0" w:space="0" w:color="auto"/>
        <w:right w:val="none" w:sz="0" w:space="0" w:color="auto"/>
      </w:divBdr>
    </w:div>
    <w:div w:id="615337278">
      <w:bodyDiv w:val="1"/>
      <w:marLeft w:val="0"/>
      <w:marRight w:val="0"/>
      <w:marTop w:val="0"/>
      <w:marBottom w:val="0"/>
      <w:divBdr>
        <w:top w:val="none" w:sz="0" w:space="0" w:color="auto"/>
        <w:left w:val="none" w:sz="0" w:space="0" w:color="auto"/>
        <w:bottom w:val="none" w:sz="0" w:space="0" w:color="auto"/>
        <w:right w:val="none" w:sz="0" w:space="0" w:color="auto"/>
      </w:divBdr>
    </w:div>
    <w:div w:id="616522709">
      <w:bodyDiv w:val="1"/>
      <w:marLeft w:val="0"/>
      <w:marRight w:val="0"/>
      <w:marTop w:val="0"/>
      <w:marBottom w:val="0"/>
      <w:divBdr>
        <w:top w:val="none" w:sz="0" w:space="0" w:color="auto"/>
        <w:left w:val="none" w:sz="0" w:space="0" w:color="auto"/>
        <w:bottom w:val="none" w:sz="0" w:space="0" w:color="auto"/>
        <w:right w:val="none" w:sz="0" w:space="0" w:color="auto"/>
      </w:divBdr>
    </w:div>
    <w:div w:id="616719962">
      <w:bodyDiv w:val="1"/>
      <w:marLeft w:val="0"/>
      <w:marRight w:val="0"/>
      <w:marTop w:val="0"/>
      <w:marBottom w:val="0"/>
      <w:divBdr>
        <w:top w:val="none" w:sz="0" w:space="0" w:color="auto"/>
        <w:left w:val="none" w:sz="0" w:space="0" w:color="auto"/>
        <w:bottom w:val="none" w:sz="0" w:space="0" w:color="auto"/>
        <w:right w:val="none" w:sz="0" w:space="0" w:color="auto"/>
      </w:divBdr>
    </w:div>
    <w:div w:id="617369301">
      <w:bodyDiv w:val="1"/>
      <w:marLeft w:val="0"/>
      <w:marRight w:val="0"/>
      <w:marTop w:val="0"/>
      <w:marBottom w:val="0"/>
      <w:divBdr>
        <w:top w:val="none" w:sz="0" w:space="0" w:color="auto"/>
        <w:left w:val="none" w:sz="0" w:space="0" w:color="auto"/>
        <w:bottom w:val="none" w:sz="0" w:space="0" w:color="auto"/>
        <w:right w:val="none" w:sz="0" w:space="0" w:color="auto"/>
      </w:divBdr>
    </w:div>
    <w:div w:id="618754978">
      <w:bodyDiv w:val="1"/>
      <w:marLeft w:val="0"/>
      <w:marRight w:val="0"/>
      <w:marTop w:val="0"/>
      <w:marBottom w:val="0"/>
      <w:divBdr>
        <w:top w:val="none" w:sz="0" w:space="0" w:color="auto"/>
        <w:left w:val="none" w:sz="0" w:space="0" w:color="auto"/>
        <w:bottom w:val="none" w:sz="0" w:space="0" w:color="auto"/>
        <w:right w:val="none" w:sz="0" w:space="0" w:color="auto"/>
      </w:divBdr>
    </w:div>
    <w:div w:id="618952524">
      <w:bodyDiv w:val="1"/>
      <w:marLeft w:val="0"/>
      <w:marRight w:val="0"/>
      <w:marTop w:val="0"/>
      <w:marBottom w:val="0"/>
      <w:divBdr>
        <w:top w:val="none" w:sz="0" w:space="0" w:color="auto"/>
        <w:left w:val="none" w:sz="0" w:space="0" w:color="auto"/>
        <w:bottom w:val="none" w:sz="0" w:space="0" w:color="auto"/>
        <w:right w:val="none" w:sz="0" w:space="0" w:color="auto"/>
      </w:divBdr>
    </w:div>
    <w:div w:id="618994050">
      <w:bodyDiv w:val="1"/>
      <w:marLeft w:val="0"/>
      <w:marRight w:val="0"/>
      <w:marTop w:val="0"/>
      <w:marBottom w:val="0"/>
      <w:divBdr>
        <w:top w:val="none" w:sz="0" w:space="0" w:color="auto"/>
        <w:left w:val="none" w:sz="0" w:space="0" w:color="auto"/>
        <w:bottom w:val="none" w:sz="0" w:space="0" w:color="auto"/>
        <w:right w:val="none" w:sz="0" w:space="0" w:color="auto"/>
      </w:divBdr>
    </w:div>
    <w:div w:id="620763875">
      <w:bodyDiv w:val="1"/>
      <w:marLeft w:val="0"/>
      <w:marRight w:val="0"/>
      <w:marTop w:val="0"/>
      <w:marBottom w:val="0"/>
      <w:divBdr>
        <w:top w:val="none" w:sz="0" w:space="0" w:color="auto"/>
        <w:left w:val="none" w:sz="0" w:space="0" w:color="auto"/>
        <w:bottom w:val="none" w:sz="0" w:space="0" w:color="auto"/>
        <w:right w:val="none" w:sz="0" w:space="0" w:color="auto"/>
      </w:divBdr>
    </w:div>
    <w:div w:id="621153208">
      <w:bodyDiv w:val="1"/>
      <w:marLeft w:val="0"/>
      <w:marRight w:val="0"/>
      <w:marTop w:val="0"/>
      <w:marBottom w:val="0"/>
      <w:divBdr>
        <w:top w:val="none" w:sz="0" w:space="0" w:color="auto"/>
        <w:left w:val="none" w:sz="0" w:space="0" w:color="auto"/>
        <w:bottom w:val="none" w:sz="0" w:space="0" w:color="auto"/>
        <w:right w:val="none" w:sz="0" w:space="0" w:color="auto"/>
      </w:divBdr>
    </w:div>
    <w:div w:id="621230139">
      <w:bodyDiv w:val="1"/>
      <w:marLeft w:val="0"/>
      <w:marRight w:val="0"/>
      <w:marTop w:val="0"/>
      <w:marBottom w:val="0"/>
      <w:divBdr>
        <w:top w:val="none" w:sz="0" w:space="0" w:color="auto"/>
        <w:left w:val="none" w:sz="0" w:space="0" w:color="auto"/>
        <w:bottom w:val="none" w:sz="0" w:space="0" w:color="auto"/>
        <w:right w:val="none" w:sz="0" w:space="0" w:color="auto"/>
      </w:divBdr>
    </w:div>
    <w:div w:id="624389960">
      <w:bodyDiv w:val="1"/>
      <w:marLeft w:val="0"/>
      <w:marRight w:val="0"/>
      <w:marTop w:val="0"/>
      <w:marBottom w:val="0"/>
      <w:divBdr>
        <w:top w:val="none" w:sz="0" w:space="0" w:color="auto"/>
        <w:left w:val="none" w:sz="0" w:space="0" w:color="auto"/>
        <w:bottom w:val="none" w:sz="0" w:space="0" w:color="auto"/>
        <w:right w:val="none" w:sz="0" w:space="0" w:color="auto"/>
      </w:divBdr>
    </w:div>
    <w:div w:id="625350346">
      <w:bodyDiv w:val="1"/>
      <w:marLeft w:val="0"/>
      <w:marRight w:val="0"/>
      <w:marTop w:val="0"/>
      <w:marBottom w:val="0"/>
      <w:divBdr>
        <w:top w:val="none" w:sz="0" w:space="0" w:color="auto"/>
        <w:left w:val="none" w:sz="0" w:space="0" w:color="auto"/>
        <w:bottom w:val="none" w:sz="0" w:space="0" w:color="auto"/>
        <w:right w:val="none" w:sz="0" w:space="0" w:color="auto"/>
      </w:divBdr>
    </w:div>
    <w:div w:id="625699815">
      <w:bodyDiv w:val="1"/>
      <w:marLeft w:val="0"/>
      <w:marRight w:val="0"/>
      <w:marTop w:val="0"/>
      <w:marBottom w:val="0"/>
      <w:divBdr>
        <w:top w:val="none" w:sz="0" w:space="0" w:color="auto"/>
        <w:left w:val="none" w:sz="0" w:space="0" w:color="auto"/>
        <w:bottom w:val="none" w:sz="0" w:space="0" w:color="auto"/>
        <w:right w:val="none" w:sz="0" w:space="0" w:color="auto"/>
      </w:divBdr>
    </w:div>
    <w:div w:id="626593951">
      <w:bodyDiv w:val="1"/>
      <w:marLeft w:val="0"/>
      <w:marRight w:val="0"/>
      <w:marTop w:val="0"/>
      <w:marBottom w:val="0"/>
      <w:divBdr>
        <w:top w:val="none" w:sz="0" w:space="0" w:color="auto"/>
        <w:left w:val="none" w:sz="0" w:space="0" w:color="auto"/>
        <w:bottom w:val="none" w:sz="0" w:space="0" w:color="auto"/>
        <w:right w:val="none" w:sz="0" w:space="0" w:color="auto"/>
      </w:divBdr>
    </w:div>
    <w:div w:id="627587579">
      <w:bodyDiv w:val="1"/>
      <w:marLeft w:val="0"/>
      <w:marRight w:val="0"/>
      <w:marTop w:val="0"/>
      <w:marBottom w:val="0"/>
      <w:divBdr>
        <w:top w:val="none" w:sz="0" w:space="0" w:color="auto"/>
        <w:left w:val="none" w:sz="0" w:space="0" w:color="auto"/>
        <w:bottom w:val="none" w:sz="0" w:space="0" w:color="auto"/>
        <w:right w:val="none" w:sz="0" w:space="0" w:color="auto"/>
      </w:divBdr>
    </w:div>
    <w:div w:id="628128722">
      <w:bodyDiv w:val="1"/>
      <w:marLeft w:val="0"/>
      <w:marRight w:val="0"/>
      <w:marTop w:val="0"/>
      <w:marBottom w:val="0"/>
      <w:divBdr>
        <w:top w:val="none" w:sz="0" w:space="0" w:color="auto"/>
        <w:left w:val="none" w:sz="0" w:space="0" w:color="auto"/>
        <w:bottom w:val="none" w:sz="0" w:space="0" w:color="auto"/>
        <w:right w:val="none" w:sz="0" w:space="0" w:color="auto"/>
      </w:divBdr>
    </w:div>
    <w:div w:id="630402527">
      <w:bodyDiv w:val="1"/>
      <w:marLeft w:val="0"/>
      <w:marRight w:val="0"/>
      <w:marTop w:val="0"/>
      <w:marBottom w:val="0"/>
      <w:divBdr>
        <w:top w:val="none" w:sz="0" w:space="0" w:color="auto"/>
        <w:left w:val="none" w:sz="0" w:space="0" w:color="auto"/>
        <w:bottom w:val="none" w:sz="0" w:space="0" w:color="auto"/>
        <w:right w:val="none" w:sz="0" w:space="0" w:color="auto"/>
      </w:divBdr>
    </w:div>
    <w:div w:id="630477119">
      <w:bodyDiv w:val="1"/>
      <w:marLeft w:val="0"/>
      <w:marRight w:val="0"/>
      <w:marTop w:val="0"/>
      <w:marBottom w:val="0"/>
      <w:divBdr>
        <w:top w:val="none" w:sz="0" w:space="0" w:color="auto"/>
        <w:left w:val="none" w:sz="0" w:space="0" w:color="auto"/>
        <w:bottom w:val="none" w:sz="0" w:space="0" w:color="auto"/>
        <w:right w:val="none" w:sz="0" w:space="0" w:color="auto"/>
      </w:divBdr>
    </w:div>
    <w:div w:id="632370832">
      <w:bodyDiv w:val="1"/>
      <w:marLeft w:val="0"/>
      <w:marRight w:val="0"/>
      <w:marTop w:val="0"/>
      <w:marBottom w:val="0"/>
      <w:divBdr>
        <w:top w:val="none" w:sz="0" w:space="0" w:color="auto"/>
        <w:left w:val="none" w:sz="0" w:space="0" w:color="auto"/>
        <w:bottom w:val="none" w:sz="0" w:space="0" w:color="auto"/>
        <w:right w:val="none" w:sz="0" w:space="0" w:color="auto"/>
      </w:divBdr>
    </w:div>
    <w:div w:id="633681544">
      <w:bodyDiv w:val="1"/>
      <w:marLeft w:val="0"/>
      <w:marRight w:val="0"/>
      <w:marTop w:val="0"/>
      <w:marBottom w:val="0"/>
      <w:divBdr>
        <w:top w:val="none" w:sz="0" w:space="0" w:color="auto"/>
        <w:left w:val="none" w:sz="0" w:space="0" w:color="auto"/>
        <w:bottom w:val="none" w:sz="0" w:space="0" w:color="auto"/>
        <w:right w:val="none" w:sz="0" w:space="0" w:color="auto"/>
      </w:divBdr>
    </w:div>
    <w:div w:id="633828604">
      <w:bodyDiv w:val="1"/>
      <w:marLeft w:val="0"/>
      <w:marRight w:val="0"/>
      <w:marTop w:val="0"/>
      <w:marBottom w:val="0"/>
      <w:divBdr>
        <w:top w:val="none" w:sz="0" w:space="0" w:color="auto"/>
        <w:left w:val="none" w:sz="0" w:space="0" w:color="auto"/>
        <w:bottom w:val="none" w:sz="0" w:space="0" w:color="auto"/>
        <w:right w:val="none" w:sz="0" w:space="0" w:color="auto"/>
      </w:divBdr>
    </w:div>
    <w:div w:id="635334963">
      <w:bodyDiv w:val="1"/>
      <w:marLeft w:val="0"/>
      <w:marRight w:val="0"/>
      <w:marTop w:val="0"/>
      <w:marBottom w:val="0"/>
      <w:divBdr>
        <w:top w:val="none" w:sz="0" w:space="0" w:color="auto"/>
        <w:left w:val="none" w:sz="0" w:space="0" w:color="auto"/>
        <w:bottom w:val="none" w:sz="0" w:space="0" w:color="auto"/>
        <w:right w:val="none" w:sz="0" w:space="0" w:color="auto"/>
      </w:divBdr>
    </w:div>
    <w:div w:id="637996990">
      <w:bodyDiv w:val="1"/>
      <w:marLeft w:val="0"/>
      <w:marRight w:val="0"/>
      <w:marTop w:val="0"/>
      <w:marBottom w:val="0"/>
      <w:divBdr>
        <w:top w:val="none" w:sz="0" w:space="0" w:color="auto"/>
        <w:left w:val="none" w:sz="0" w:space="0" w:color="auto"/>
        <w:bottom w:val="none" w:sz="0" w:space="0" w:color="auto"/>
        <w:right w:val="none" w:sz="0" w:space="0" w:color="auto"/>
      </w:divBdr>
    </w:div>
    <w:div w:id="639044498">
      <w:bodyDiv w:val="1"/>
      <w:marLeft w:val="0"/>
      <w:marRight w:val="0"/>
      <w:marTop w:val="0"/>
      <w:marBottom w:val="0"/>
      <w:divBdr>
        <w:top w:val="none" w:sz="0" w:space="0" w:color="auto"/>
        <w:left w:val="none" w:sz="0" w:space="0" w:color="auto"/>
        <w:bottom w:val="none" w:sz="0" w:space="0" w:color="auto"/>
        <w:right w:val="none" w:sz="0" w:space="0" w:color="auto"/>
      </w:divBdr>
    </w:div>
    <w:div w:id="641348870">
      <w:bodyDiv w:val="1"/>
      <w:marLeft w:val="0"/>
      <w:marRight w:val="0"/>
      <w:marTop w:val="0"/>
      <w:marBottom w:val="0"/>
      <w:divBdr>
        <w:top w:val="none" w:sz="0" w:space="0" w:color="auto"/>
        <w:left w:val="none" w:sz="0" w:space="0" w:color="auto"/>
        <w:bottom w:val="none" w:sz="0" w:space="0" w:color="auto"/>
        <w:right w:val="none" w:sz="0" w:space="0" w:color="auto"/>
      </w:divBdr>
    </w:div>
    <w:div w:id="642002355">
      <w:bodyDiv w:val="1"/>
      <w:marLeft w:val="0"/>
      <w:marRight w:val="0"/>
      <w:marTop w:val="0"/>
      <w:marBottom w:val="0"/>
      <w:divBdr>
        <w:top w:val="none" w:sz="0" w:space="0" w:color="auto"/>
        <w:left w:val="none" w:sz="0" w:space="0" w:color="auto"/>
        <w:bottom w:val="none" w:sz="0" w:space="0" w:color="auto"/>
        <w:right w:val="none" w:sz="0" w:space="0" w:color="auto"/>
      </w:divBdr>
    </w:div>
    <w:div w:id="643970700">
      <w:bodyDiv w:val="1"/>
      <w:marLeft w:val="0"/>
      <w:marRight w:val="0"/>
      <w:marTop w:val="0"/>
      <w:marBottom w:val="0"/>
      <w:divBdr>
        <w:top w:val="none" w:sz="0" w:space="0" w:color="auto"/>
        <w:left w:val="none" w:sz="0" w:space="0" w:color="auto"/>
        <w:bottom w:val="none" w:sz="0" w:space="0" w:color="auto"/>
        <w:right w:val="none" w:sz="0" w:space="0" w:color="auto"/>
      </w:divBdr>
    </w:div>
    <w:div w:id="644046155">
      <w:bodyDiv w:val="1"/>
      <w:marLeft w:val="0"/>
      <w:marRight w:val="0"/>
      <w:marTop w:val="0"/>
      <w:marBottom w:val="0"/>
      <w:divBdr>
        <w:top w:val="none" w:sz="0" w:space="0" w:color="auto"/>
        <w:left w:val="none" w:sz="0" w:space="0" w:color="auto"/>
        <w:bottom w:val="none" w:sz="0" w:space="0" w:color="auto"/>
        <w:right w:val="none" w:sz="0" w:space="0" w:color="auto"/>
      </w:divBdr>
    </w:div>
    <w:div w:id="645817997">
      <w:bodyDiv w:val="1"/>
      <w:marLeft w:val="0"/>
      <w:marRight w:val="0"/>
      <w:marTop w:val="0"/>
      <w:marBottom w:val="0"/>
      <w:divBdr>
        <w:top w:val="none" w:sz="0" w:space="0" w:color="auto"/>
        <w:left w:val="none" w:sz="0" w:space="0" w:color="auto"/>
        <w:bottom w:val="none" w:sz="0" w:space="0" w:color="auto"/>
        <w:right w:val="none" w:sz="0" w:space="0" w:color="auto"/>
      </w:divBdr>
    </w:div>
    <w:div w:id="652029357">
      <w:bodyDiv w:val="1"/>
      <w:marLeft w:val="0"/>
      <w:marRight w:val="0"/>
      <w:marTop w:val="0"/>
      <w:marBottom w:val="0"/>
      <w:divBdr>
        <w:top w:val="none" w:sz="0" w:space="0" w:color="auto"/>
        <w:left w:val="none" w:sz="0" w:space="0" w:color="auto"/>
        <w:bottom w:val="none" w:sz="0" w:space="0" w:color="auto"/>
        <w:right w:val="none" w:sz="0" w:space="0" w:color="auto"/>
      </w:divBdr>
    </w:div>
    <w:div w:id="653799964">
      <w:bodyDiv w:val="1"/>
      <w:marLeft w:val="0"/>
      <w:marRight w:val="0"/>
      <w:marTop w:val="0"/>
      <w:marBottom w:val="0"/>
      <w:divBdr>
        <w:top w:val="none" w:sz="0" w:space="0" w:color="auto"/>
        <w:left w:val="none" w:sz="0" w:space="0" w:color="auto"/>
        <w:bottom w:val="none" w:sz="0" w:space="0" w:color="auto"/>
        <w:right w:val="none" w:sz="0" w:space="0" w:color="auto"/>
      </w:divBdr>
    </w:div>
    <w:div w:id="654115410">
      <w:bodyDiv w:val="1"/>
      <w:marLeft w:val="0"/>
      <w:marRight w:val="0"/>
      <w:marTop w:val="0"/>
      <w:marBottom w:val="0"/>
      <w:divBdr>
        <w:top w:val="none" w:sz="0" w:space="0" w:color="auto"/>
        <w:left w:val="none" w:sz="0" w:space="0" w:color="auto"/>
        <w:bottom w:val="none" w:sz="0" w:space="0" w:color="auto"/>
        <w:right w:val="none" w:sz="0" w:space="0" w:color="auto"/>
      </w:divBdr>
    </w:div>
    <w:div w:id="655454976">
      <w:bodyDiv w:val="1"/>
      <w:marLeft w:val="0"/>
      <w:marRight w:val="0"/>
      <w:marTop w:val="0"/>
      <w:marBottom w:val="0"/>
      <w:divBdr>
        <w:top w:val="none" w:sz="0" w:space="0" w:color="auto"/>
        <w:left w:val="none" w:sz="0" w:space="0" w:color="auto"/>
        <w:bottom w:val="none" w:sz="0" w:space="0" w:color="auto"/>
        <w:right w:val="none" w:sz="0" w:space="0" w:color="auto"/>
      </w:divBdr>
    </w:div>
    <w:div w:id="656305532">
      <w:bodyDiv w:val="1"/>
      <w:marLeft w:val="0"/>
      <w:marRight w:val="0"/>
      <w:marTop w:val="0"/>
      <w:marBottom w:val="0"/>
      <w:divBdr>
        <w:top w:val="none" w:sz="0" w:space="0" w:color="auto"/>
        <w:left w:val="none" w:sz="0" w:space="0" w:color="auto"/>
        <w:bottom w:val="none" w:sz="0" w:space="0" w:color="auto"/>
        <w:right w:val="none" w:sz="0" w:space="0" w:color="auto"/>
      </w:divBdr>
    </w:div>
    <w:div w:id="657422559">
      <w:bodyDiv w:val="1"/>
      <w:marLeft w:val="0"/>
      <w:marRight w:val="0"/>
      <w:marTop w:val="0"/>
      <w:marBottom w:val="0"/>
      <w:divBdr>
        <w:top w:val="none" w:sz="0" w:space="0" w:color="auto"/>
        <w:left w:val="none" w:sz="0" w:space="0" w:color="auto"/>
        <w:bottom w:val="none" w:sz="0" w:space="0" w:color="auto"/>
        <w:right w:val="none" w:sz="0" w:space="0" w:color="auto"/>
      </w:divBdr>
    </w:div>
    <w:div w:id="660159699">
      <w:bodyDiv w:val="1"/>
      <w:marLeft w:val="0"/>
      <w:marRight w:val="0"/>
      <w:marTop w:val="0"/>
      <w:marBottom w:val="0"/>
      <w:divBdr>
        <w:top w:val="none" w:sz="0" w:space="0" w:color="auto"/>
        <w:left w:val="none" w:sz="0" w:space="0" w:color="auto"/>
        <w:bottom w:val="none" w:sz="0" w:space="0" w:color="auto"/>
        <w:right w:val="none" w:sz="0" w:space="0" w:color="auto"/>
      </w:divBdr>
    </w:div>
    <w:div w:id="660890434">
      <w:bodyDiv w:val="1"/>
      <w:marLeft w:val="0"/>
      <w:marRight w:val="0"/>
      <w:marTop w:val="0"/>
      <w:marBottom w:val="0"/>
      <w:divBdr>
        <w:top w:val="none" w:sz="0" w:space="0" w:color="auto"/>
        <w:left w:val="none" w:sz="0" w:space="0" w:color="auto"/>
        <w:bottom w:val="none" w:sz="0" w:space="0" w:color="auto"/>
        <w:right w:val="none" w:sz="0" w:space="0" w:color="auto"/>
      </w:divBdr>
    </w:div>
    <w:div w:id="663167790">
      <w:bodyDiv w:val="1"/>
      <w:marLeft w:val="0"/>
      <w:marRight w:val="0"/>
      <w:marTop w:val="0"/>
      <w:marBottom w:val="0"/>
      <w:divBdr>
        <w:top w:val="none" w:sz="0" w:space="0" w:color="auto"/>
        <w:left w:val="none" w:sz="0" w:space="0" w:color="auto"/>
        <w:bottom w:val="none" w:sz="0" w:space="0" w:color="auto"/>
        <w:right w:val="none" w:sz="0" w:space="0" w:color="auto"/>
      </w:divBdr>
    </w:div>
    <w:div w:id="663901996">
      <w:bodyDiv w:val="1"/>
      <w:marLeft w:val="0"/>
      <w:marRight w:val="0"/>
      <w:marTop w:val="0"/>
      <w:marBottom w:val="0"/>
      <w:divBdr>
        <w:top w:val="none" w:sz="0" w:space="0" w:color="auto"/>
        <w:left w:val="none" w:sz="0" w:space="0" w:color="auto"/>
        <w:bottom w:val="none" w:sz="0" w:space="0" w:color="auto"/>
        <w:right w:val="none" w:sz="0" w:space="0" w:color="auto"/>
      </w:divBdr>
    </w:div>
    <w:div w:id="666446991">
      <w:bodyDiv w:val="1"/>
      <w:marLeft w:val="0"/>
      <w:marRight w:val="0"/>
      <w:marTop w:val="0"/>
      <w:marBottom w:val="0"/>
      <w:divBdr>
        <w:top w:val="none" w:sz="0" w:space="0" w:color="auto"/>
        <w:left w:val="none" w:sz="0" w:space="0" w:color="auto"/>
        <w:bottom w:val="none" w:sz="0" w:space="0" w:color="auto"/>
        <w:right w:val="none" w:sz="0" w:space="0" w:color="auto"/>
      </w:divBdr>
    </w:div>
    <w:div w:id="667438519">
      <w:bodyDiv w:val="1"/>
      <w:marLeft w:val="0"/>
      <w:marRight w:val="0"/>
      <w:marTop w:val="0"/>
      <w:marBottom w:val="0"/>
      <w:divBdr>
        <w:top w:val="none" w:sz="0" w:space="0" w:color="auto"/>
        <w:left w:val="none" w:sz="0" w:space="0" w:color="auto"/>
        <w:bottom w:val="none" w:sz="0" w:space="0" w:color="auto"/>
        <w:right w:val="none" w:sz="0" w:space="0" w:color="auto"/>
      </w:divBdr>
    </w:div>
    <w:div w:id="667444720">
      <w:bodyDiv w:val="1"/>
      <w:marLeft w:val="0"/>
      <w:marRight w:val="0"/>
      <w:marTop w:val="0"/>
      <w:marBottom w:val="0"/>
      <w:divBdr>
        <w:top w:val="none" w:sz="0" w:space="0" w:color="auto"/>
        <w:left w:val="none" w:sz="0" w:space="0" w:color="auto"/>
        <w:bottom w:val="none" w:sz="0" w:space="0" w:color="auto"/>
        <w:right w:val="none" w:sz="0" w:space="0" w:color="auto"/>
      </w:divBdr>
    </w:div>
    <w:div w:id="668361890">
      <w:bodyDiv w:val="1"/>
      <w:marLeft w:val="0"/>
      <w:marRight w:val="0"/>
      <w:marTop w:val="0"/>
      <w:marBottom w:val="0"/>
      <w:divBdr>
        <w:top w:val="none" w:sz="0" w:space="0" w:color="auto"/>
        <w:left w:val="none" w:sz="0" w:space="0" w:color="auto"/>
        <w:bottom w:val="none" w:sz="0" w:space="0" w:color="auto"/>
        <w:right w:val="none" w:sz="0" w:space="0" w:color="auto"/>
      </w:divBdr>
    </w:div>
    <w:div w:id="668411309">
      <w:bodyDiv w:val="1"/>
      <w:marLeft w:val="0"/>
      <w:marRight w:val="0"/>
      <w:marTop w:val="0"/>
      <w:marBottom w:val="0"/>
      <w:divBdr>
        <w:top w:val="none" w:sz="0" w:space="0" w:color="auto"/>
        <w:left w:val="none" w:sz="0" w:space="0" w:color="auto"/>
        <w:bottom w:val="none" w:sz="0" w:space="0" w:color="auto"/>
        <w:right w:val="none" w:sz="0" w:space="0" w:color="auto"/>
      </w:divBdr>
    </w:div>
    <w:div w:id="668676394">
      <w:bodyDiv w:val="1"/>
      <w:marLeft w:val="0"/>
      <w:marRight w:val="0"/>
      <w:marTop w:val="0"/>
      <w:marBottom w:val="0"/>
      <w:divBdr>
        <w:top w:val="none" w:sz="0" w:space="0" w:color="auto"/>
        <w:left w:val="none" w:sz="0" w:space="0" w:color="auto"/>
        <w:bottom w:val="none" w:sz="0" w:space="0" w:color="auto"/>
        <w:right w:val="none" w:sz="0" w:space="0" w:color="auto"/>
      </w:divBdr>
    </w:div>
    <w:div w:id="671371275">
      <w:bodyDiv w:val="1"/>
      <w:marLeft w:val="0"/>
      <w:marRight w:val="0"/>
      <w:marTop w:val="0"/>
      <w:marBottom w:val="0"/>
      <w:divBdr>
        <w:top w:val="none" w:sz="0" w:space="0" w:color="auto"/>
        <w:left w:val="none" w:sz="0" w:space="0" w:color="auto"/>
        <w:bottom w:val="none" w:sz="0" w:space="0" w:color="auto"/>
        <w:right w:val="none" w:sz="0" w:space="0" w:color="auto"/>
      </w:divBdr>
    </w:div>
    <w:div w:id="673066608">
      <w:bodyDiv w:val="1"/>
      <w:marLeft w:val="0"/>
      <w:marRight w:val="0"/>
      <w:marTop w:val="0"/>
      <w:marBottom w:val="0"/>
      <w:divBdr>
        <w:top w:val="none" w:sz="0" w:space="0" w:color="auto"/>
        <w:left w:val="none" w:sz="0" w:space="0" w:color="auto"/>
        <w:bottom w:val="none" w:sz="0" w:space="0" w:color="auto"/>
        <w:right w:val="none" w:sz="0" w:space="0" w:color="auto"/>
      </w:divBdr>
    </w:div>
    <w:div w:id="673798297">
      <w:bodyDiv w:val="1"/>
      <w:marLeft w:val="0"/>
      <w:marRight w:val="0"/>
      <w:marTop w:val="0"/>
      <w:marBottom w:val="0"/>
      <w:divBdr>
        <w:top w:val="none" w:sz="0" w:space="0" w:color="auto"/>
        <w:left w:val="none" w:sz="0" w:space="0" w:color="auto"/>
        <w:bottom w:val="none" w:sz="0" w:space="0" w:color="auto"/>
        <w:right w:val="none" w:sz="0" w:space="0" w:color="auto"/>
      </w:divBdr>
    </w:div>
    <w:div w:id="674068065">
      <w:bodyDiv w:val="1"/>
      <w:marLeft w:val="0"/>
      <w:marRight w:val="0"/>
      <w:marTop w:val="0"/>
      <w:marBottom w:val="0"/>
      <w:divBdr>
        <w:top w:val="none" w:sz="0" w:space="0" w:color="auto"/>
        <w:left w:val="none" w:sz="0" w:space="0" w:color="auto"/>
        <w:bottom w:val="none" w:sz="0" w:space="0" w:color="auto"/>
        <w:right w:val="none" w:sz="0" w:space="0" w:color="auto"/>
      </w:divBdr>
    </w:div>
    <w:div w:id="675808337">
      <w:bodyDiv w:val="1"/>
      <w:marLeft w:val="0"/>
      <w:marRight w:val="0"/>
      <w:marTop w:val="0"/>
      <w:marBottom w:val="0"/>
      <w:divBdr>
        <w:top w:val="none" w:sz="0" w:space="0" w:color="auto"/>
        <w:left w:val="none" w:sz="0" w:space="0" w:color="auto"/>
        <w:bottom w:val="none" w:sz="0" w:space="0" w:color="auto"/>
        <w:right w:val="none" w:sz="0" w:space="0" w:color="auto"/>
      </w:divBdr>
    </w:div>
    <w:div w:id="675810479">
      <w:bodyDiv w:val="1"/>
      <w:marLeft w:val="0"/>
      <w:marRight w:val="0"/>
      <w:marTop w:val="0"/>
      <w:marBottom w:val="0"/>
      <w:divBdr>
        <w:top w:val="none" w:sz="0" w:space="0" w:color="auto"/>
        <w:left w:val="none" w:sz="0" w:space="0" w:color="auto"/>
        <w:bottom w:val="none" w:sz="0" w:space="0" w:color="auto"/>
        <w:right w:val="none" w:sz="0" w:space="0" w:color="auto"/>
      </w:divBdr>
    </w:div>
    <w:div w:id="678965727">
      <w:bodyDiv w:val="1"/>
      <w:marLeft w:val="0"/>
      <w:marRight w:val="0"/>
      <w:marTop w:val="0"/>
      <w:marBottom w:val="0"/>
      <w:divBdr>
        <w:top w:val="none" w:sz="0" w:space="0" w:color="auto"/>
        <w:left w:val="none" w:sz="0" w:space="0" w:color="auto"/>
        <w:bottom w:val="none" w:sz="0" w:space="0" w:color="auto"/>
        <w:right w:val="none" w:sz="0" w:space="0" w:color="auto"/>
      </w:divBdr>
    </w:div>
    <w:div w:id="679968275">
      <w:bodyDiv w:val="1"/>
      <w:marLeft w:val="0"/>
      <w:marRight w:val="0"/>
      <w:marTop w:val="0"/>
      <w:marBottom w:val="0"/>
      <w:divBdr>
        <w:top w:val="none" w:sz="0" w:space="0" w:color="auto"/>
        <w:left w:val="none" w:sz="0" w:space="0" w:color="auto"/>
        <w:bottom w:val="none" w:sz="0" w:space="0" w:color="auto"/>
        <w:right w:val="none" w:sz="0" w:space="0" w:color="auto"/>
      </w:divBdr>
    </w:div>
    <w:div w:id="682125340">
      <w:bodyDiv w:val="1"/>
      <w:marLeft w:val="0"/>
      <w:marRight w:val="0"/>
      <w:marTop w:val="0"/>
      <w:marBottom w:val="0"/>
      <w:divBdr>
        <w:top w:val="none" w:sz="0" w:space="0" w:color="auto"/>
        <w:left w:val="none" w:sz="0" w:space="0" w:color="auto"/>
        <w:bottom w:val="none" w:sz="0" w:space="0" w:color="auto"/>
        <w:right w:val="none" w:sz="0" w:space="0" w:color="auto"/>
      </w:divBdr>
    </w:div>
    <w:div w:id="682322113">
      <w:bodyDiv w:val="1"/>
      <w:marLeft w:val="0"/>
      <w:marRight w:val="0"/>
      <w:marTop w:val="0"/>
      <w:marBottom w:val="0"/>
      <w:divBdr>
        <w:top w:val="none" w:sz="0" w:space="0" w:color="auto"/>
        <w:left w:val="none" w:sz="0" w:space="0" w:color="auto"/>
        <w:bottom w:val="none" w:sz="0" w:space="0" w:color="auto"/>
        <w:right w:val="none" w:sz="0" w:space="0" w:color="auto"/>
      </w:divBdr>
    </w:div>
    <w:div w:id="683434800">
      <w:bodyDiv w:val="1"/>
      <w:marLeft w:val="0"/>
      <w:marRight w:val="0"/>
      <w:marTop w:val="0"/>
      <w:marBottom w:val="0"/>
      <w:divBdr>
        <w:top w:val="none" w:sz="0" w:space="0" w:color="auto"/>
        <w:left w:val="none" w:sz="0" w:space="0" w:color="auto"/>
        <w:bottom w:val="none" w:sz="0" w:space="0" w:color="auto"/>
        <w:right w:val="none" w:sz="0" w:space="0" w:color="auto"/>
      </w:divBdr>
    </w:div>
    <w:div w:id="690106686">
      <w:bodyDiv w:val="1"/>
      <w:marLeft w:val="0"/>
      <w:marRight w:val="0"/>
      <w:marTop w:val="0"/>
      <w:marBottom w:val="0"/>
      <w:divBdr>
        <w:top w:val="none" w:sz="0" w:space="0" w:color="auto"/>
        <w:left w:val="none" w:sz="0" w:space="0" w:color="auto"/>
        <w:bottom w:val="none" w:sz="0" w:space="0" w:color="auto"/>
        <w:right w:val="none" w:sz="0" w:space="0" w:color="auto"/>
      </w:divBdr>
    </w:div>
    <w:div w:id="691805814">
      <w:bodyDiv w:val="1"/>
      <w:marLeft w:val="0"/>
      <w:marRight w:val="0"/>
      <w:marTop w:val="0"/>
      <w:marBottom w:val="0"/>
      <w:divBdr>
        <w:top w:val="none" w:sz="0" w:space="0" w:color="auto"/>
        <w:left w:val="none" w:sz="0" w:space="0" w:color="auto"/>
        <w:bottom w:val="none" w:sz="0" w:space="0" w:color="auto"/>
        <w:right w:val="none" w:sz="0" w:space="0" w:color="auto"/>
      </w:divBdr>
    </w:div>
    <w:div w:id="692852214">
      <w:bodyDiv w:val="1"/>
      <w:marLeft w:val="0"/>
      <w:marRight w:val="0"/>
      <w:marTop w:val="0"/>
      <w:marBottom w:val="0"/>
      <w:divBdr>
        <w:top w:val="none" w:sz="0" w:space="0" w:color="auto"/>
        <w:left w:val="none" w:sz="0" w:space="0" w:color="auto"/>
        <w:bottom w:val="none" w:sz="0" w:space="0" w:color="auto"/>
        <w:right w:val="none" w:sz="0" w:space="0" w:color="auto"/>
      </w:divBdr>
    </w:div>
    <w:div w:id="692877961">
      <w:bodyDiv w:val="1"/>
      <w:marLeft w:val="0"/>
      <w:marRight w:val="0"/>
      <w:marTop w:val="0"/>
      <w:marBottom w:val="0"/>
      <w:divBdr>
        <w:top w:val="none" w:sz="0" w:space="0" w:color="auto"/>
        <w:left w:val="none" w:sz="0" w:space="0" w:color="auto"/>
        <w:bottom w:val="none" w:sz="0" w:space="0" w:color="auto"/>
        <w:right w:val="none" w:sz="0" w:space="0" w:color="auto"/>
      </w:divBdr>
    </w:div>
    <w:div w:id="692925999">
      <w:bodyDiv w:val="1"/>
      <w:marLeft w:val="0"/>
      <w:marRight w:val="0"/>
      <w:marTop w:val="0"/>
      <w:marBottom w:val="0"/>
      <w:divBdr>
        <w:top w:val="none" w:sz="0" w:space="0" w:color="auto"/>
        <w:left w:val="none" w:sz="0" w:space="0" w:color="auto"/>
        <w:bottom w:val="none" w:sz="0" w:space="0" w:color="auto"/>
        <w:right w:val="none" w:sz="0" w:space="0" w:color="auto"/>
      </w:divBdr>
    </w:div>
    <w:div w:id="694506228">
      <w:bodyDiv w:val="1"/>
      <w:marLeft w:val="0"/>
      <w:marRight w:val="0"/>
      <w:marTop w:val="0"/>
      <w:marBottom w:val="0"/>
      <w:divBdr>
        <w:top w:val="none" w:sz="0" w:space="0" w:color="auto"/>
        <w:left w:val="none" w:sz="0" w:space="0" w:color="auto"/>
        <w:bottom w:val="none" w:sz="0" w:space="0" w:color="auto"/>
        <w:right w:val="none" w:sz="0" w:space="0" w:color="auto"/>
      </w:divBdr>
    </w:div>
    <w:div w:id="695542027">
      <w:bodyDiv w:val="1"/>
      <w:marLeft w:val="0"/>
      <w:marRight w:val="0"/>
      <w:marTop w:val="0"/>
      <w:marBottom w:val="0"/>
      <w:divBdr>
        <w:top w:val="none" w:sz="0" w:space="0" w:color="auto"/>
        <w:left w:val="none" w:sz="0" w:space="0" w:color="auto"/>
        <w:bottom w:val="none" w:sz="0" w:space="0" w:color="auto"/>
        <w:right w:val="none" w:sz="0" w:space="0" w:color="auto"/>
      </w:divBdr>
    </w:div>
    <w:div w:id="698969798">
      <w:bodyDiv w:val="1"/>
      <w:marLeft w:val="0"/>
      <w:marRight w:val="0"/>
      <w:marTop w:val="0"/>
      <w:marBottom w:val="0"/>
      <w:divBdr>
        <w:top w:val="none" w:sz="0" w:space="0" w:color="auto"/>
        <w:left w:val="none" w:sz="0" w:space="0" w:color="auto"/>
        <w:bottom w:val="none" w:sz="0" w:space="0" w:color="auto"/>
        <w:right w:val="none" w:sz="0" w:space="0" w:color="auto"/>
      </w:divBdr>
    </w:div>
    <w:div w:id="699670747">
      <w:bodyDiv w:val="1"/>
      <w:marLeft w:val="0"/>
      <w:marRight w:val="0"/>
      <w:marTop w:val="0"/>
      <w:marBottom w:val="0"/>
      <w:divBdr>
        <w:top w:val="none" w:sz="0" w:space="0" w:color="auto"/>
        <w:left w:val="none" w:sz="0" w:space="0" w:color="auto"/>
        <w:bottom w:val="none" w:sz="0" w:space="0" w:color="auto"/>
        <w:right w:val="none" w:sz="0" w:space="0" w:color="auto"/>
      </w:divBdr>
    </w:div>
    <w:div w:id="700714526">
      <w:bodyDiv w:val="1"/>
      <w:marLeft w:val="0"/>
      <w:marRight w:val="0"/>
      <w:marTop w:val="0"/>
      <w:marBottom w:val="0"/>
      <w:divBdr>
        <w:top w:val="none" w:sz="0" w:space="0" w:color="auto"/>
        <w:left w:val="none" w:sz="0" w:space="0" w:color="auto"/>
        <w:bottom w:val="none" w:sz="0" w:space="0" w:color="auto"/>
        <w:right w:val="none" w:sz="0" w:space="0" w:color="auto"/>
      </w:divBdr>
    </w:div>
    <w:div w:id="701134726">
      <w:bodyDiv w:val="1"/>
      <w:marLeft w:val="0"/>
      <w:marRight w:val="0"/>
      <w:marTop w:val="0"/>
      <w:marBottom w:val="0"/>
      <w:divBdr>
        <w:top w:val="none" w:sz="0" w:space="0" w:color="auto"/>
        <w:left w:val="none" w:sz="0" w:space="0" w:color="auto"/>
        <w:bottom w:val="none" w:sz="0" w:space="0" w:color="auto"/>
        <w:right w:val="none" w:sz="0" w:space="0" w:color="auto"/>
      </w:divBdr>
    </w:div>
    <w:div w:id="704135426">
      <w:bodyDiv w:val="1"/>
      <w:marLeft w:val="0"/>
      <w:marRight w:val="0"/>
      <w:marTop w:val="0"/>
      <w:marBottom w:val="0"/>
      <w:divBdr>
        <w:top w:val="none" w:sz="0" w:space="0" w:color="auto"/>
        <w:left w:val="none" w:sz="0" w:space="0" w:color="auto"/>
        <w:bottom w:val="none" w:sz="0" w:space="0" w:color="auto"/>
        <w:right w:val="none" w:sz="0" w:space="0" w:color="auto"/>
      </w:divBdr>
    </w:div>
    <w:div w:id="704595626">
      <w:bodyDiv w:val="1"/>
      <w:marLeft w:val="0"/>
      <w:marRight w:val="0"/>
      <w:marTop w:val="0"/>
      <w:marBottom w:val="0"/>
      <w:divBdr>
        <w:top w:val="none" w:sz="0" w:space="0" w:color="auto"/>
        <w:left w:val="none" w:sz="0" w:space="0" w:color="auto"/>
        <w:bottom w:val="none" w:sz="0" w:space="0" w:color="auto"/>
        <w:right w:val="none" w:sz="0" w:space="0" w:color="auto"/>
      </w:divBdr>
    </w:div>
    <w:div w:id="704795692">
      <w:bodyDiv w:val="1"/>
      <w:marLeft w:val="0"/>
      <w:marRight w:val="0"/>
      <w:marTop w:val="0"/>
      <w:marBottom w:val="0"/>
      <w:divBdr>
        <w:top w:val="none" w:sz="0" w:space="0" w:color="auto"/>
        <w:left w:val="none" w:sz="0" w:space="0" w:color="auto"/>
        <w:bottom w:val="none" w:sz="0" w:space="0" w:color="auto"/>
        <w:right w:val="none" w:sz="0" w:space="0" w:color="auto"/>
      </w:divBdr>
    </w:div>
    <w:div w:id="705833750">
      <w:bodyDiv w:val="1"/>
      <w:marLeft w:val="0"/>
      <w:marRight w:val="0"/>
      <w:marTop w:val="0"/>
      <w:marBottom w:val="0"/>
      <w:divBdr>
        <w:top w:val="none" w:sz="0" w:space="0" w:color="auto"/>
        <w:left w:val="none" w:sz="0" w:space="0" w:color="auto"/>
        <w:bottom w:val="none" w:sz="0" w:space="0" w:color="auto"/>
        <w:right w:val="none" w:sz="0" w:space="0" w:color="auto"/>
      </w:divBdr>
    </w:div>
    <w:div w:id="706174309">
      <w:bodyDiv w:val="1"/>
      <w:marLeft w:val="0"/>
      <w:marRight w:val="0"/>
      <w:marTop w:val="0"/>
      <w:marBottom w:val="0"/>
      <w:divBdr>
        <w:top w:val="none" w:sz="0" w:space="0" w:color="auto"/>
        <w:left w:val="none" w:sz="0" w:space="0" w:color="auto"/>
        <w:bottom w:val="none" w:sz="0" w:space="0" w:color="auto"/>
        <w:right w:val="none" w:sz="0" w:space="0" w:color="auto"/>
      </w:divBdr>
    </w:div>
    <w:div w:id="708068096">
      <w:bodyDiv w:val="1"/>
      <w:marLeft w:val="0"/>
      <w:marRight w:val="0"/>
      <w:marTop w:val="0"/>
      <w:marBottom w:val="0"/>
      <w:divBdr>
        <w:top w:val="none" w:sz="0" w:space="0" w:color="auto"/>
        <w:left w:val="none" w:sz="0" w:space="0" w:color="auto"/>
        <w:bottom w:val="none" w:sz="0" w:space="0" w:color="auto"/>
        <w:right w:val="none" w:sz="0" w:space="0" w:color="auto"/>
      </w:divBdr>
    </w:div>
    <w:div w:id="708530283">
      <w:bodyDiv w:val="1"/>
      <w:marLeft w:val="0"/>
      <w:marRight w:val="0"/>
      <w:marTop w:val="0"/>
      <w:marBottom w:val="0"/>
      <w:divBdr>
        <w:top w:val="none" w:sz="0" w:space="0" w:color="auto"/>
        <w:left w:val="none" w:sz="0" w:space="0" w:color="auto"/>
        <w:bottom w:val="none" w:sz="0" w:space="0" w:color="auto"/>
        <w:right w:val="none" w:sz="0" w:space="0" w:color="auto"/>
      </w:divBdr>
    </w:div>
    <w:div w:id="710498006">
      <w:bodyDiv w:val="1"/>
      <w:marLeft w:val="0"/>
      <w:marRight w:val="0"/>
      <w:marTop w:val="0"/>
      <w:marBottom w:val="0"/>
      <w:divBdr>
        <w:top w:val="none" w:sz="0" w:space="0" w:color="auto"/>
        <w:left w:val="none" w:sz="0" w:space="0" w:color="auto"/>
        <w:bottom w:val="none" w:sz="0" w:space="0" w:color="auto"/>
        <w:right w:val="none" w:sz="0" w:space="0" w:color="auto"/>
      </w:divBdr>
    </w:div>
    <w:div w:id="710694835">
      <w:bodyDiv w:val="1"/>
      <w:marLeft w:val="0"/>
      <w:marRight w:val="0"/>
      <w:marTop w:val="0"/>
      <w:marBottom w:val="0"/>
      <w:divBdr>
        <w:top w:val="none" w:sz="0" w:space="0" w:color="auto"/>
        <w:left w:val="none" w:sz="0" w:space="0" w:color="auto"/>
        <w:bottom w:val="none" w:sz="0" w:space="0" w:color="auto"/>
        <w:right w:val="none" w:sz="0" w:space="0" w:color="auto"/>
      </w:divBdr>
    </w:div>
    <w:div w:id="712579107">
      <w:bodyDiv w:val="1"/>
      <w:marLeft w:val="0"/>
      <w:marRight w:val="0"/>
      <w:marTop w:val="0"/>
      <w:marBottom w:val="0"/>
      <w:divBdr>
        <w:top w:val="none" w:sz="0" w:space="0" w:color="auto"/>
        <w:left w:val="none" w:sz="0" w:space="0" w:color="auto"/>
        <w:bottom w:val="none" w:sz="0" w:space="0" w:color="auto"/>
        <w:right w:val="none" w:sz="0" w:space="0" w:color="auto"/>
      </w:divBdr>
    </w:div>
    <w:div w:id="713653387">
      <w:bodyDiv w:val="1"/>
      <w:marLeft w:val="0"/>
      <w:marRight w:val="0"/>
      <w:marTop w:val="0"/>
      <w:marBottom w:val="0"/>
      <w:divBdr>
        <w:top w:val="none" w:sz="0" w:space="0" w:color="auto"/>
        <w:left w:val="none" w:sz="0" w:space="0" w:color="auto"/>
        <w:bottom w:val="none" w:sz="0" w:space="0" w:color="auto"/>
        <w:right w:val="none" w:sz="0" w:space="0" w:color="auto"/>
      </w:divBdr>
    </w:div>
    <w:div w:id="714239876">
      <w:bodyDiv w:val="1"/>
      <w:marLeft w:val="0"/>
      <w:marRight w:val="0"/>
      <w:marTop w:val="0"/>
      <w:marBottom w:val="0"/>
      <w:divBdr>
        <w:top w:val="none" w:sz="0" w:space="0" w:color="auto"/>
        <w:left w:val="none" w:sz="0" w:space="0" w:color="auto"/>
        <w:bottom w:val="none" w:sz="0" w:space="0" w:color="auto"/>
        <w:right w:val="none" w:sz="0" w:space="0" w:color="auto"/>
      </w:divBdr>
    </w:div>
    <w:div w:id="714544162">
      <w:bodyDiv w:val="1"/>
      <w:marLeft w:val="0"/>
      <w:marRight w:val="0"/>
      <w:marTop w:val="0"/>
      <w:marBottom w:val="0"/>
      <w:divBdr>
        <w:top w:val="none" w:sz="0" w:space="0" w:color="auto"/>
        <w:left w:val="none" w:sz="0" w:space="0" w:color="auto"/>
        <w:bottom w:val="none" w:sz="0" w:space="0" w:color="auto"/>
        <w:right w:val="none" w:sz="0" w:space="0" w:color="auto"/>
      </w:divBdr>
    </w:div>
    <w:div w:id="716589020">
      <w:bodyDiv w:val="1"/>
      <w:marLeft w:val="0"/>
      <w:marRight w:val="0"/>
      <w:marTop w:val="0"/>
      <w:marBottom w:val="0"/>
      <w:divBdr>
        <w:top w:val="none" w:sz="0" w:space="0" w:color="auto"/>
        <w:left w:val="none" w:sz="0" w:space="0" w:color="auto"/>
        <w:bottom w:val="none" w:sz="0" w:space="0" w:color="auto"/>
        <w:right w:val="none" w:sz="0" w:space="0" w:color="auto"/>
      </w:divBdr>
    </w:div>
    <w:div w:id="717123931">
      <w:bodyDiv w:val="1"/>
      <w:marLeft w:val="0"/>
      <w:marRight w:val="0"/>
      <w:marTop w:val="0"/>
      <w:marBottom w:val="0"/>
      <w:divBdr>
        <w:top w:val="none" w:sz="0" w:space="0" w:color="auto"/>
        <w:left w:val="none" w:sz="0" w:space="0" w:color="auto"/>
        <w:bottom w:val="none" w:sz="0" w:space="0" w:color="auto"/>
        <w:right w:val="none" w:sz="0" w:space="0" w:color="auto"/>
      </w:divBdr>
    </w:div>
    <w:div w:id="717434497">
      <w:bodyDiv w:val="1"/>
      <w:marLeft w:val="0"/>
      <w:marRight w:val="0"/>
      <w:marTop w:val="0"/>
      <w:marBottom w:val="0"/>
      <w:divBdr>
        <w:top w:val="none" w:sz="0" w:space="0" w:color="auto"/>
        <w:left w:val="none" w:sz="0" w:space="0" w:color="auto"/>
        <w:bottom w:val="none" w:sz="0" w:space="0" w:color="auto"/>
        <w:right w:val="none" w:sz="0" w:space="0" w:color="auto"/>
      </w:divBdr>
    </w:div>
    <w:div w:id="719862778">
      <w:bodyDiv w:val="1"/>
      <w:marLeft w:val="0"/>
      <w:marRight w:val="0"/>
      <w:marTop w:val="0"/>
      <w:marBottom w:val="0"/>
      <w:divBdr>
        <w:top w:val="none" w:sz="0" w:space="0" w:color="auto"/>
        <w:left w:val="none" w:sz="0" w:space="0" w:color="auto"/>
        <w:bottom w:val="none" w:sz="0" w:space="0" w:color="auto"/>
        <w:right w:val="none" w:sz="0" w:space="0" w:color="auto"/>
      </w:divBdr>
    </w:div>
    <w:div w:id="721636939">
      <w:bodyDiv w:val="1"/>
      <w:marLeft w:val="0"/>
      <w:marRight w:val="0"/>
      <w:marTop w:val="0"/>
      <w:marBottom w:val="0"/>
      <w:divBdr>
        <w:top w:val="none" w:sz="0" w:space="0" w:color="auto"/>
        <w:left w:val="none" w:sz="0" w:space="0" w:color="auto"/>
        <w:bottom w:val="none" w:sz="0" w:space="0" w:color="auto"/>
        <w:right w:val="none" w:sz="0" w:space="0" w:color="auto"/>
      </w:divBdr>
    </w:div>
    <w:div w:id="722141634">
      <w:bodyDiv w:val="1"/>
      <w:marLeft w:val="0"/>
      <w:marRight w:val="0"/>
      <w:marTop w:val="0"/>
      <w:marBottom w:val="0"/>
      <w:divBdr>
        <w:top w:val="none" w:sz="0" w:space="0" w:color="auto"/>
        <w:left w:val="none" w:sz="0" w:space="0" w:color="auto"/>
        <w:bottom w:val="none" w:sz="0" w:space="0" w:color="auto"/>
        <w:right w:val="none" w:sz="0" w:space="0" w:color="auto"/>
      </w:divBdr>
    </w:div>
    <w:div w:id="725375742">
      <w:bodyDiv w:val="1"/>
      <w:marLeft w:val="0"/>
      <w:marRight w:val="0"/>
      <w:marTop w:val="0"/>
      <w:marBottom w:val="0"/>
      <w:divBdr>
        <w:top w:val="none" w:sz="0" w:space="0" w:color="auto"/>
        <w:left w:val="none" w:sz="0" w:space="0" w:color="auto"/>
        <w:bottom w:val="none" w:sz="0" w:space="0" w:color="auto"/>
        <w:right w:val="none" w:sz="0" w:space="0" w:color="auto"/>
      </w:divBdr>
    </w:div>
    <w:div w:id="726419607">
      <w:bodyDiv w:val="1"/>
      <w:marLeft w:val="0"/>
      <w:marRight w:val="0"/>
      <w:marTop w:val="0"/>
      <w:marBottom w:val="0"/>
      <w:divBdr>
        <w:top w:val="none" w:sz="0" w:space="0" w:color="auto"/>
        <w:left w:val="none" w:sz="0" w:space="0" w:color="auto"/>
        <w:bottom w:val="none" w:sz="0" w:space="0" w:color="auto"/>
        <w:right w:val="none" w:sz="0" w:space="0" w:color="auto"/>
      </w:divBdr>
    </w:div>
    <w:div w:id="727462224">
      <w:bodyDiv w:val="1"/>
      <w:marLeft w:val="0"/>
      <w:marRight w:val="0"/>
      <w:marTop w:val="0"/>
      <w:marBottom w:val="0"/>
      <w:divBdr>
        <w:top w:val="none" w:sz="0" w:space="0" w:color="auto"/>
        <w:left w:val="none" w:sz="0" w:space="0" w:color="auto"/>
        <w:bottom w:val="none" w:sz="0" w:space="0" w:color="auto"/>
        <w:right w:val="none" w:sz="0" w:space="0" w:color="auto"/>
      </w:divBdr>
    </w:div>
    <w:div w:id="727724868">
      <w:bodyDiv w:val="1"/>
      <w:marLeft w:val="0"/>
      <w:marRight w:val="0"/>
      <w:marTop w:val="0"/>
      <w:marBottom w:val="0"/>
      <w:divBdr>
        <w:top w:val="none" w:sz="0" w:space="0" w:color="auto"/>
        <w:left w:val="none" w:sz="0" w:space="0" w:color="auto"/>
        <w:bottom w:val="none" w:sz="0" w:space="0" w:color="auto"/>
        <w:right w:val="none" w:sz="0" w:space="0" w:color="auto"/>
      </w:divBdr>
    </w:div>
    <w:div w:id="729577942">
      <w:bodyDiv w:val="1"/>
      <w:marLeft w:val="0"/>
      <w:marRight w:val="0"/>
      <w:marTop w:val="0"/>
      <w:marBottom w:val="0"/>
      <w:divBdr>
        <w:top w:val="none" w:sz="0" w:space="0" w:color="auto"/>
        <w:left w:val="none" w:sz="0" w:space="0" w:color="auto"/>
        <w:bottom w:val="none" w:sz="0" w:space="0" w:color="auto"/>
        <w:right w:val="none" w:sz="0" w:space="0" w:color="auto"/>
      </w:divBdr>
    </w:div>
    <w:div w:id="733702905">
      <w:bodyDiv w:val="1"/>
      <w:marLeft w:val="0"/>
      <w:marRight w:val="0"/>
      <w:marTop w:val="0"/>
      <w:marBottom w:val="0"/>
      <w:divBdr>
        <w:top w:val="none" w:sz="0" w:space="0" w:color="auto"/>
        <w:left w:val="none" w:sz="0" w:space="0" w:color="auto"/>
        <w:bottom w:val="none" w:sz="0" w:space="0" w:color="auto"/>
        <w:right w:val="none" w:sz="0" w:space="0" w:color="auto"/>
      </w:divBdr>
    </w:div>
    <w:div w:id="735976048">
      <w:bodyDiv w:val="1"/>
      <w:marLeft w:val="0"/>
      <w:marRight w:val="0"/>
      <w:marTop w:val="0"/>
      <w:marBottom w:val="0"/>
      <w:divBdr>
        <w:top w:val="none" w:sz="0" w:space="0" w:color="auto"/>
        <w:left w:val="none" w:sz="0" w:space="0" w:color="auto"/>
        <w:bottom w:val="none" w:sz="0" w:space="0" w:color="auto"/>
        <w:right w:val="none" w:sz="0" w:space="0" w:color="auto"/>
      </w:divBdr>
    </w:div>
    <w:div w:id="738984578">
      <w:bodyDiv w:val="1"/>
      <w:marLeft w:val="0"/>
      <w:marRight w:val="0"/>
      <w:marTop w:val="0"/>
      <w:marBottom w:val="0"/>
      <w:divBdr>
        <w:top w:val="none" w:sz="0" w:space="0" w:color="auto"/>
        <w:left w:val="none" w:sz="0" w:space="0" w:color="auto"/>
        <w:bottom w:val="none" w:sz="0" w:space="0" w:color="auto"/>
        <w:right w:val="none" w:sz="0" w:space="0" w:color="auto"/>
      </w:divBdr>
    </w:div>
    <w:div w:id="741947629">
      <w:bodyDiv w:val="1"/>
      <w:marLeft w:val="0"/>
      <w:marRight w:val="0"/>
      <w:marTop w:val="0"/>
      <w:marBottom w:val="0"/>
      <w:divBdr>
        <w:top w:val="none" w:sz="0" w:space="0" w:color="auto"/>
        <w:left w:val="none" w:sz="0" w:space="0" w:color="auto"/>
        <w:bottom w:val="none" w:sz="0" w:space="0" w:color="auto"/>
        <w:right w:val="none" w:sz="0" w:space="0" w:color="auto"/>
      </w:divBdr>
    </w:div>
    <w:div w:id="745998923">
      <w:bodyDiv w:val="1"/>
      <w:marLeft w:val="0"/>
      <w:marRight w:val="0"/>
      <w:marTop w:val="0"/>
      <w:marBottom w:val="0"/>
      <w:divBdr>
        <w:top w:val="none" w:sz="0" w:space="0" w:color="auto"/>
        <w:left w:val="none" w:sz="0" w:space="0" w:color="auto"/>
        <w:bottom w:val="none" w:sz="0" w:space="0" w:color="auto"/>
        <w:right w:val="none" w:sz="0" w:space="0" w:color="auto"/>
      </w:divBdr>
    </w:div>
    <w:div w:id="746343764">
      <w:bodyDiv w:val="1"/>
      <w:marLeft w:val="0"/>
      <w:marRight w:val="0"/>
      <w:marTop w:val="0"/>
      <w:marBottom w:val="0"/>
      <w:divBdr>
        <w:top w:val="none" w:sz="0" w:space="0" w:color="auto"/>
        <w:left w:val="none" w:sz="0" w:space="0" w:color="auto"/>
        <w:bottom w:val="none" w:sz="0" w:space="0" w:color="auto"/>
        <w:right w:val="none" w:sz="0" w:space="0" w:color="auto"/>
      </w:divBdr>
    </w:div>
    <w:div w:id="746457019">
      <w:bodyDiv w:val="1"/>
      <w:marLeft w:val="0"/>
      <w:marRight w:val="0"/>
      <w:marTop w:val="0"/>
      <w:marBottom w:val="0"/>
      <w:divBdr>
        <w:top w:val="none" w:sz="0" w:space="0" w:color="auto"/>
        <w:left w:val="none" w:sz="0" w:space="0" w:color="auto"/>
        <w:bottom w:val="none" w:sz="0" w:space="0" w:color="auto"/>
        <w:right w:val="none" w:sz="0" w:space="0" w:color="auto"/>
      </w:divBdr>
    </w:div>
    <w:div w:id="748890217">
      <w:bodyDiv w:val="1"/>
      <w:marLeft w:val="0"/>
      <w:marRight w:val="0"/>
      <w:marTop w:val="0"/>
      <w:marBottom w:val="0"/>
      <w:divBdr>
        <w:top w:val="none" w:sz="0" w:space="0" w:color="auto"/>
        <w:left w:val="none" w:sz="0" w:space="0" w:color="auto"/>
        <w:bottom w:val="none" w:sz="0" w:space="0" w:color="auto"/>
        <w:right w:val="none" w:sz="0" w:space="0" w:color="auto"/>
      </w:divBdr>
    </w:div>
    <w:div w:id="750616308">
      <w:bodyDiv w:val="1"/>
      <w:marLeft w:val="0"/>
      <w:marRight w:val="0"/>
      <w:marTop w:val="0"/>
      <w:marBottom w:val="0"/>
      <w:divBdr>
        <w:top w:val="none" w:sz="0" w:space="0" w:color="auto"/>
        <w:left w:val="none" w:sz="0" w:space="0" w:color="auto"/>
        <w:bottom w:val="none" w:sz="0" w:space="0" w:color="auto"/>
        <w:right w:val="none" w:sz="0" w:space="0" w:color="auto"/>
      </w:divBdr>
    </w:div>
    <w:div w:id="750783833">
      <w:bodyDiv w:val="1"/>
      <w:marLeft w:val="0"/>
      <w:marRight w:val="0"/>
      <w:marTop w:val="0"/>
      <w:marBottom w:val="0"/>
      <w:divBdr>
        <w:top w:val="none" w:sz="0" w:space="0" w:color="auto"/>
        <w:left w:val="none" w:sz="0" w:space="0" w:color="auto"/>
        <w:bottom w:val="none" w:sz="0" w:space="0" w:color="auto"/>
        <w:right w:val="none" w:sz="0" w:space="0" w:color="auto"/>
      </w:divBdr>
    </w:div>
    <w:div w:id="751858954">
      <w:bodyDiv w:val="1"/>
      <w:marLeft w:val="0"/>
      <w:marRight w:val="0"/>
      <w:marTop w:val="0"/>
      <w:marBottom w:val="0"/>
      <w:divBdr>
        <w:top w:val="none" w:sz="0" w:space="0" w:color="auto"/>
        <w:left w:val="none" w:sz="0" w:space="0" w:color="auto"/>
        <w:bottom w:val="none" w:sz="0" w:space="0" w:color="auto"/>
        <w:right w:val="none" w:sz="0" w:space="0" w:color="auto"/>
      </w:divBdr>
    </w:div>
    <w:div w:id="753208697">
      <w:bodyDiv w:val="1"/>
      <w:marLeft w:val="0"/>
      <w:marRight w:val="0"/>
      <w:marTop w:val="0"/>
      <w:marBottom w:val="0"/>
      <w:divBdr>
        <w:top w:val="none" w:sz="0" w:space="0" w:color="auto"/>
        <w:left w:val="none" w:sz="0" w:space="0" w:color="auto"/>
        <w:bottom w:val="none" w:sz="0" w:space="0" w:color="auto"/>
        <w:right w:val="none" w:sz="0" w:space="0" w:color="auto"/>
      </w:divBdr>
    </w:div>
    <w:div w:id="753623358">
      <w:bodyDiv w:val="1"/>
      <w:marLeft w:val="0"/>
      <w:marRight w:val="0"/>
      <w:marTop w:val="0"/>
      <w:marBottom w:val="0"/>
      <w:divBdr>
        <w:top w:val="none" w:sz="0" w:space="0" w:color="auto"/>
        <w:left w:val="none" w:sz="0" w:space="0" w:color="auto"/>
        <w:bottom w:val="none" w:sz="0" w:space="0" w:color="auto"/>
        <w:right w:val="none" w:sz="0" w:space="0" w:color="auto"/>
      </w:divBdr>
    </w:div>
    <w:div w:id="754791225">
      <w:bodyDiv w:val="1"/>
      <w:marLeft w:val="0"/>
      <w:marRight w:val="0"/>
      <w:marTop w:val="0"/>
      <w:marBottom w:val="0"/>
      <w:divBdr>
        <w:top w:val="none" w:sz="0" w:space="0" w:color="auto"/>
        <w:left w:val="none" w:sz="0" w:space="0" w:color="auto"/>
        <w:bottom w:val="none" w:sz="0" w:space="0" w:color="auto"/>
        <w:right w:val="none" w:sz="0" w:space="0" w:color="auto"/>
      </w:divBdr>
    </w:div>
    <w:div w:id="754980808">
      <w:bodyDiv w:val="1"/>
      <w:marLeft w:val="0"/>
      <w:marRight w:val="0"/>
      <w:marTop w:val="0"/>
      <w:marBottom w:val="0"/>
      <w:divBdr>
        <w:top w:val="none" w:sz="0" w:space="0" w:color="auto"/>
        <w:left w:val="none" w:sz="0" w:space="0" w:color="auto"/>
        <w:bottom w:val="none" w:sz="0" w:space="0" w:color="auto"/>
        <w:right w:val="none" w:sz="0" w:space="0" w:color="auto"/>
      </w:divBdr>
    </w:div>
    <w:div w:id="755512640">
      <w:bodyDiv w:val="1"/>
      <w:marLeft w:val="0"/>
      <w:marRight w:val="0"/>
      <w:marTop w:val="0"/>
      <w:marBottom w:val="0"/>
      <w:divBdr>
        <w:top w:val="none" w:sz="0" w:space="0" w:color="auto"/>
        <w:left w:val="none" w:sz="0" w:space="0" w:color="auto"/>
        <w:bottom w:val="none" w:sz="0" w:space="0" w:color="auto"/>
        <w:right w:val="none" w:sz="0" w:space="0" w:color="auto"/>
      </w:divBdr>
    </w:div>
    <w:div w:id="757411966">
      <w:bodyDiv w:val="1"/>
      <w:marLeft w:val="0"/>
      <w:marRight w:val="0"/>
      <w:marTop w:val="0"/>
      <w:marBottom w:val="0"/>
      <w:divBdr>
        <w:top w:val="none" w:sz="0" w:space="0" w:color="auto"/>
        <w:left w:val="none" w:sz="0" w:space="0" w:color="auto"/>
        <w:bottom w:val="none" w:sz="0" w:space="0" w:color="auto"/>
        <w:right w:val="none" w:sz="0" w:space="0" w:color="auto"/>
      </w:divBdr>
    </w:div>
    <w:div w:id="757824525">
      <w:bodyDiv w:val="1"/>
      <w:marLeft w:val="0"/>
      <w:marRight w:val="0"/>
      <w:marTop w:val="0"/>
      <w:marBottom w:val="0"/>
      <w:divBdr>
        <w:top w:val="none" w:sz="0" w:space="0" w:color="auto"/>
        <w:left w:val="none" w:sz="0" w:space="0" w:color="auto"/>
        <w:bottom w:val="none" w:sz="0" w:space="0" w:color="auto"/>
        <w:right w:val="none" w:sz="0" w:space="0" w:color="auto"/>
      </w:divBdr>
    </w:div>
    <w:div w:id="758477682">
      <w:bodyDiv w:val="1"/>
      <w:marLeft w:val="0"/>
      <w:marRight w:val="0"/>
      <w:marTop w:val="0"/>
      <w:marBottom w:val="0"/>
      <w:divBdr>
        <w:top w:val="none" w:sz="0" w:space="0" w:color="auto"/>
        <w:left w:val="none" w:sz="0" w:space="0" w:color="auto"/>
        <w:bottom w:val="none" w:sz="0" w:space="0" w:color="auto"/>
        <w:right w:val="none" w:sz="0" w:space="0" w:color="auto"/>
      </w:divBdr>
    </w:div>
    <w:div w:id="759179012">
      <w:bodyDiv w:val="1"/>
      <w:marLeft w:val="0"/>
      <w:marRight w:val="0"/>
      <w:marTop w:val="0"/>
      <w:marBottom w:val="0"/>
      <w:divBdr>
        <w:top w:val="none" w:sz="0" w:space="0" w:color="auto"/>
        <w:left w:val="none" w:sz="0" w:space="0" w:color="auto"/>
        <w:bottom w:val="none" w:sz="0" w:space="0" w:color="auto"/>
        <w:right w:val="none" w:sz="0" w:space="0" w:color="auto"/>
      </w:divBdr>
    </w:div>
    <w:div w:id="761491222">
      <w:bodyDiv w:val="1"/>
      <w:marLeft w:val="0"/>
      <w:marRight w:val="0"/>
      <w:marTop w:val="0"/>
      <w:marBottom w:val="0"/>
      <w:divBdr>
        <w:top w:val="none" w:sz="0" w:space="0" w:color="auto"/>
        <w:left w:val="none" w:sz="0" w:space="0" w:color="auto"/>
        <w:bottom w:val="none" w:sz="0" w:space="0" w:color="auto"/>
        <w:right w:val="none" w:sz="0" w:space="0" w:color="auto"/>
      </w:divBdr>
    </w:div>
    <w:div w:id="762148314">
      <w:bodyDiv w:val="1"/>
      <w:marLeft w:val="0"/>
      <w:marRight w:val="0"/>
      <w:marTop w:val="0"/>
      <w:marBottom w:val="0"/>
      <w:divBdr>
        <w:top w:val="none" w:sz="0" w:space="0" w:color="auto"/>
        <w:left w:val="none" w:sz="0" w:space="0" w:color="auto"/>
        <w:bottom w:val="none" w:sz="0" w:space="0" w:color="auto"/>
        <w:right w:val="none" w:sz="0" w:space="0" w:color="auto"/>
      </w:divBdr>
    </w:div>
    <w:div w:id="763116139">
      <w:bodyDiv w:val="1"/>
      <w:marLeft w:val="0"/>
      <w:marRight w:val="0"/>
      <w:marTop w:val="0"/>
      <w:marBottom w:val="0"/>
      <w:divBdr>
        <w:top w:val="none" w:sz="0" w:space="0" w:color="auto"/>
        <w:left w:val="none" w:sz="0" w:space="0" w:color="auto"/>
        <w:bottom w:val="none" w:sz="0" w:space="0" w:color="auto"/>
        <w:right w:val="none" w:sz="0" w:space="0" w:color="auto"/>
      </w:divBdr>
    </w:div>
    <w:div w:id="763498905">
      <w:bodyDiv w:val="1"/>
      <w:marLeft w:val="0"/>
      <w:marRight w:val="0"/>
      <w:marTop w:val="0"/>
      <w:marBottom w:val="0"/>
      <w:divBdr>
        <w:top w:val="none" w:sz="0" w:space="0" w:color="auto"/>
        <w:left w:val="none" w:sz="0" w:space="0" w:color="auto"/>
        <w:bottom w:val="none" w:sz="0" w:space="0" w:color="auto"/>
        <w:right w:val="none" w:sz="0" w:space="0" w:color="auto"/>
      </w:divBdr>
    </w:div>
    <w:div w:id="763575700">
      <w:bodyDiv w:val="1"/>
      <w:marLeft w:val="0"/>
      <w:marRight w:val="0"/>
      <w:marTop w:val="0"/>
      <w:marBottom w:val="0"/>
      <w:divBdr>
        <w:top w:val="none" w:sz="0" w:space="0" w:color="auto"/>
        <w:left w:val="none" w:sz="0" w:space="0" w:color="auto"/>
        <w:bottom w:val="none" w:sz="0" w:space="0" w:color="auto"/>
        <w:right w:val="none" w:sz="0" w:space="0" w:color="auto"/>
      </w:divBdr>
    </w:div>
    <w:div w:id="763651438">
      <w:bodyDiv w:val="1"/>
      <w:marLeft w:val="0"/>
      <w:marRight w:val="0"/>
      <w:marTop w:val="0"/>
      <w:marBottom w:val="0"/>
      <w:divBdr>
        <w:top w:val="none" w:sz="0" w:space="0" w:color="auto"/>
        <w:left w:val="none" w:sz="0" w:space="0" w:color="auto"/>
        <w:bottom w:val="none" w:sz="0" w:space="0" w:color="auto"/>
        <w:right w:val="none" w:sz="0" w:space="0" w:color="auto"/>
      </w:divBdr>
    </w:div>
    <w:div w:id="767434838">
      <w:bodyDiv w:val="1"/>
      <w:marLeft w:val="0"/>
      <w:marRight w:val="0"/>
      <w:marTop w:val="0"/>
      <w:marBottom w:val="0"/>
      <w:divBdr>
        <w:top w:val="none" w:sz="0" w:space="0" w:color="auto"/>
        <w:left w:val="none" w:sz="0" w:space="0" w:color="auto"/>
        <w:bottom w:val="none" w:sz="0" w:space="0" w:color="auto"/>
        <w:right w:val="none" w:sz="0" w:space="0" w:color="auto"/>
      </w:divBdr>
    </w:div>
    <w:div w:id="768357117">
      <w:bodyDiv w:val="1"/>
      <w:marLeft w:val="0"/>
      <w:marRight w:val="0"/>
      <w:marTop w:val="0"/>
      <w:marBottom w:val="0"/>
      <w:divBdr>
        <w:top w:val="none" w:sz="0" w:space="0" w:color="auto"/>
        <w:left w:val="none" w:sz="0" w:space="0" w:color="auto"/>
        <w:bottom w:val="none" w:sz="0" w:space="0" w:color="auto"/>
        <w:right w:val="none" w:sz="0" w:space="0" w:color="auto"/>
      </w:divBdr>
    </w:div>
    <w:div w:id="768504453">
      <w:bodyDiv w:val="1"/>
      <w:marLeft w:val="0"/>
      <w:marRight w:val="0"/>
      <w:marTop w:val="0"/>
      <w:marBottom w:val="0"/>
      <w:divBdr>
        <w:top w:val="none" w:sz="0" w:space="0" w:color="auto"/>
        <w:left w:val="none" w:sz="0" w:space="0" w:color="auto"/>
        <w:bottom w:val="none" w:sz="0" w:space="0" w:color="auto"/>
        <w:right w:val="none" w:sz="0" w:space="0" w:color="auto"/>
      </w:divBdr>
    </w:div>
    <w:div w:id="769619722">
      <w:bodyDiv w:val="1"/>
      <w:marLeft w:val="0"/>
      <w:marRight w:val="0"/>
      <w:marTop w:val="0"/>
      <w:marBottom w:val="0"/>
      <w:divBdr>
        <w:top w:val="none" w:sz="0" w:space="0" w:color="auto"/>
        <w:left w:val="none" w:sz="0" w:space="0" w:color="auto"/>
        <w:bottom w:val="none" w:sz="0" w:space="0" w:color="auto"/>
        <w:right w:val="none" w:sz="0" w:space="0" w:color="auto"/>
      </w:divBdr>
    </w:div>
    <w:div w:id="770780941">
      <w:bodyDiv w:val="1"/>
      <w:marLeft w:val="0"/>
      <w:marRight w:val="0"/>
      <w:marTop w:val="0"/>
      <w:marBottom w:val="0"/>
      <w:divBdr>
        <w:top w:val="none" w:sz="0" w:space="0" w:color="auto"/>
        <w:left w:val="none" w:sz="0" w:space="0" w:color="auto"/>
        <w:bottom w:val="none" w:sz="0" w:space="0" w:color="auto"/>
        <w:right w:val="none" w:sz="0" w:space="0" w:color="auto"/>
      </w:divBdr>
    </w:div>
    <w:div w:id="770977796">
      <w:bodyDiv w:val="1"/>
      <w:marLeft w:val="0"/>
      <w:marRight w:val="0"/>
      <w:marTop w:val="0"/>
      <w:marBottom w:val="0"/>
      <w:divBdr>
        <w:top w:val="none" w:sz="0" w:space="0" w:color="auto"/>
        <w:left w:val="none" w:sz="0" w:space="0" w:color="auto"/>
        <w:bottom w:val="none" w:sz="0" w:space="0" w:color="auto"/>
        <w:right w:val="none" w:sz="0" w:space="0" w:color="auto"/>
      </w:divBdr>
    </w:div>
    <w:div w:id="774861158">
      <w:bodyDiv w:val="1"/>
      <w:marLeft w:val="0"/>
      <w:marRight w:val="0"/>
      <w:marTop w:val="0"/>
      <w:marBottom w:val="0"/>
      <w:divBdr>
        <w:top w:val="none" w:sz="0" w:space="0" w:color="auto"/>
        <w:left w:val="none" w:sz="0" w:space="0" w:color="auto"/>
        <w:bottom w:val="none" w:sz="0" w:space="0" w:color="auto"/>
        <w:right w:val="none" w:sz="0" w:space="0" w:color="auto"/>
      </w:divBdr>
    </w:div>
    <w:div w:id="777874813">
      <w:bodyDiv w:val="1"/>
      <w:marLeft w:val="0"/>
      <w:marRight w:val="0"/>
      <w:marTop w:val="0"/>
      <w:marBottom w:val="0"/>
      <w:divBdr>
        <w:top w:val="none" w:sz="0" w:space="0" w:color="auto"/>
        <w:left w:val="none" w:sz="0" w:space="0" w:color="auto"/>
        <w:bottom w:val="none" w:sz="0" w:space="0" w:color="auto"/>
        <w:right w:val="none" w:sz="0" w:space="0" w:color="auto"/>
      </w:divBdr>
    </w:div>
    <w:div w:id="779450880">
      <w:bodyDiv w:val="1"/>
      <w:marLeft w:val="0"/>
      <w:marRight w:val="0"/>
      <w:marTop w:val="0"/>
      <w:marBottom w:val="0"/>
      <w:divBdr>
        <w:top w:val="none" w:sz="0" w:space="0" w:color="auto"/>
        <w:left w:val="none" w:sz="0" w:space="0" w:color="auto"/>
        <w:bottom w:val="none" w:sz="0" w:space="0" w:color="auto"/>
        <w:right w:val="none" w:sz="0" w:space="0" w:color="auto"/>
      </w:divBdr>
    </w:div>
    <w:div w:id="779758155">
      <w:bodyDiv w:val="1"/>
      <w:marLeft w:val="0"/>
      <w:marRight w:val="0"/>
      <w:marTop w:val="0"/>
      <w:marBottom w:val="0"/>
      <w:divBdr>
        <w:top w:val="none" w:sz="0" w:space="0" w:color="auto"/>
        <w:left w:val="none" w:sz="0" w:space="0" w:color="auto"/>
        <w:bottom w:val="none" w:sz="0" w:space="0" w:color="auto"/>
        <w:right w:val="none" w:sz="0" w:space="0" w:color="auto"/>
      </w:divBdr>
    </w:div>
    <w:div w:id="782186361">
      <w:bodyDiv w:val="1"/>
      <w:marLeft w:val="0"/>
      <w:marRight w:val="0"/>
      <w:marTop w:val="0"/>
      <w:marBottom w:val="0"/>
      <w:divBdr>
        <w:top w:val="none" w:sz="0" w:space="0" w:color="auto"/>
        <w:left w:val="none" w:sz="0" w:space="0" w:color="auto"/>
        <w:bottom w:val="none" w:sz="0" w:space="0" w:color="auto"/>
        <w:right w:val="none" w:sz="0" w:space="0" w:color="auto"/>
      </w:divBdr>
    </w:div>
    <w:div w:id="786046009">
      <w:bodyDiv w:val="1"/>
      <w:marLeft w:val="0"/>
      <w:marRight w:val="0"/>
      <w:marTop w:val="0"/>
      <w:marBottom w:val="0"/>
      <w:divBdr>
        <w:top w:val="none" w:sz="0" w:space="0" w:color="auto"/>
        <w:left w:val="none" w:sz="0" w:space="0" w:color="auto"/>
        <w:bottom w:val="none" w:sz="0" w:space="0" w:color="auto"/>
        <w:right w:val="none" w:sz="0" w:space="0" w:color="auto"/>
      </w:divBdr>
    </w:div>
    <w:div w:id="786631013">
      <w:bodyDiv w:val="1"/>
      <w:marLeft w:val="0"/>
      <w:marRight w:val="0"/>
      <w:marTop w:val="0"/>
      <w:marBottom w:val="0"/>
      <w:divBdr>
        <w:top w:val="none" w:sz="0" w:space="0" w:color="auto"/>
        <w:left w:val="none" w:sz="0" w:space="0" w:color="auto"/>
        <w:bottom w:val="none" w:sz="0" w:space="0" w:color="auto"/>
        <w:right w:val="none" w:sz="0" w:space="0" w:color="auto"/>
      </w:divBdr>
    </w:div>
    <w:div w:id="788083429">
      <w:bodyDiv w:val="1"/>
      <w:marLeft w:val="0"/>
      <w:marRight w:val="0"/>
      <w:marTop w:val="0"/>
      <w:marBottom w:val="0"/>
      <w:divBdr>
        <w:top w:val="none" w:sz="0" w:space="0" w:color="auto"/>
        <w:left w:val="none" w:sz="0" w:space="0" w:color="auto"/>
        <w:bottom w:val="none" w:sz="0" w:space="0" w:color="auto"/>
        <w:right w:val="none" w:sz="0" w:space="0" w:color="auto"/>
      </w:divBdr>
    </w:div>
    <w:div w:id="788936701">
      <w:bodyDiv w:val="1"/>
      <w:marLeft w:val="0"/>
      <w:marRight w:val="0"/>
      <w:marTop w:val="0"/>
      <w:marBottom w:val="0"/>
      <w:divBdr>
        <w:top w:val="none" w:sz="0" w:space="0" w:color="auto"/>
        <w:left w:val="none" w:sz="0" w:space="0" w:color="auto"/>
        <w:bottom w:val="none" w:sz="0" w:space="0" w:color="auto"/>
        <w:right w:val="none" w:sz="0" w:space="0" w:color="auto"/>
      </w:divBdr>
    </w:div>
    <w:div w:id="789125377">
      <w:bodyDiv w:val="1"/>
      <w:marLeft w:val="0"/>
      <w:marRight w:val="0"/>
      <w:marTop w:val="0"/>
      <w:marBottom w:val="0"/>
      <w:divBdr>
        <w:top w:val="none" w:sz="0" w:space="0" w:color="auto"/>
        <w:left w:val="none" w:sz="0" w:space="0" w:color="auto"/>
        <w:bottom w:val="none" w:sz="0" w:space="0" w:color="auto"/>
        <w:right w:val="none" w:sz="0" w:space="0" w:color="auto"/>
      </w:divBdr>
    </w:div>
    <w:div w:id="790248754">
      <w:bodyDiv w:val="1"/>
      <w:marLeft w:val="0"/>
      <w:marRight w:val="0"/>
      <w:marTop w:val="0"/>
      <w:marBottom w:val="0"/>
      <w:divBdr>
        <w:top w:val="none" w:sz="0" w:space="0" w:color="auto"/>
        <w:left w:val="none" w:sz="0" w:space="0" w:color="auto"/>
        <w:bottom w:val="none" w:sz="0" w:space="0" w:color="auto"/>
        <w:right w:val="none" w:sz="0" w:space="0" w:color="auto"/>
      </w:divBdr>
    </w:div>
    <w:div w:id="790514397">
      <w:bodyDiv w:val="1"/>
      <w:marLeft w:val="0"/>
      <w:marRight w:val="0"/>
      <w:marTop w:val="0"/>
      <w:marBottom w:val="0"/>
      <w:divBdr>
        <w:top w:val="none" w:sz="0" w:space="0" w:color="auto"/>
        <w:left w:val="none" w:sz="0" w:space="0" w:color="auto"/>
        <w:bottom w:val="none" w:sz="0" w:space="0" w:color="auto"/>
        <w:right w:val="none" w:sz="0" w:space="0" w:color="auto"/>
      </w:divBdr>
    </w:div>
    <w:div w:id="794366648">
      <w:bodyDiv w:val="1"/>
      <w:marLeft w:val="0"/>
      <w:marRight w:val="0"/>
      <w:marTop w:val="0"/>
      <w:marBottom w:val="0"/>
      <w:divBdr>
        <w:top w:val="none" w:sz="0" w:space="0" w:color="auto"/>
        <w:left w:val="none" w:sz="0" w:space="0" w:color="auto"/>
        <w:bottom w:val="none" w:sz="0" w:space="0" w:color="auto"/>
        <w:right w:val="none" w:sz="0" w:space="0" w:color="auto"/>
      </w:divBdr>
    </w:div>
    <w:div w:id="795679052">
      <w:bodyDiv w:val="1"/>
      <w:marLeft w:val="0"/>
      <w:marRight w:val="0"/>
      <w:marTop w:val="0"/>
      <w:marBottom w:val="0"/>
      <w:divBdr>
        <w:top w:val="none" w:sz="0" w:space="0" w:color="auto"/>
        <w:left w:val="none" w:sz="0" w:space="0" w:color="auto"/>
        <w:bottom w:val="none" w:sz="0" w:space="0" w:color="auto"/>
        <w:right w:val="none" w:sz="0" w:space="0" w:color="auto"/>
      </w:divBdr>
    </w:div>
    <w:div w:id="800803624">
      <w:bodyDiv w:val="1"/>
      <w:marLeft w:val="0"/>
      <w:marRight w:val="0"/>
      <w:marTop w:val="0"/>
      <w:marBottom w:val="0"/>
      <w:divBdr>
        <w:top w:val="none" w:sz="0" w:space="0" w:color="auto"/>
        <w:left w:val="none" w:sz="0" w:space="0" w:color="auto"/>
        <w:bottom w:val="none" w:sz="0" w:space="0" w:color="auto"/>
        <w:right w:val="none" w:sz="0" w:space="0" w:color="auto"/>
      </w:divBdr>
    </w:div>
    <w:div w:id="802425404">
      <w:bodyDiv w:val="1"/>
      <w:marLeft w:val="0"/>
      <w:marRight w:val="0"/>
      <w:marTop w:val="0"/>
      <w:marBottom w:val="0"/>
      <w:divBdr>
        <w:top w:val="none" w:sz="0" w:space="0" w:color="auto"/>
        <w:left w:val="none" w:sz="0" w:space="0" w:color="auto"/>
        <w:bottom w:val="none" w:sz="0" w:space="0" w:color="auto"/>
        <w:right w:val="none" w:sz="0" w:space="0" w:color="auto"/>
      </w:divBdr>
      <w:divsChild>
        <w:div w:id="111631549">
          <w:marLeft w:val="547"/>
          <w:marRight w:val="0"/>
          <w:marTop w:val="0"/>
          <w:marBottom w:val="0"/>
          <w:divBdr>
            <w:top w:val="none" w:sz="0" w:space="0" w:color="auto"/>
            <w:left w:val="none" w:sz="0" w:space="0" w:color="auto"/>
            <w:bottom w:val="none" w:sz="0" w:space="0" w:color="auto"/>
            <w:right w:val="none" w:sz="0" w:space="0" w:color="auto"/>
          </w:divBdr>
        </w:div>
        <w:div w:id="768037909">
          <w:marLeft w:val="547"/>
          <w:marRight w:val="0"/>
          <w:marTop w:val="0"/>
          <w:marBottom w:val="0"/>
          <w:divBdr>
            <w:top w:val="none" w:sz="0" w:space="0" w:color="auto"/>
            <w:left w:val="none" w:sz="0" w:space="0" w:color="auto"/>
            <w:bottom w:val="none" w:sz="0" w:space="0" w:color="auto"/>
            <w:right w:val="none" w:sz="0" w:space="0" w:color="auto"/>
          </w:divBdr>
        </w:div>
        <w:div w:id="1100835755">
          <w:marLeft w:val="547"/>
          <w:marRight w:val="0"/>
          <w:marTop w:val="0"/>
          <w:marBottom w:val="0"/>
          <w:divBdr>
            <w:top w:val="none" w:sz="0" w:space="0" w:color="auto"/>
            <w:left w:val="none" w:sz="0" w:space="0" w:color="auto"/>
            <w:bottom w:val="none" w:sz="0" w:space="0" w:color="auto"/>
            <w:right w:val="none" w:sz="0" w:space="0" w:color="auto"/>
          </w:divBdr>
        </w:div>
        <w:div w:id="1311056114">
          <w:marLeft w:val="547"/>
          <w:marRight w:val="0"/>
          <w:marTop w:val="0"/>
          <w:marBottom w:val="0"/>
          <w:divBdr>
            <w:top w:val="none" w:sz="0" w:space="0" w:color="auto"/>
            <w:left w:val="none" w:sz="0" w:space="0" w:color="auto"/>
            <w:bottom w:val="none" w:sz="0" w:space="0" w:color="auto"/>
            <w:right w:val="none" w:sz="0" w:space="0" w:color="auto"/>
          </w:divBdr>
        </w:div>
      </w:divsChild>
    </w:div>
    <w:div w:id="806506912">
      <w:bodyDiv w:val="1"/>
      <w:marLeft w:val="0"/>
      <w:marRight w:val="0"/>
      <w:marTop w:val="0"/>
      <w:marBottom w:val="0"/>
      <w:divBdr>
        <w:top w:val="none" w:sz="0" w:space="0" w:color="auto"/>
        <w:left w:val="none" w:sz="0" w:space="0" w:color="auto"/>
        <w:bottom w:val="none" w:sz="0" w:space="0" w:color="auto"/>
        <w:right w:val="none" w:sz="0" w:space="0" w:color="auto"/>
      </w:divBdr>
    </w:div>
    <w:div w:id="807091643">
      <w:bodyDiv w:val="1"/>
      <w:marLeft w:val="0"/>
      <w:marRight w:val="0"/>
      <w:marTop w:val="0"/>
      <w:marBottom w:val="0"/>
      <w:divBdr>
        <w:top w:val="none" w:sz="0" w:space="0" w:color="auto"/>
        <w:left w:val="none" w:sz="0" w:space="0" w:color="auto"/>
        <w:bottom w:val="none" w:sz="0" w:space="0" w:color="auto"/>
        <w:right w:val="none" w:sz="0" w:space="0" w:color="auto"/>
      </w:divBdr>
    </w:div>
    <w:div w:id="809786974">
      <w:bodyDiv w:val="1"/>
      <w:marLeft w:val="0"/>
      <w:marRight w:val="0"/>
      <w:marTop w:val="0"/>
      <w:marBottom w:val="0"/>
      <w:divBdr>
        <w:top w:val="none" w:sz="0" w:space="0" w:color="auto"/>
        <w:left w:val="none" w:sz="0" w:space="0" w:color="auto"/>
        <w:bottom w:val="none" w:sz="0" w:space="0" w:color="auto"/>
        <w:right w:val="none" w:sz="0" w:space="0" w:color="auto"/>
      </w:divBdr>
    </w:div>
    <w:div w:id="811604908">
      <w:bodyDiv w:val="1"/>
      <w:marLeft w:val="0"/>
      <w:marRight w:val="0"/>
      <w:marTop w:val="0"/>
      <w:marBottom w:val="0"/>
      <w:divBdr>
        <w:top w:val="none" w:sz="0" w:space="0" w:color="auto"/>
        <w:left w:val="none" w:sz="0" w:space="0" w:color="auto"/>
        <w:bottom w:val="none" w:sz="0" w:space="0" w:color="auto"/>
        <w:right w:val="none" w:sz="0" w:space="0" w:color="auto"/>
      </w:divBdr>
    </w:div>
    <w:div w:id="811873005">
      <w:bodyDiv w:val="1"/>
      <w:marLeft w:val="0"/>
      <w:marRight w:val="0"/>
      <w:marTop w:val="0"/>
      <w:marBottom w:val="0"/>
      <w:divBdr>
        <w:top w:val="none" w:sz="0" w:space="0" w:color="auto"/>
        <w:left w:val="none" w:sz="0" w:space="0" w:color="auto"/>
        <w:bottom w:val="none" w:sz="0" w:space="0" w:color="auto"/>
        <w:right w:val="none" w:sz="0" w:space="0" w:color="auto"/>
      </w:divBdr>
    </w:div>
    <w:div w:id="813256623">
      <w:bodyDiv w:val="1"/>
      <w:marLeft w:val="0"/>
      <w:marRight w:val="0"/>
      <w:marTop w:val="0"/>
      <w:marBottom w:val="0"/>
      <w:divBdr>
        <w:top w:val="none" w:sz="0" w:space="0" w:color="auto"/>
        <w:left w:val="none" w:sz="0" w:space="0" w:color="auto"/>
        <w:bottom w:val="none" w:sz="0" w:space="0" w:color="auto"/>
        <w:right w:val="none" w:sz="0" w:space="0" w:color="auto"/>
      </w:divBdr>
    </w:div>
    <w:div w:id="813638501">
      <w:bodyDiv w:val="1"/>
      <w:marLeft w:val="0"/>
      <w:marRight w:val="0"/>
      <w:marTop w:val="0"/>
      <w:marBottom w:val="0"/>
      <w:divBdr>
        <w:top w:val="none" w:sz="0" w:space="0" w:color="auto"/>
        <w:left w:val="none" w:sz="0" w:space="0" w:color="auto"/>
        <w:bottom w:val="none" w:sz="0" w:space="0" w:color="auto"/>
        <w:right w:val="none" w:sz="0" w:space="0" w:color="auto"/>
      </w:divBdr>
    </w:div>
    <w:div w:id="813716661">
      <w:bodyDiv w:val="1"/>
      <w:marLeft w:val="0"/>
      <w:marRight w:val="0"/>
      <w:marTop w:val="0"/>
      <w:marBottom w:val="0"/>
      <w:divBdr>
        <w:top w:val="none" w:sz="0" w:space="0" w:color="auto"/>
        <w:left w:val="none" w:sz="0" w:space="0" w:color="auto"/>
        <w:bottom w:val="none" w:sz="0" w:space="0" w:color="auto"/>
        <w:right w:val="none" w:sz="0" w:space="0" w:color="auto"/>
      </w:divBdr>
    </w:div>
    <w:div w:id="816456031">
      <w:bodyDiv w:val="1"/>
      <w:marLeft w:val="0"/>
      <w:marRight w:val="0"/>
      <w:marTop w:val="0"/>
      <w:marBottom w:val="0"/>
      <w:divBdr>
        <w:top w:val="none" w:sz="0" w:space="0" w:color="auto"/>
        <w:left w:val="none" w:sz="0" w:space="0" w:color="auto"/>
        <w:bottom w:val="none" w:sz="0" w:space="0" w:color="auto"/>
        <w:right w:val="none" w:sz="0" w:space="0" w:color="auto"/>
      </w:divBdr>
    </w:div>
    <w:div w:id="819813232">
      <w:bodyDiv w:val="1"/>
      <w:marLeft w:val="0"/>
      <w:marRight w:val="0"/>
      <w:marTop w:val="0"/>
      <w:marBottom w:val="0"/>
      <w:divBdr>
        <w:top w:val="none" w:sz="0" w:space="0" w:color="auto"/>
        <w:left w:val="none" w:sz="0" w:space="0" w:color="auto"/>
        <w:bottom w:val="none" w:sz="0" w:space="0" w:color="auto"/>
        <w:right w:val="none" w:sz="0" w:space="0" w:color="auto"/>
      </w:divBdr>
    </w:div>
    <w:div w:id="820391403">
      <w:bodyDiv w:val="1"/>
      <w:marLeft w:val="0"/>
      <w:marRight w:val="0"/>
      <w:marTop w:val="0"/>
      <w:marBottom w:val="0"/>
      <w:divBdr>
        <w:top w:val="none" w:sz="0" w:space="0" w:color="auto"/>
        <w:left w:val="none" w:sz="0" w:space="0" w:color="auto"/>
        <w:bottom w:val="none" w:sz="0" w:space="0" w:color="auto"/>
        <w:right w:val="none" w:sz="0" w:space="0" w:color="auto"/>
      </w:divBdr>
    </w:div>
    <w:div w:id="820541269">
      <w:bodyDiv w:val="1"/>
      <w:marLeft w:val="0"/>
      <w:marRight w:val="0"/>
      <w:marTop w:val="0"/>
      <w:marBottom w:val="0"/>
      <w:divBdr>
        <w:top w:val="none" w:sz="0" w:space="0" w:color="auto"/>
        <w:left w:val="none" w:sz="0" w:space="0" w:color="auto"/>
        <w:bottom w:val="none" w:sz="0" w:space="0" w:color="auto"/>
        <w:right w:val="none" w:sz="0" w:space="0" w:color="auto"/>
      </w:divBdr>
    </w:div>
    <w:div w:id="820925957">
      <w:bodyDiv w:val="1"/>
      <w:marLeft w:val="0"/>
      <w:marRight w:val="0"/>
      <w:marTop w:val="0"/>
      <w:marBottom w:val="0"/>
      <w:divBdr>
        <w:top w:val="none" w:sz="0" w:space="0" w:color="auto"/>
        <w:left w:val="none" w:sz="0" w:space="0" w:color="auto"/>
        <w:bottom w:val="none" w:sz="0" w:space="0" w:color="auto"/>
        <w:right w:val="none" w:sz="0" w:space="0" w:color="auto"/>
      </w:divBdr>
    </w:div>
    <w:div w:id="821043458">
      <w:bodyDiv w:val="1"/>
      <w:marLeft w:val="0"/>
      <w:marRight w:val="0"/>
      <w:marTop w:val="0"/>
      <w:marBottom w:val="0"/>
      <w:divBdr>
        <w:top w:val="none" w:sz="0" w:space="0" w:color="auto"/>
        <w:left w:val="none" w:sz="0" w:space="0" w:color="auto"/>
        <w:bottom w:val="none" w:sz="0" w:space="0" w:color="auto"/>
        <w:right w:val="none" w:sz="0" w:space="0" w:color="auto"/>
      </w:divBdr>
    </w:div>
    <w:div w:id="821115500">
      <w:bodyDiv w:val="1"/>
      <w:marLeft w:val="0"/>
      <w:marRight w:val="0"/>
      <w:marTop w:val="0"/>
      <w:marBottom w:val="0"/>
      <w:divBdr>
        <w:top w:val="none" w:sz="0" w:space="0" w:color="auto"/>
        <w:left w:val="none" w:sz="0" w:space="0" w:color="auto"/>
        <w:bottom w:val="none" w:sz="0" w:space="0" w:color="auto"/>
        <w:right w:val="none" w:sz="0" w:space="0" w:color="auto"/>
      </w:divBdr>
    </w:div>
    <w:div w:id="821852097">
      <w:bodyDiv w:val="1"/>
      <w:marLeft w:val="0"/>
      <w:marRight w:val="0"/>
      <w:marTop w:val="0"/>
      <w:marBottom w:val="0"/>
      <w:divBdr>
        <w:top w:val="none" w:sz="0" w:space="0" w:color="auto"/>
        <w:left w:val="none" w:sz="0" w:space="0" w:color="auto"/>
        <w:bottom w:val="none" w:sz="0" w:space="0" w:color="auto"/>
        <w:right w:val="none" w:sz="0" w:space="0" w:color="auto"/>
      </w:divBdr>
    </w:div>
    <w:div w:id="823084146">
      <w:bodyDiv w:val="1"/>
      <w:marLeft w:val="0"/>
      <w:marRight w:val="0"/>
      <w:marTop w:val="0"/>
      <w:marBottom w:val="0"/>
      <w:divBdr>
        <w:top w:val="none" w:sz="0" w:space="0" w:color="auto"/>
        <w:left w:val="none" w:sz="0" w:space="0" w:color="auto"/>
        <w:bottom w:val="none" w:sz="0" w:space="0" w:color="auto"/>
        <w:right w:val="none" w:sz="0" w:space="0" w:color="auto"/>
      </w:divBdr>
    </w:div>
    <w:div w:id="823354105">
      <w:bodyDiv w:val="1"/>
      <w:marLeft w:val="0"/>
      <w:marRight w:val="0"/>
      <w:marTop w:val="0"/>
      <w:marBottom w:val="0"/>
      <w:divBdr>
        <w:top w:val="none" w:sz="0" w:space="0" w:color="auto"/>
        <w:left w:val="none" w:sz="0" w:space="0" w:color="auto"/>
        <w:bottom w:val="none" w:sz="0" w:space="0" w:color="auto"/>
        <w:right w:val="none" w:sz="0" w:space="0" w:color="auto"/>
      </w:divBdr>
    </w:div>
    <w:div w:id="825558674">
      <w:bodyDiv w:val="1"/>
      <w:marLeft w:val="0"/>
      <w:marRight w:val="0"/>
      <w:marTop w:val="0"/>
      <w:marBottom w:val="0"/>
      <w:divBdr>
        <w:top w:val="none" w:sz="0" w:space="0" w:color="auto"/>
        <w:left w:val="none" w:sz="0" w:space="0" w:color="auto"/>
        <w:bottom w:val="none" w:sz="0" w:space="0" w:color="auto"/>
        <w:right w:val="none" w:sz="0" w:space="0" w:color="auto"/>
      </w:divBdr>
    </w:div>
    <w:div w:id="829440977">
      <w:bodyDiv w:val="1"/>
      <w:marLeft w:val="0"/>
      <w:marRight w:val="0"/>
      <w:marTop w:val="0"/>
      <w:marBottom w:val="0"/>
      <w:divBdr>
        <w:top w:val="none" w:sz="0" w:space="0" w:color="auto"/>
        <w:left w:val="none" w:sz="0" w:space="0" w:color="auto"/>
        <w:bottom w:val="none" w:sz="0" w:space="0" w:color="auto"/>
        <w:right w:val="none" w:sz="0" w:space="0" w:color="auto"/>
      </w:divBdr>
    </w:div>
    <w:div w:id="831721726">
      <w:bodyDiv w:val="1"/>
      <w:marLeft w:val="0"/>
      <w:marRight w:val="0"/>
      <w:marTop w:val="0"/>
      <w:marBottom w:val="0"/>
      <w:divBdr>
        <w:top w:val="none" w:sz="0" w:space="0" w:color="auto"/>
        <w:left w:val="none" w:sz="0" w:space="0" w:color="auto"/>
        <w:bottom w:val="none" w:sz="0" w:space="0" w:color="auto"/>
        <w:right w:val="none" w:sz="0" w:space="0" w:color="auto"/>
      </w:divBdr>
    </w:div>
    <w:div w:id="832725974">
      <w:bodyDiv w:val="1"/>
      <w:marLeft w:val="0"/>
      <w:marRight w:val="0"/>
      <w:marTop w:val="0"/>
      <w:marBottom w:val="0"/>
      <w:divBdr>
        <w:top w:val="none" w:sz="0" w:space="0" w:color="auto"/>
        <w:left w:val="none" w:sz="0" w:space="0" w:color="auto"/>
        <w:bottom w:val="none" w:sz="0" w:space="0" w:color="auto"/>
        <w:right w:val="none" w:sz="0" w:space="0" w:color="auto"/>
      </w:divBdr>
    </w:div>
    <w:div w:id="833108185">
      <w:bodyDiv w:val="1"/>
      <w:marLeft w:val="0"/>
      <w:marRight w:val="0"/>
      <w:marTop w:val="0"/>
      <w:marBottom w:val="0"/>
      <w:divBdr>
        <w:top w:val="none" w:sz="0" w:space="0" w:color="auto"/>
        <w:left w:val="none" w:sz="0" w:space="0" w:color="auto"/>
        <w:bottom w:val="none" w:sz="0" w:space="0" w:color="auto"/>
        <w:right w:val="none" w:sz="0" w:space="0" w:color="auto"/>
      </w:divBdr>
    </w:div>
    <w:div w:id="835070745">
      <w:bodyDiv w:val="1"/>
      <w:marLeft w:val="0"/>
      <w:marRight w:val="0"/>
      <w:marTop w:val="0"/>
      <w:marBottom w:val="0"/>
      <w:divBdr>
        <w:top w:val="none" w:sz="0" w:space="0" w:color="auto"/>
        <w:left w:val="none" w:sz="0" w:space="0" w:color="auto"/>
        <w:bottom w:val="none" w:sz="0" w:space="0" w:color="auto"/>
        <w:right w:val="none" w:sz="0" w:space="0" w:color="auto"/>
      </w:divBdr>
      <w:divsChild>
        <w:div w:id="1055853526">
          <w:marLeft w:val="547"/>
          <w:marRight w:val="0"/>
          <w:marTop w:val="0"/>
          <w:marBottom w:val="0"/>
          <w:divBdr>
            <w:top w:val="none" w:sz="0" w:space="0" w:color="auto"/>
            <w:left w:val="none" w:sz="0" w:space="0" w:color="auto"/>
            <w:bottom w:val="none" w:sz="0" w:space="0" w:color="auto"/>
            <w:right w:val="none" w:sz="0" w:space="0" w:color="auto"/>
          </w:divBdr>
        </w:div>
        <w:div w:id="2116316646">
          <w:marLeft w:val="547"/>
          <w:marRight w:val="0"/>
          <w:marTop w:val="0"/>
          <w:marBottom w:val="0"/>
          <w:divBdr>
            <w:top w:val="none" w:sz="0" w:space="0" w:color="auto"/>
            <w:left w:val="none" w:sz="0" w:space="0" w:color="auto"/>
            <w:bottom w:val="none" w:sz="0" w:space="0" w:color="auto"/>
            <w:right w:val="none" w:sz="0" w:space="0" w:color="auto"/>
          </w:divBdr>
        </w:div>
      </w:divsChild>
    </w:div>
    <w:div w:id="835343430">
      <w:bodyDiv w:val="1"/>
      <w:marLeft w:val="0"/>
      <w:marRight w:val="0"/>
      <w:marTop w:val="0"/>
      <w:marBottom w:val="0"/>
      <w:divBdr>
        <w:top w:val="none" w:sz="0" w:space="0" w:color="auto"/>
        <w:left w:val="none" w:sz="0" w:space="0" w:color="auto"/>
        <w:bottom w:val="none" w:sz="0" w:space="0" w:color="auto"/>
        <w:right w:val="none" w:sz="0" w:space="0" w:color="auto"/>
      </w:divBdr>
    </w:div>
    <w:div w:id="838422153">
      <w:bodyDiv w:val="1"/>
      <w:marLeft w:val="0"/>
      <w:marRight w:val="0"/>
      <w:marTop w:val="0"/>
      <w:marBottom w:val="0"/>
      <w:divBdr>
        <w:top w:val="none" w:sz="0" w:space="0" w:color="auto"/>
        <w:left w:val="none" w:sz="0" w:space="0" w:color="auto"/>
        <w:bottom w:val="none" w:sz="0" w:space="0" w:color="auto"/>
        <w:right w:val="none" w:sz="0" w:space="0" w:color="auto"/>
      </w:divBdr>
    </w:div>
    <w:div w:id="838618177">
      <w:bodyDiv w:val="1"/>
      <w:marLeft w:val="0"/>
      <w:marRight w:val="0"/>
      <w:marTop w:val="0"/>
      <w:marBottom w:val="0"/>
      <w:divBdr>
        <w:top w:val="none" w:sz="0" w:space="0" w:color="auto"/>
        <w:left w:val="none" w:sz="0" w:space="0" w:color="auto"/>
        <w:bottom w:val="none" w:sz="0" w:space="0" w:color="auto"/>
        <w:right w:val="none" w:sz="0" w:space="0" w:color="auto"/>
      </w:divBdr>
    </w:div>
    <w:div w:id="840047619">
      <w:bodyDiv w:val="1"/>
      <w:marLeft w:val="0"/>
      <w:marRight w:val="0"/>
      <w:marTop w:val="0"/>
      <w:marBottom w:val="0"/>
      <w:divBdr>
        <w:top w:val="none" w:sz="0" w:space="0" w:color="auto"/>
        <w:left w:val="none" w:sz="0" w:space="0" w:color="auto"/>
        <w:bottom w:val="none" w:sz="0" w:space="0" w:color="auto"/>
        <w:right w:val="none" w:sz="0" w:space="0" w:color="auto"/>
      </w:divBdr>
    </w:div>
    <w:div w:id="840893631">
      <w:bodyDiv w:val="1"/>
      <w:marLeft w:val="0"/>
      <w:marRight w:val="0"/>
      <w:marTop w:val="0"/>
      <w:marBottom w:val="0"/>
      <w:divBdr>
        <w:top w:val="none" w:sz="0" w:space="0" w:color="auto"/>
        <w:left w:val="none" w:sz="0" w:space="0" w:color="auto"/>
        <w:bottom w:val="none" w:sz="0" w:space="0" w:color="auto"/>
        <w:right w:val="none" w:sz="0" w:space="0" w:color="auto"/>
      </w:divBdr>
    </w:div>
    <w:div w:id="842547421">
      <w:bodyDiv w:val="1"/>
      <w:marLeft w:val="0"/>
      <w:marRight w:val="0"/>
      <w:marTop w:val="0"/>
      <w:marBottom w:val="0"/>
      <w:divBdr>
        <w:top w:val="none" w:sz="0" w:space="0" w:color="auto"/>
        <w:left w:val="none" w:sz="0" w:space="0" w:color="auto"/>
        <w:bottom w:val="none" w:sz="0" w:space="0" w:color="auto"/>
        <w:right w:val="none" w:sz="0" w:space="0" w:color="auto"/>
      </w:divBdr>
    </w:div>
    <w:div w:id="843007787">
      <w:bodyDiv w:val="1"/>
      <w:marLeft w:val="0"/>
      <w:marRight w:val="0"/>
      <w:marTop w:val="0"/>
      <w:marBottom w:val="0"/>
      <w:divBdr>
        <w:top w:val="none" w:sz="0" w:space="0" w:color="auto"/>
        <w:left w:val="none" w:sz="0" w:space="0" w:color="auto"/>
        <w:bottom w:val="none" w:sz="0" w:space="0" w:color="auto"/>
        <w:right w:val="none" w:sz="0" w:space="0" w:color="auto"/>
      </w:divBdr>
    </w:div>
    <w:div w:id="843321147">
      <w:bodyDiv w:val="1"/>
      <w:marLeft w:val="0"/>
      <w:marRight w:val="0"/>
      <w:marTop w:val="0"/>
      <w:marBottom w:val="0"/>
      <w:divBdr>
        <w:top w:val="none" w:sz="0" w:space="0" w:color="auto"/>
        <w:left w:val="none" w:sz="0" w:space="0" w:color="auto"/>
        <w:bottom w:val="none" w:sz="0" w:space="0" w:color="auto"/>
        <w:right w:val="none" w:sz="0" w:space="0" w:color="auto"/>
      </w:divBdr>
    </w:div>
    <w:div w:id="843323468">
      <w:bodyDiv w:val="1"/>
      <w:marLeft w:val="0"/>
      <w:marRight w:val="0"/>
      <w:marTop w:val="0"/>
      <w:marBottom w:val="0"/>
      <w:divBdr>
        <w:top w:val="none" w:sz="0" w:space="0" w:color="auto"/>
        <w:left w:val="none" w:sz="0" w:space="0" w:color="auto"/>
        <w:bottom w:val="none" w:sz="0" w:space="0" w:color="auto"/>
        <w:right w:val="none" w:sz="0" w:space="0" w:color="auto"/>
      </w:divBdr>
    </w:div>
    <w:div w:id="844131225">
      <w:bodyDiv w:val="1"/>
      <w:marLeft w:val="0"/>
      <w:marRight w:val="0"/>
      <w:marTop w:val="0"/>
      <w:marBottom w:val="0"/>
      <w:divBdr>
        <w:top w:val="none" w:sz="0" w:space="0" w:color="auto"/>
        <w:left w:val="none" w:sz="0" w:space="0" w:color="auto"/>
        <w:bottom w:val="none" w:sz="0" w:space="0" w:color="auto"/>
        <w:right w:val="none" w:sz="0" w:space="0" w:color="auto"/>
      </w:divBdr>
    </w:div>
    <w:div w:id="844563042">
      <w:bodyDiv w:val="1"/>
      <w:marLeft w:val="0"/>
      <w:marRight w:val="0"/>
      <w:marTop w:val="0"/>
      <w:marBottom w:val="0"/>
      <w:divBdr>
        <w:top w:val="none" w:sz="0" w:space="0" w:color="auto"/>
        <w:left w:val="none" w:sz="0" w:space="0" w:color="auto"/>
        <w:bottom w:val="none" w:sz="0" w:space="0" w:color="auto"/>
        <w:right w:val="none" w:sz="0" w:space="0" w:color="auto"/>
      </w:divBdr>
    </w:div>
    <w:div w:id="846363731">
      <w:bodyDiv w:val="1"/>
      <w:marLeft w:val="0"/>
      <w:marRight w:val="0"/>
      <w:marTop w:val="0"/>
      <w:marBottom w:val="0"/>
      <w:divBdr>
        <w:top w:val="none" w:sz="0" w:space="0" w:color="auto"/>
        <w:left w:val="none" w:sz="0" w:space="0" w:color="auto"/>
        <w:bottom w:val="none" w:sz="0" w:space="0" w:color="auto"/>
        <w:right w:val="none" w:sz="0" w:space="0" w:color="auto"/>
      </w:divBdr>
    </w:div>
    <w:div w:id="846481504">
      <w:bodyDiv w:val="1"/>
      <w:marLeft w:val="0"/>
      <w:marRight w:val="0"/>
      <w:marTop w:val="0"/>
      <w:marBottom w:val="0"/>
      <w:divBdr>
        <w:top w:val="none" w:sz="0" w:space="0" w:color="auto"/>
        <w:left w:val="none" w:sz="0" w:space="0" w:color="auto"/>
        <w:bottom w:val="none" w:sz="0" w:space="0" w:color="auto"/>
        <w:right w:val="none" w:sz="0" w:space="0" w:color="auto"/>
      </w:divBdr>
    </w:div>
    <w:div w:id="847646480">
      <w:bodyDiv w:val="1"/>
      <w:marLeft w:val="0"/>
      <w:marRight w:val="0"/>
      <w:marTop w:val="0"/>
      <w:marBottom w:val="0"/>
      <w:divBdr>
        <w:top w:val="none" w:sz="0" w:space="0" w:color="auto"/>
        <w:left w:val="none" w:sz="0" w:space="0" w:color="auto"/>
        <w:bottom w:val="none" w:sz="0" w:space="0" w:color="auto"/>
        <w:right w:val="none" w:sz="0" w:space="0" w:color="auto"/>
      </w:divBdr>
    </w:div>
    <w:div w:id="848569185">
      <w:bodyDiv w:val="1"/>
      <w:marLeft w:val="0"/>
      <w:marRight w:val="0"/>
      <w:marTop w:val="0"/>
      <w:marBottom w:val="0"/>
      <w:divBdr>
        <w:top w:val="none" w:sz="0" w:space="0" w:color="auto"/>
        <w:left w:val="none" w:sz="0" w:space="0" w:color="auto"/>
        <w:bottom w:val="none" w:sz="0" w:space="0" w:color="auto"/>
        <w:right w:val="none" w:sz="0" w:space="0" w:color="auto"/>
      </w:divBdr>
    </w:div>
    <w:div w:id="849294201">
      <w:bodyDiv w:val="1"/>
      <w:marLeft w:val="0"/>
      <w:marRight w:val="0"/>
      <w:marTop w:val="0"/>
      <w:marBottom w:val="0"/>
      <w:divBdr>
        <w:top w:val="none" w:sz="0" w:space="0" w:color="auto"/>
        <w:left w:val="none" w:sz="0" w:space="0" w:color="auto"/>
        <w:bottom w:val="none" w:sz="0" w:space="0" w:color="auto"/>
        <w:right w:val="none" w:sz="0" w:space="0" w:color="auto"/>
      </w:divBdr>
    </w:div>
    <w:div w:id="849370049">
      <w:bodyDiv w:val="1"/>
      <w:marLeft w:val="0"/>
      <w:marRight w:val="0"/>
      <w:marTop w:val="0"/>
      <w:marBottom w:val="0"/>
      <w:divBdr>
        <w:top w:val="none" w:sz="0" w:space="0" w:color="auto"/>
        <w:left w:val="none" w:sz="0" w:space="0" w:color="auto"/>
        <w:bottom w:val="none" w:sz="0" w:space="0" w:color="auto"/>
        <w:right w:val="none" w:sz="0" w:space="0" w:color="auto"/>
      </w:divBdr>
    </w:div>
    <w:div w:id="849832964">
      <w:bodyDiv w:val="1"/>
      <w:marLeft w:val="0"/>
      <w:marRight w:val="0"/>
      <w:marTop w:val="0"/>
      <w:marBottom w:val="0"/>
      <w:divBdr>
        <w:top w:val="none" w:sz="0" w:space="0" w:color="auto"/>
        <w:left w:val="none" w:sz="0" w:space="0" w:color="auto"/>
        <w:bottom w:val="none" w:sz="0" w:space="0" w:color="auto"/>
        <w:right w:val="none" w:sz="0" w:space="0" w:color="auto"/>
      </w:divBdr>
    </w:div>
    <w:div w:id="852451158">
      <w:bodyDiv w:val="1"/>
      <w:marLeft w:val="0"/>
      <w:marRight w:val="0"/>
      <w:marTop w:val="0"/>
      <w:marBottom w:val="0"/>
      <w:divBdr>
        <w:top w:val="none" w:sz="0" w:space="0" w:color="auto"/>
        <w:left w:val="none" w:sz="0" w:space="0" w:color="auto"/>
        <w:bottom w:val="none" w:sz="0" w:space="0" w:color="auto"/>
        <w:right w:val="none" w:sz="0" w:space="0" w:color="auto"/>
      </w:divBdr>
    </w:div>
    <w:div w:id="852495806">
      <w:bodyDiv w:val="1"/>
      <w:marLeft w:val="0"/>
      <w:marRight w:val="0"/>
      <w:marTop w:val="0"/>
      <w:marBottom w:val="0"/>
      <w:divBdr>
        <w:top w:val="none" w:sz="0" w:space="0" w:color="auto"/>
        <w:left w:val="none" w:sz="0" w:space="0" w:color="auto"/>
        <w:bottom w:val="none" w:sz="0" w:space="0" w:color="auto"/>
        <w:right w:val="none" w:sz="0" w:space="0" w:color="auto"/>
      </w:divBdr>
    </w:div>
    <w:div w:id="853035298">
      <w:bodyDiv w:val="1"/>
      <w:marLeft w:val="0"/>
      <w:marRight w:val="0"/>
      <w:marTop w:val="0"/>
      <w:marBottom w:val="0"/>
      <w:divBdr>
        <w:top w:val="none" w:sz="0" w:space="0" w:color="auto"/>
        <w:left w:val="none" w:sz="0" w:space="0" w:color="auto"/>
        <w:bottom w:val="none" w:sz="0" w:space="0" w:color="auto"/>
        <w:right w:val="none" w:sz="0" w:space="0" w:color="auto"/>
      </w:divBdr>
    </w:div>
    <w:div w:id="853105655">
      <w:bodyDiv w:val="1"/>
      <w:marLeft w:val="0"/>
      <w:marRight w:val="0"/>
      <w:marTop w:val="0"/>
      <w:marBottom w:val="0"/>
      <w:divBdr>
        <w:top w:val="none" w:sz="0" w:space="0" w:color="auto"/>
        <w:left w:val="none" w:sz="0" w:space="0" w:color="auto"/>
        <w:bottom w:val="none" w:sz="0" w:space="0" w:color="auto"/>
        <w:right w:val="none" w:sz="0" w:space="0" w:color="auto"/>
      </w:divBdr>
    </w:div>
    <w:div w:id="853692722">
      <w:bodyDiv w:val="1"/>
      <w:marLeft w:val="0"/>
      <w:marRight w:val="0"/>
      <w:marTop w:val="0"/>
      <w:marBottom w:val="0"/>
      <w:divBdr>
        <w:top w:val="none" w:sz="0" w:space="0" w:color="auto"/>
        <w:left w:val="none" w:sz="0" w:space="0" w:color="auto"/>
        <w:bottom w:val="none" w:sz="0" w:space="0" w:color="auto"/>
        <w:right w:val="none" w:sz="0" w:space="0" w:color="auto"/>
      </w:divBdr>
    </w:div>
    <w:div w:id="853961223">
      <w:bodyDiv w:val="1"/>
      <w:marLeft w:val="0"/>
      <w:marRight w:val="0"/>
      <w:marTop w:val="0"/>
      <w:marBottom w:val="0"/>
      <w:divBdr>
        <w:top w:val="none" w:sz="0" w:space="0" w:color="auto"/>
        <w:left w:val="none" w:sz="0" w:space="0" w:color="auto"/>
        <w:bottom w:val="none" w:sz="0" w:space="0" w:color="auto"/>
        <w:right w:val="none" w:sz="0" w:space="0" w:color="auto"/>
      </w:divBdr>
    </w:div>
    <w:div w:id="854346686">
      <w:bodyDiv w:val="1"/>
      <w:marLeft w:val="0"/>
      <w:marRight w:val="0"/>
      <w:marTop w:val="0"/>
      <w:marBottom w:val="0"/>
      <w:divBdr>
        <w:top w:val="none" w:sz="0" w:space="0" w:color="auto"/>
        <w:left w:val="none" w:sz="0" w:space="0" w:color="auto"/>
        <w:bottom w:val="none" w:sz="0" w:space="0" w:color="auto"/>
        <w:right w:val="none" w:sz="0" w:space="0" w:color="auto"/>
      </w:divBdr>
    </w:div>
    <w:div w:id="857039773">
      <w:bodyDiv w:val="1"/>
      <w:marLeft w:val="0"/>
      <w:marRight w:val="0"/>
      <w:marTop w:val="0"/>
      <w:marBottom w:val="0"/>
      <w:divBdr>
        <w:top w:val="none" w:sz="0" w:space="0" w:color="auto"/>
        <w:left w:val="none" w:sz="0" w:space="0" w:color="auto"/>
        <w:bottom w:val="none" w:sz="0" w:space="0" w:color="auto"/>
        <w:right w:val="none" w:sz="0" w:space="0" w:color="auto"/>
      </w:divBdr>
    </w:div>
    <w:div w:id="857154971">
      <w:bodyDiv w:val="1"/>
      <w:marLeft w:val="0"/>
      <w:marRight w:val="0"/>
      <w:marTop w:val="0"/>
      <w:marBottom w:val="0"/>
      <w:divBdr>
        <w:top w:val="none" w:sz="0" w:space="0" w:color="auto"/>
        <w:left w:val="none" w:sz="0" w:space="0" w:color="auto"/>
        <w:bottom w:val="none" w:sz="0" w:space="0" w:color="auto"/>
        <w:right w:val="none" w:sz="0" w:space="0" w:color="auto"/>
      </w:divBdr>
    </w:div>
    <w:div w:id="861626799">
      <w:bodyDiv w:val="1"/>
      <w:marLeft w:val="0"/>
      <w:marRight w:val="0"/>
      <w:marTop w:val="0"/>
      <w:marBottom w:val="0"/>
      <w:divBdr>
        <w:top w:val="none" w:sz="0" w:space="0" w:color="auto"/>
        <w:left w:val="none" w:sz="0" w:space="0" w:color="auto"/>
        <w:bottom w:val="none" w:sz="0" w:space="0" w:color="auto"/>
        <w:right w:val="none" w:sz="0" w:space="0" w:color="auto"/>
      </w:divBdr>
    </w:div>
    <w:div w:id="861938255">
      <w:bodyDiv w:val="1"/>
      <w:marLeft w:val="0"/>
      <w:marRight w:val="0"/>
      <w:marTop w:val="0"/>
      <w:marBottom w:val="0"/>
      <w:divBdr>
        <w:top w:val="none" w:sz="0" w:space="0" w:color="auto"/>
        <w:left w:val="none" w:sz="0" w:space="0" w:color="auto"/>
        <w:bottom w:val="none" w:sz="0" w:space="0" w:color="auto"/>
        <w:right w:val="none" w:sz="0" w:space="0" w:color="auto"/>
      </w:divBdr>
    </w:div>
    <w:div w:id="862014414">
      <w:bodyDiv w:val="1"/>
      <w:marLeft w:val="0"/>
      <w:marRight w:val="0"/>
      <w:marTop w:val="0"/>
      <w:marBottom w:val="0"/>
      <w:divBdr>
        <w:top w:val="none" w:sz="0" w:space="0" w:color="auto"/>
        <w:left w:val="none" w:sz="0" w:space="0" w:color="auto"/>
        <w:bottom w:val="none" w:sz="0" w:space="0" w:color="auto"/>
        <w:right w:val="none" w:sz="0" w:space="0" w:color="auto"/>
      </w:divBdr>
    </w:div>
    <w:div w:id="862017431">
      <w:bodyDiv w:val="1"/>
      <w:marLeft w:val="0"/>
      <w:marRight w:val="0"/>
      <w:marTop w:val="0"/>
      <w:marBottom w:val="0"/>
      <w:divBdr>
        <w:top w:val="none" w:sz="0" w:space="0" w:color="auto"/>
        <w:left w:val="none" w:sz="0" w:space="0" w:color="auto"/>
        <w:bottom w:val="none" w:sz="0" w:space="0" w:color="auto"/>
        <w:right w:val="none" w:sz="0" w:space="0" w:color="auto"/>
      </w:divBdr>
    </w:div>
    <w:div w:id="862402846">
      <w:bodyDiv w:val="1"/>
      <w:marLeft w:val="0"/>
      <w:marRight w:val="0"/>
      <w:marTop w:val="0"/>
      <w:marBottom w:val="0"/>
      <w:divBdr>
        <w:top w:val="none" w:sz="0" w:space="0" w:color="auto"/>
        <w:left w:val="none" w:sz="0" w:space="0" w:color="auto"/>
        <w:bottom w:val="none" w:sz="0" w:space="0" w:color="auto"/>
        <w:right w:val="none" w:sz="0" w:space="0" w:color="auto"/>
      </w:divBdr>
    </w:div>
    <w:div w:id="862784999">
      <w:bodyDiv w:val="1"/>
      <w:marLeft w:val="0"/>
      <w:marRight w:val="0"/>
      <w:marTop w:val="0"/>
      <w:marBottom w:val="0"/>
      <w:divBdr>
        <w:top w:val="none" w:sz="0" w:space="0" w:color="auto"/>
        <w:left w:val="none" w:sz="0" w:space="0" w:color="auto"/>
        <w:bottom w:val="none" w:sz="0" w:space="0" w:color="auto"/>
        <w:right w:val="none" w:sz="0" w:space="0" w:color="auto"/>
      </w:divBdr>
    </w:div>
    <w:div w:id="864291905">
      <w:bodyDiv w:val="1"/>
      <w:marLeft w:val="0"/>
      <w:marRight w:val="0"/>
      <w:marTop w:val="0"/>
      <w:marBottom w:val="0"/>
      <w:divBdr>
        <w:top w:val="none" w:sz="0" w:space="0" w:color="auto"/>
        <w:left w:val="none" w:sz="0" w:space="0" w:color="auto"/>
        <w:bottom w:val="none" w:sz="0" w:space="0" w:color="auto"/>
        <w:right w:val="none" w:sz="0" w:space="0" w:color="auto"/>
      </w:divBdr>
    </w:div>
    <w:div w:id="865873476">
      <w:bodyDiv w:val="1"/>
      <w:marLeft w:val="0"/>
      <w:marRight w:val="0"/>
      <w:marTop w:val="0"/>
      <w:marBottom w:val="0"/>
      <w:divBdr>
        <w:top w:val="none" w:sz="0" w:space="0" w:color="auto"/>
        <w:left w:val="none" w:sz="0" w:space="0" w:color="auto"/>
        <w:bottom w:val="none" w:sz="0" w:space="0" w:color="auto"/>
        <w:right w:val="none" w:sz="0" w:space="0" w:color="auto"/>
      </w:divBdr>
    </w:div>
    <w:div w:id="871307493">
      <w:bodyDiv w:val="1"/>
      <w:marLeft w:val="0"/>
      <w:marRight w:val="0"/>
      <w:marTop w:val="0"/>
      <w:marBottom w:val="0"/>
      <w:divBdr>
        <w:top w:val="none" w:sz="0" w:space="0" w:color="auto"/>
        <w:left w:val="none" w:sz="0" w:space="0" w:color="auto"/>
        <w:bottom w:val="none" w:sz="0" w:space="0" w:color="auto"/>
        <w:right w:val="none" w:sz="0" w:space="0" w:color="auto"/>
      </w:divBdr>
    </w:div>
    <w:div w:id="871573116">
      <w:bodyDiv w:val="1"/>
      <w:marLeft w:val="0"/>
      <w:marRight w:val="0"/>
      <w:marTop w:val="0"/>
      <w:marBottom w:val="0"/>
      <w:divBdr>
        <w:top w:val="none" w:sz="0" w:space="0" w:color="auto"/>
        <w:left w:val="none" w:sz="0" w:space="0" w:color="auto"/>
        <w:bottom w:val="none" w:sz="0" w:space="0" w:color="auto"/>
        <w:right w:val="none" w:sz="0" w:space="0" w:color="auto"/>
      </w:divBdr>
    </w:div>
    <w:div w:id="875697548">
      <w:bodyDiv w:val="1"/>
      <w:marLeft w:val="0"/>
      <w:marRight w:val="0"/>
      <w:marTop w:val="0"/>
      <w:marBottom w:val="0"/>
      <w:divBdr>
        <w:top w:val="none" w:sz="0" w:space="0" w:color="auto"/>
        <w:left w:val="none" w:sz="0" w:space="0" w:color="auto"/>
        <w:bottom w:val="none" w:sz="0" w:space="0" w:color="auto"/>
        <w:right w:val="none" w:sz="0" w:space="0" w:color="auto"/>
      </w:divBdr>
    </w:div>
    <w:div w:id="876048870">
      <w:bodyDiv w:val="1"/>
      <w:marLeft w:val="0"/>
      <w:marRight w:val="0"/>
      <w:marTop w:val="0"/>
      <w:marBottom w:val="0"/>
      <w:divBdr>
        <w:top w:val="none" w:sz="0" w:space="0" w:color="auto"/>
        <w:left w:val="none" w:sz="0" w:space="0" w:color="auto"/>
        <w:bottom w:val="none" w:sz="0" w:space="0" w:color="auto"/>
        <w:right w:val="none" w:sz="0" w:space="0" w:color="auto"/>
      </w:divBdr>
    </w:div>
    <w:div w:id="876353914">
      <w:bodyDiv w:val="1"/>
      <w:marLeft w:val="0"/>
      <w:marRight w:val="0"/>
      <w:marTop w:val="0"/>
      <w:marBottom w:val="0"/>
      <w:divBdr>
        <w:top w:val="none" w:sz="0" w:space="0" w:color="auto"/>
        <w:left w:val="none" w:sz="0" w:space="0" w:color="auto"/>
        <w:bottom w:val="none" w:sz="0" w:space="0" w:color="auto"/>
        <w:right w:val="none" w:sz="0" w:space="0" w:color="auto"/>
      </w:divBdr>
    </w:div>
    <w:div w:id="876504973">
      <w:bodyDiv w:val="1"/>
      <w:marLeft w:val="0"/>
      <w:marRight w:val="0"/>
      <w:marTop w:val="0"/>
      <w:marBottom w:val="0"/>
      <w:divBdr>
        <w:top w:val="none" w:sz="0" w:space="0" w:color="auto"/>
        <w:left w:val="none" w:sz="0" w:space="0" w:color="auto"/>
        <w:bottom w:val="none" w:sz="0" w:space="0" w:color="auto"/>
        <w:right w:val="none" w:sz="0" w:space="0" w:color="auto"/>
      </w:divBdr>
    </w:div>
    <w:div w:id="876552699">
      <w:bodyDiv w:val="1"/>
      <w:marLeft w:val="0"/>
      <w:marRight w:val="0"/>
      <w:marTop w:val="0"/>
      <w:marBottom w:val="0"/>
      <w:divBdr>
        <w:top w:val="none" w:sz="0" w:space="0" w:color="auto"/>
        <w:left w:val="none" w:sz="0" w:space="0" w:color="auto"/>
        <w:bottom w:val="none" w:sz="0" w:space="0" w:color="auto"/>
        <w:right w:val="none" w:sz="0" w:space="0" w:color="auto"/>
      </w:divBdr>
    </w:div>
    <w:div w:id="876702752">
      <w:bodyDiv w:val="1"/>
      <w:marLeft w:val="0"/>
      <w:marRight w:val="0"/>
      <w:marTop w:val="0"/>
      <w:marBottom w:val="0"/>
      <w:divBdr>
        <w:top w:val="none" w:sz="0" w:space="0" w:color="auto"/>
        <w:left w:val="none" w:sz="0" w:space="0" w:color="auto"/>
        <w:bottom w:val="none" w:sz="0" w:space="0" w:color="auto"/>
        <w:right w:val="none" w:sz="0" w:space="0" w:color="auto"/>
      </w:divBdr>
    </w:div>
    <w:div w:id="877619386">
      <w:bodyDiv w:val="1"/>
      <w:marLeft w:val="0"/>
      <w:marRight w:val="0"/>
      <w:marTop w:val="0"/>
      <w:marBottom w:val="0"/>
      <w:divBdr>
        <w:top w:val="none" w:sz="0" w:space="0" w:color="auto"/>
        <w:left w:val="none" w:sz="0" w:space="0" w:color="auto"/>
        <w:bottom w:val="none" w:sz="0" w:space="0" w:color="auto"/>
        <w:right w:val="none" w:sz="0" w:space="0" w:color="auto"/>
      </w:divBdr>
    </w:div>
    <w:div w:id="878051790">
      <w:bodyDiv w:val="1"/>
      <w:marLeft w:val="0"/>
      <w:marRight w:val="0"/>
      <w:marTop w:val="0"/>
      <w:marBottom w:val="0"/>
      <w:divBdr>
        <w:top w:val="none" w:sz="0" w:space="0" w:color="auto"/>
        <w:left w:val="none" w:sz="0" w:space="0" w:color="auto"/>
        <w:bottom w:val="none" w:sz="0" w:space="0" w:color="auto"/>
        <w:right w:val="none" w:sz="0" w:space="0" w:color="auto"/>
      </w:divBdr>
    </w:div>
    <w:div w:id="878201335">
      <w:bodyDiv w:val="1"/>
      <w:marLeft w:val="0"/>
      <w:marRight w:val="0"/>
      <w:marTop w:val="0"/>
      <w:marBottom w:val="0"/>
      <w:divBdr>
        <w:top w:val="none" w:sz="0" w:space="0" w:color="auto"/>
        <w:left w:val="none" w:sz="0" w:space="0" w:color="auto"/>
        <w:bottom w:val="none" w:sz="0" w:space="0" w:color="auto"/>
        <w:right w:val="none" w:sz="0" w:space="0" w:color="auto"/>
      </w:divBdr>
    </w:div>
    <w:div w:id="878277224">
      <w:bodyDiv w:val="1"/>
      <w:marLeft w:val="0"/>
      <w:marRight w:val="0"/>
      <w:marTop w:val="0"/>
      <w:marBottom w:val="0"/>
      <w:divBdr>
        <w:top w:val="none" w:sz="0" w:space="0" w:color="auto"/>
        <w:left w:val="none" w:sz="0" w:space="0" w:color="auto"/>
        <w:bottom w:val="none" w:sz="0" w:space="0" w:color="auto"/>
        <w:right w:val="none" w:sz="0" w:space="0" w:color="auto"/>
      </w:divBdr>
    </w:div>
    <w:div w:id="878323300">
      <w:bodyDiv w:val="1"/>
      <w:marLeft w:val="0"/>
      <w:marRight w:val="0"/>
      <w:marTop w:val="0"/>
      <w:marBottom w:val="0"/>
      <w:divBdr>
        <w:top w:val="none" w:sz="0" w:space="0" w:color="auto"/>
        <w:left w:val="none" w:sz="0" w:space="0" w:color="auto"/>
        <w:bottom w:val="none" w:sz="0" w:space="0" w:color="auto"/>
        <w:right w:val="none" w:sz="0" w:space="0" w:color="auto"/>
      </w:divBdr>
    </w:div>
    <w:div w:id="881089174">
      <w:bodyDiv w:val="1"/>
      <w:marLeft w:val="0"/>
      <w:marRight w:val="0"/>
      <w:marTop w:val="0"/>
      <w:marBottom w:val="0"/>
      <w:divBdr>
        <w:top w:val="none" w:sz="0" w:space="0" w:color="auto"/>
        <w:left w:val="none" w:sz="0" w:space="0" w:color="auto"/>
        <w:bottom w:val="none" w:sz="0" w:space="0" w:color="auto"/>
        <w:right w:val="none" w:sz="0" w:space="0" w:color="auto"/>
      </w:divBdr>
    </w:div>
    <w:div w:id="881282969">
      <w:bodyDiv w:val="1"/>
      <w:marLeft w:val="0"/>
      <w:marRight w:val="0"/>
      <w:marTop w:val="0"/>
      <w:marBottom w:val="0"/>
      <w:divBdr>
        <w:top w:val="none" w:sz="0" w:space="0" w:color="auto"/>
        <w:left w:val="none" w:sz="0" w:space="0" w:color="auto"/>
        <w:bottom w:val="none" w:sz="0" w:space="0" w:color="auto"/>
        <w:right w:val="none" w:sz="0" w:space="0" w:color="auto"/>
      </w:divBdr>
    </w:div>
    <w:div w:id="882402919">
      <w:bodyDiv w:val="1"/>
      <w:marLeft w:val="0"/>
      <w:marRight w:val="0"/>
      <w:marTop w:val="0"/>
      <w:marBottom w:val="0"/>
      <w:divBdr>
        <w:top w:val="none" w:sz="0" w:space="0" w:color="auto"/>
        <w:left w:val="none" w:sz="0" w:space="0" w:color="auto"/>
        <w:bottom w:val="none" w:sz="0" w:space="0" w:color="auto"/>
        <w:right w:val="none" w:sz="0" w:space="0" w:color="auto"/>
      </w:divBdr>
    </w:div>
    <w:div w:id="885528775">
      <w:bodyDiv w:val="1"/>
      <w:marLeft w:val="0"/>
      <w:marRight w:val="0"/>
      <w:marTop w:val="0"/>
      <w:marBottom w:val="0"/>
      <w:divBdr>
        <w:top w:val="none" w:sz="0" w:space="0" w:color="auto"/>
        <w:left w:val="none" w:sz="0" w:space="0" w:color="auto"/>
        <w:bottom w:val="none" w:sz="0" w:space="0" w:color="auto"/>
        <w:right w:val="none" w:sz="0" w:space="0" w:color="auto"/>
      </w:divBdr>
    </w:div>
    <w:div w:id="887381281">
      <w:bodyDiv w:val="1"/>
      <w:marLeft w:val="0"/>
      <w:marRight w:val="0"/>
      <w:marTop w:val="0"/>
      <w:marBottom w:val="0"/>
      <w:divBdr>
        <w:top w:val="none" w:sz="0" w:space="0" w:color="auto"/>
        <w:left w:val="none" w:sz="0" w:space="0" w:color="auto"/>
        <w:bottom w:val="none" w:sz="0" w:space="0" w:color="auto"/>
        <w:right w:val="none" w:sz="0" w:space="0" w:color="auto"/>
      </w:divBdr>
    </w:div>
    <w:div w:id="887910679">
      <w:bodyDiv w:val="1"/>
      <w:marLeft w:val="0"/>
      <w:marRight w:val="0"/>
      <w:marTop w:val="0"/>
      <w:marBottom w:val="0"/>
      <w:divBdr>
        <w:top w:val="none" w:sz="0" w:space="0" w:color="auto"/>
        <w:left w:val="none" w:sz="0" w:space="0" w:color="auto"/>
        <w:bottom w:val="none" w:sz="0" w:space="0" w:color="auto"/>
        <w:right w:val="none" w:sz="0" w:space="0" w:color="auto"/>
      </w:divBdr>
    </w:div>
    <w:div w:id="888346131">
      <w:bodyDiv w:val="1"/>
      <w:marLeft w:val="0"/>
      <w:marRight w:val="0"/>
      <w:marTop w:val="0"/>
      <w:marBottom w:val="0"/>
      <w:divBdr>
        <w:top w:val="none" w:sz="0" w:space="0" w:color="auto"/>
        <w:left w:val="none" w:sz="0" w:space="0" w:color="auto"/>
        <w:bottom w:val="none" w:sz="0" w:space="0" w:color="auto"/>
        <w:right w:val="none" w:sz="0" w:space="0" w:color="auto"/>
      </w:divBdr>
    </w:div>
    <w:div w:id="889338069">
      <w:bodyDiv w:val="1"/>
      <w:marLeft w:val="0"/>
      <w:marRight w:val="0"/>
      <w:marTop w:val="0"/>
      <w:marBottom w:val="0"/>
      <w:divBdr>
        <w:top w:val="none" w:sz="0" w:space="0" w:color="auto"/>
        <w:left w:val="none" w:sz="0" w:space="0" w:color="auto"/>
        <w:bottom w:val="none" w:sz="0" w:space="0" w:color="auto"/>
        <w:right w:val="none" w:sz="0" w:space="0" w:color="auto"/>
      </w:divBdr>
    </w:div>
    <w:div w:id="894320360">
      <w:bodyDiv w:val="1"/>
      <w:marLeft w:val="0"/>
      <w:marRight w:val="0"/>
      <w:marTop w:val="0"/>
      <w:marBottom w:val="0"/>
      <w:divBdr>
        <w:top w:val="none" w:sz="0" w:space="0" w:color="auto"/>
        <w:left w:val="none" w:sz="0" w:space="0" w:color="auto"/>
        <w:bottom w:val="none" w:sz="0" w:space="0" w:color="auto"/>
        <w:right w:val="none" w:sz="0" w:space="0" w:color="auto"/>
      </w:divBdr>
    </w:div>
    <w:div w:id="896745006">
      <w:bodyDiv w:val="1"/>
      <w:marLeft w:val="0"/>
      <w:marRight w:val="0"/>
      <w:marTop w:val="0"/>
      <w:marBottom w:val="0"/>
      <w:divBdr>
        <w:top w:val="none" w:sz="0" w:space="0" w:color="auto"/>
        <w:left w:val="none" w:sz="0" w:space="0" w:color="auto"/>
        <w:bottom w:val="none" w:sz="0" w:space="0" w:color="auto"/>
        <w:right w:val="none" w:sz="0" w:space="0" w:color="auto"/>
      </w:divBdr>
    </w:div>
    <w:div w:id="896745868">
      <w:bodyDiv w:val="1"/>
      <w:marLeft w:val="0"/>
      <w:marRight w:val="0"/>
      <w:marTop w:val="0"/>
      <w:marBottom w:val="0"/>
      <w:divBdr>
        <w:top w:val="none" w:sz="0" w:space="0" w:color="auto"/>
        <w:left w:val="none" w:sz="0" w:space="0" w:color="auto"/>
        <w:bottom w:val="none" w:sz="0" w:space="0" w:color="auto"/>
        <w:right w:val="none" w:sz="0" w:space="0" w:color="auto"/>
      </w:divBdr>
    </w:div>
    <w:div w:id="897012674">
      <w:bodyDiv w:val="1"/>
      <w:marLeft w:val="0"/>
      <w:marRight w:val="0"/>
      <w:marTop w:val="0"/>
      <w:marBottom w:val="0"/>
      <w:divBdr>
        <w:top w:val="none" w:sz="0" w:space="0" w:color="auto"/>
        <w:left w:val="none" w:sz="0" w:space="0" w:color="auto"/>
        <w:bottom w:val="none" w:sz="0" w:space="0" w:color="auto"/>
        <w:right w:val="none" w:sz="0" w:space="0" w:color="auto"/>
      </w:divBdr>
    </w:div>
    <w:div w:id="898639227">
      <w:bodyDiv w:val="1"/>
      <w:marLeft w:val="0"/>
      <w:marRight w:val="0"/>
      <w:marTop w:val="0"/>
      <w:marBottom w:val="0"/>
      <w:divBdr>
        <w:top w:val="none" w:sz="0" w:space="0" w:color="auto"/>
        <w:left w:val="none" w:sz="0" w:space="0" w:color="auto"/>
        <w:bottom w:val="none" w:sz="0" w:space="0" w:color="auto"/>
        <w:right w:val="none" w:sz="0" w:space="0" w:color="auto"/>
      </w:divBdr>
    </w:div>
    <w:div w:id="899367616">
      <w:bodyDiv w:val="1"/>
      <w:marLeft w:val="0"/>
      <w:marRight w:val="0"/>
      <w:marTop w:val="0"/>
      <w:marBottom w:val="0"/>
      <w:divBdr>
        <w:top w:val="none" w:sz="0" w:space="0" w:color="auto"/>
        <w:left w:val="none" w:sz="0" w:space="0" w:color="auto"/>
        <w:bottom w:val="none" w:sz="0" w:space="0" w:color="auto"/>
        <w:right w:val="none" w:sz="0" w:space="0" w:color="auto"/>
      </w:divBdr>
    </w:div>
    <w:div w:id="900674616">
      <w:bodyDiv w:val="1"/>
      <w:marLeft w:val="0"/>
      <w:marRight w:val="0"/>
      <w:marTop w:val="0"/>
      <w:marBottom w:val="0"/>
      <w:divBdr>
        <w:top w:val="none" w:sz="0" w:space="0" w:color="auto"/>
        <w:left w:val="none" w:sz="0" w:space="0" w:color="auto"/>
        <w:bottom w:val="none" w:sz="0" w:space="0" w:color="auto"/>
        <w:right w:val="none" w:sz="0" w:space="0" w:color="auto"/>
      </w:divBdr>
    </w:div>
    <w:div w:id="900746576">
      <w:bodyDiv w:val="1"/>
      <w:marLeft w:val="0"/>
      <w:marRight w:val="0"/>
      <w:marTop w:val="0"/>
      <w:marBottom w:val="0"/>
      <w:divBdr>
        <w:top w:val="none" w:sz="0" w:space="0" w:color="auto"/>
        <w:left w:val="none" w:sz="0" w:space="0" w:color="auto"/>
        <w:bottom w:val="none" w:sz="0" w:space="0" w:color="auto"/>
        <w:right w:val="none" w:sz="0" w:space="0" w:color="auto"/>
      </w:divBdr>
    </w:div>
    <w:div w:id="903217868">
      <w:bodyDiv w:val="1"/>
      <w:marLeft w:val="0"/>
      <w:marRight w:val="0"/>
      <w:marTop w:val="0"/>
      <w:marBottom w:val="0"/>
      <w:divBdr>
        <w:top w:val="none" w:sz="0" w:space="0" w:color="auto"/>
        <w:left w:val="none" w:sz="0" w:space="0" w:color="auto"/>
        <w:bottom w:val="none" w:sz="0" w:space="0" w:color="auto"/>
        <w:right w:val="none" w:sz="0" w:space="0" w:color="auto"/>
      </w:divBdr>
    </w:div>
    <w:div w:id="904073882">
      <w:bodyDiv w:val="1"/>
      <w:marLeft w:val="0"/>
      <w:marRight w:val="0"/>
      <w:marTop w:val="0"/>
      <w:marBottom w:val="0"/>
      <w:divBdr>
        <w:top w:val="none" w:sz="0" w:space="0" w:color="auto"/>
        <w:left w:val="none" w:sz="0" w:space="0" w:color="auto"/>
        <w:bottom w:val="none" w:sz="0" w:space="0" w:color="auto"/>
        <w:right w:val="none" w:sz="0" w:space="0" w:color="auto"/>
      </w:divBdr>
    </w:div>
    <w:div w:id="904753922">
      <w:bodyDiv w:val="1"/>
      <w:marLeft w:val="0"/>
      <w:marRight w:val="0"/>
      <w:marTop w:val="0"/>
      <w:marBottom w:val="0"/>
      <w:divBdr>
        <w:top w:val="none" w:sz="0" w:space="0" w:color="auto"/>
        <w:left w:val="none" w:sz="0" w:space="0" w:color="auto"/>
        <w:bottom w:val="none" w:sz="0" w:space="0" w:color="auto"/>
        <w:right w:val="none" w:sz="0" w:space="0" w:color="auto"/>
      </w:divBdr>
    </w:div>
    <w:div w:id="905065973">
      <w:bodyDiv w:val="1"/>
      <w:marLeft w:val="0"/>
      <w:marRight w:val="0"/>
      <w:marTop w:val="0"/>
      <w:marBottom w:val="0"/>
      <w:divBdr>
        <w:top w:val="none" w:sz="0" w:space="0" w:color="auto"/>
        <w:left w:val="none" w:sz="0" w:space="0" w:color="auto"/>
        <w:bottom w:val="none" w:sz="0" w:space="0" w:color="auto"/>
        <w:right w:val="none" w:sz="0" w:space="0" w:color="auto"/>
      </w:divBdr>
    </w:div>
    <w:div w:id="905919182">
      <w:bodyDiv w:val="1"/>
      <w:marLeft w:val="0"/>
      <w:marRight w:val="0"/>
      <w:marTop w:val="0"/>
      <w:marBottom w:val="0"/>
      <w:divBdr>
        <w:top w:val="none" w:sz="0" w:space="0" w:color="auto"/>
        <w:left w:val="none" w:sz="0" w:space="0" w:color="auto"/>
        <w:bottom w:val="none" w:sz="0" w:space="0" w:color="auto"/>
        <w:right w:val="none" w:sz="0" w:space="0" w:color="auto"/>
      </w:divBdr>
    </w:div>
    <w:div w:id="906768913">
      <w:bodyDiv w:val="1"/>
      <w:marLeft w:val="0"/>
      <w:marRight w:val="0"/>
      <w:marTop w:val="0"/>
      <w:marBottom w:val="0"/>
      <w:divBdr>
        <w:top w:val="none" w:sz="0" w:space="0" w:color="auto"/>
        <w:left w:val="none" w:sz="0" w:space="0" w:color="auto"/>
        <w:bottom w:val="none" w:sz="0" w:space="0" w:color="auto"/>
        <w:right w:val="none" w:sz="0" w:space="0" w:color="auto"/>
      </w:divBdr>
    </w:div>
    <w:div w:id="908006314">
      <w:bodyDiv w:val="1"/>
      <w:marLeft w:val="0"/>
      <w:marRight w:val="0"/>
      <w:marTop w:val="0"/>
      <w:marBottom w:val="0"/>
      <w:divBdr>
        <w:top w:val="none" w:sz="0" w:space="0" w:color="auto"/>
        <w:left w:val="none" w:sz="0" w:space="0" w:color="auto"/>
        <w:bottom w:val="none" w:sz="0" w:space="0" w:color="auto"/>
        <w:right w:val="none" w:sz="0" w:space="0" w:color="auto"/>
      </w:divBdr>
    </w:div>
    <w:div w:id="908420219">
      <w:bodyDiv w:val="1"/>
      <w:marLeft w:val="0"/>
      <w:marRight w:val="0"/>
      <w:marTop w:val="0"/>
      <w:marBottom w:val="0"/>
      <w:divBdr>
        <w:top w:val="none" w:sz="0" w:space="0" w:color="auto"/>
        <w:left w:val="none" w:sz="0" w:space="0" w:color="auto"/>
        <w:bottom w:val="none" w:sz="0" w:space="0" w:color="auto"/>
        <w:right w:val="none" w:sz="0" w:space="0" w:color="auto"/>
      </w:divBdr>
    </w:div>
    <w:div w:id="908921443">
      <w:bodyDiv w:val="1"/>
      <w:marLeft w:val="0"/>
      <w:marRight w:val="0"/>
      <w:marTop w:val="0"/>
      <w:marBottom w:val="0"/>
      <w:divBdr>
        <w:top w:val="none" w:sz="0" w:space="0" w:color="auto"/>
        <w:left w:val="none" w:sz="0" w:space="0" w:color="auto"/>
        <w:bottom w:val="none" w:sz="0" w:space="0" w:color="auto"/>
        <w:right w:val="none" w:sz="0" w:space="0" w:color="auto"/>
      </w:divBdr>
    </w:div>
    <w:div w:id="909385171">
      <w:bodyDiv w:val="1"/>
      <w:marLeft w:val="0"/>
      <w:marRight w:val="0"/>
      <w:marTop w:val="0"/>
      <w:marBottom w:val="0"/>
      <w:divBdr>
        <w:top w:val="none" w:sz="0" w:space="0" w:color="auto"/>
        <w:left w:val="none" w:sz="0" w:space="0" w:color="auto"/>
        <w:bottom w:val="none" w:sz="0" w:space="0" w:color="auto"/>
        <w:right w:val="none" w:sz="0" w:space="0" w:color="auto"/>
      </w:divBdr>
    </w:div>
    <w:div w:id="910387052">
      <w:bodyDiv w:val="1"/>
      <w:marLeft w:val="0"/>
      <w:marRight w:val="0"/>
      <w:marTop w:val="0"/>
      <w:marBottom w:val="0"/>
      <w:divBdr>
        <w:top w:val="none" w:sz="0" w:space="0" w:color="auto"/>
        <w:left w:val="none" w:sz="0" w:space="0" w:color="auto"/>
        <w:bottom w:val="none" w:sz="0" w:space="0" w:color="auto"/>
        <w:right w:val="none" w:sz="0" w:space="0" w:color="auto"/>
      </w:divBdr>
    </w:div>
    <w:div w:id="911236857">
      <w:bodyDiv w:val="1"/>
      <w:marLeft w:val="0"/>
      <w:marRight w:val="0"/>
      <w:marTop w:val="0"/>
      <w:marBottom w:val="0"/>
      <w:divBdr>
        <w:top w:val="none" w:sz="0" w:space="0" w:color="auto"/>
        <w:left w:val="none" w:sz="0" w:space="0" w:color="auto"/>
        <w:bottom w:val="none" w:sz="0" w:space="0" w:color="auto"/>
        <w:right w:val="none" w:sz="0" w:space="0" w:color="auto"/>
      </w:divBdr>
    </w:div>
    <w:div w:id="913442071">
      <w:bodyDiv w:val="1"/>
      <w:marLeft w:val="0"/>
      <w:marRight w:val="0"/>
      <w:marTop w:val="0"/>
      <w:marBottom w:val="0"/>
      <w:divBdr>
        <w:top w:val="none" w:sz="0" w:space="0" w:color="auto"/>
        <w:left w:val="none" w:sz="0" w:space="0" w:color="auto"/>
        <w:bottom w:val="none" w:sz="0" w:space="0" w:color="auto"/>
        <w:right w:val="none" w:sz="0" w:space="0" w:color="auto"/>
      </w:divBdr>
    </w:div>
    <w:div w:id="914701737">
      <w:bodyDiv w:val="1"/>
      <w:marLeft w:val="0"/>
      <w:marRight w:val="0"/>
      <w:marTop w:val="0"/>
      <w:marBottom w:val="0"/>
      <w:divBdr>
        <w:top w:val="none" w:sz="0" w:space="0" w:color="auto"/>
        <w:left w:val="none" w:sz="0" w:space="0" w:color="auto"/>
        <w:bottom w:val="none" w:sz="0" w:space="0" w:color="auto"/>
        <w:right w:val="none" w:sz="0" w:space="0" w:color="auto"/>
      </w:divBdr>
    </w:div>
    <w:div w:id="915361409">
      <w:bodyDiv w:val="1"/>
      <w:marLeft w:val="0"/>
      <w:marRight w:val="0"/>
      <w:marTop w:val="0"/>
      <w:marBottom w:val="0"/>
      <w:divBdr>
        <w:top w:val="none" w:sz="0" w:space="0" w:color="auto"/>
        <w:left w:val="none" w:sz="0" w:space="0" w:color="auto"/>
        <w:bottom w:val="none" w:sz="0" w:space="0" w:color="auto"/>
        <w:right w:val="none" w:sz="0" w:space="0" w:color="auto"/>
      </w:divBdr>
    </w:div>
    <w:div w:id="916863063">
      <w:bodyDiv w:val="1"/>
      <w:marLeft w:val="0"/>
      <w:marRight w:val="0"/>
      <w:marTop w:val="0"/>
      <w:marBottom w:val="0"/>
      <w:divBdr>
        <w:top w:val="none" w:sz="0" w:space="0" w:color="auto"/>
        <w:left w:val="none" w:sz="0" w:space="0" w:color="auto"/>
        <w:bottom w:val="none" w:sz="0" w:space="0" w:color="auto"/>
        <w:right w:val="none" w:sz="0" w:space="0" w:color="auto"/>
      </w:divBdr>
    </w:div>
    <w:div w:id="918827903">
      <w:bodyDiv w:val="1"/>
      <w:marLeft w:val="0"/>
      <w:marRight w:val="0"/>
      <w:marTop w:val="0"/>
      <w:marBottom w:val="0"/>
      <w:divBdr>
        <w:top w:val="none" w:sz="0" w:space="0" w:color="auto"/>
        <w:left w:val="none" w:sz="0" w:space="0" w:color="auto"/>
        <w:bottom w:val="none" w:sz="0" w:space="0" w:color="auto"/>
        <w:right w:val="none" w:sz="0" w:space="0" w:color="auto"/>
      </w:divBdr>
    </w:div>
    <w:div w:id="920606504">
      <w:bodyDiv w:val="1"/>
      <w:marLeft w:val="0"/>
      <w:marRight w:val="0"/>
      <w:marTop w:val="0"/>
      <w:marBottom w:val="0"/>
      <w:divBdr>
        <w:top w:val="none" w:sz="0" w:space="0" w:color="auto"/>
        <w:left w:val="none" w:sz="0" w:space="0" w:color="auto"/>
        <w:bottom w:val="none" w:sz="0" w:space="0" w:color="auto"/>
        <w:right w:val="none" w:sz="0" w:space="0" w:color="auto"/>
      </w:divBdr>
    </w:div>
    <w:div w:id="922102188">
      <w:bodyDiv w:val="1"/>
      <w:marLeft w:val="0"/>
      <w:marRight w:val="0"/>
      <w:marTop w:val="0"/>
      <w:marBottom w:val="0"/>
      <w:divBdr>
        <w:top w:val="none" w:sz="0" w:space="0" w:color="auto"/>
        <w:left w:val="none" w:sz="0" w:space="0" w:color="auto"/>
        <w:bottom w:val="none" w:sz="0" w:space="0" w:color="auto"/>
        <w:right w:val="none" w:sz="0" w:space="0" w:color="auto"/>
      </w:divBdr>
    </w:div>
    <w:div w:id="922909751">
      <w:bodyDiv w:val="1"/>
      <w:marLeft w:val="0"/>
      <w:marRight w:val="0"/>
      <w:marTop w:val="0"/>
      <w:marBottom w:val="0"/>
      <w:divBdr>
        <w:top w:val="none" w:sz="0" w:space="0" w:color="auto"/>
        <w:left w:val="none" w:sz="0" w:space="0" w:color="auto"/>
        <w:bottom w:val="none" w:sz="0" w:space="0" w:color="auto"/>
        <w:right w:val="none" w:sz="0" w:space="0" w:color="auto"/>
      </w:divBdr>
    </w:div>
    <w:div w:id="923302951">
      <w:bodyDiv w:val="1"/>
      <w:marLeft w:val="0"/>
      <w:marRight w:val="0"/>
      <w:marTop w:val="0"/>
      <w:marBottom w:val="0"/>
      <w:divBdr>
        <w:top w:val="none" w:sz="0" w:space="0" w:color="auto"/>
        <w:left w:val="none" w:sz="0" w:space="0" w:color="auto"/>
        <w:bottom w:val="none" w:sz="0" w:space="0" w:color="auto"/>
        <w:right w:val="none" w:sz="0" w:space="0" w:color="auto"/>
      </w:divBdr>
    </w:div>
    <w:div w:id="924807329">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
    <w:div w:id="926351945">
      <w:bodyDiv w:val="1"/>
      <w:marLeft w:val="0"/>
      <w:marRight w:val="0"/>
      <w:marTop w:val="0"/>
      <w:marBottom w:val="0"/>
      <w:divBdr>
        <w:top w:val="none" w:sz="0" w:space="0" w:color="auto"/>
        <w:left w:val="none" w:sz="0" w:space="0" w:color="auto"/>
        <w:bottom w:val="none" w:sz="0" w:space="0" w:color="auto"/>
        <w:right w:val="none" w:sz="0" w:space="0" w:color="auto"/>
      </w:divBdr>
    </w:div>
    <w:div w:id="927424840">
      <w:bodyDiv w:val="1"/>
      <w:marLeft w:val="0"/>
      <w:marRight w:val="0"/>
      <w:marTop w:val="0"/>
      <w:marBottom w:val="0"/>
      <w:divBdr>
        <w:top w:val="none" w:sz="0" w:space="0" w:color="auto"/>
        <w:left w:val="none" w:sz="0" w:space="0" w:color="auto"/>
        <w:bottom w:val="none" w:sz="0" w:space="0" w:color="auto"/>
        <w:right w:val="none" w:sz="0" w:space="0" w:color="auto"/>
      </w:divBdr>
    </w:div>
    <w:div w:id="929198450">
      <w:bodyDiv w:val="1"/>
      <w:marLeft w:val="0"/>
      <w:marRight w:val="0"/>
      <w:marTop w:val="0"/>
      <w:marBottom w:val="0"/>
      <w:divBdr>
        <w:top w:val="none" w:sz="0" w:space="0" w:color="auto"/>
        <w:left w:val="none" w:sz="0" w:space="0" w:color="auto"/>
        <w:bottom w:val="none" w:sz="0" w:space="0" w:color="auto"/>
        <w:right w:val="none" w:sz="0" w:space="0" w:color="auto"/>
      </w:divBdr>
    </w:div>
    <w:div w:id="932668586">
      <w:bodyDiv w:val="1"/>
      <w:marLeft w:val="0"/>
      <w:marRight w:val="0"/>
      <w:marTop w:val="0"/>
      <w:marBottom w:val="0"/>
      <w:divBdr>
        <w:top w:val="none" w:sz="0" w:space="0" w:color="auto"/>
        <w:left w:val="none" w:sz="0" w:space="0" w:color="auto"/>
        <w:bottom w:val="none" w:sz="0" w:space="0" w:color="auto"/>
        <w:right w:val="none" w:sz="0" w:space="0" w:color="auto"/>
      </w:divBdr>
    </w:div>
    <w:div w:id="932977886">
      <w:bodyDiv w:val="1"/>
      <w:marLeft w:val="0"/>
      <w:marRight w:val="0"/>
      <w:marTop w:val="0"/>
      <w:marBottom w:val="0"/>
      <w:divBdr>
        <w:top w:val="none" w:sz="0" w:space="0" w:color="auto"/>
        <w:left w:val="none" w:sz="0" w:space="0" w:color="auto"/>
        <w:bottom w:val="none" w:sz="0" w:space="0" w:color="auto"/>
        <w:right w:val="none" w:sz="0" w:space="0" w:color="auto"/>
      </w:divBdr>
    </w:div>
    <w:div w:id="935134023">
      <w:bodyDiv w:val="1"/>
      <w:marLeft w:val="0"/>
      <w:marRight w:val="0"/>
      <w:marTop w:val="0"/>
      <w:marBottom w:val="0"/>
      <w:divBdr>
        <w:top w:val="none" w:sz="0" w:space="0" w:color="auto"/>
        <w:left w:val="none" w:sz="0" w:space="0" w:color="auto"/>
        <w:bottom w:val="none" w:sz="0" w:space="0" w:color="auto"/>
        <w:right w:val="none" w:sz="0" w:space="0" w:color="auto"/>
      </w:divBdr>
    </w:div>
    <w:div w:id="936016064">
      <w:bodyDiv w:val="1"/>
      <w:marLeft w:val="0"/>
      <w:marRight w:val="0"/>
      <w:marTop w:val="0"/>
      <w:marBottom w:val="0"/>
      <w:divBdr>
        <w:top w:val="none" w:sz="0" w:space="0" w:color="auto"/>
        <w:left w:val="none" w:sz="0" w:space="0" w:color="auto"/>
        <w:bottom w:val="none" w:sz="0" w:space="0" w:color="auto"/>
        <w:right w:val="none" w:sz="0" w:space="0" w:color="auto"/>
      </w:divBdr>
    </w:div>
    <w:div w:id="936058703">
      <w:bodyDiv w:val="1"/>
      <w:marLeft w:val="0"/>
      <w:marRight w:val="0"/>
      <w:marTop w:val="0"/>
      <w:marBottom w:val="0"/>
      <w:divBdr>
        <w:top w:val="none" w:sz="0" w:space="0" w:color="auto"/>
        <w:left w:val="none" w:sz="0" w:space="0" w:color="auto"/>
        <w:bottom w:val="none" w:sz="0" w:space="0" w:color="auto"/>
        <w:right w:val="none" w:sz="0" w:space="0" w:color="auto"/>
      </w:divBdr>
    </w:div>
    <w:div w:id="936519177">
      <w:bodyDiv w:val="1"/>
      <w:marLeft w:val="0"/>
      <w:marRight w:val="0"/>
      <w:marTop w:val="0"/>
      <w:marBottom w:val="0"/>
      <w:divBdr>
        <w:top w:val="none" w:sz="0" w:space="0" w:color="auto"/>
        <w:left w:val="none" w:sz="0" w:space="0" w:color="auto"/>
        <w:bottom w:val="none" w:sz="0" w:space="0" w:color="auto"/>
        <w:right w:val="none" w:sz="0" w:space="0" w:color="auto"/>
      </w:divBdr>
    </w:div>
    <w:div w:id="936522781">
      <w:bodyDiv w:val="1"/>
      <w:marLeft w:val="0"/>
      <w:marRight w:val="0"/>
      <w:marTop w:val="0"/>
      <w:marBottom w:val="0"/>
      <w:divBdr>
        <w:top w:val="none" w:sz="0" w:space="0" w:color="auto"/>
        <w:left w:val="none" w:sz="0" w:space="0" w:color="auto"/>
        <w:bottom w:val="none" w:sz="0" w:space="0" w:color="auto"/>
        <w:right w:val="none" w:sz="0" w:space="0" w:color="auto"/>
      </w:divBdr>
    </w:div>
    <w:div w:id="936713676">
      <w:bodyDiv w:val="1"/>
      <w:marLeft w:val="0"/>
      <w:marRight w:val="0"/>
      <w:marTop w:val="0"/>
      <w:marBottom w:val="0"/>
      <w:divBdr>
        <w:top w:val="none" w:sz="0" w:space="0" w:color="auto"/>
        <w:left w:val="none" w:sz="0" w:space="0" w:color="auto"/>
        <w:bottom w:val="none" w:sz="0" w:space="0" w:color="auto"/>
        <w:right w:val="none" w:sz="0" w:space="0" w:color="auto"/>
      </w:divBdr>
    </w:div>
    <w:div w:id="937450637">
      <w:bodyDiv w:val="1"/>
      <w:marLeft w:val="0"/>
      <w:marRight w:val="0"/>
      <w:marTop w:val="0"/>
      <w:marBottom w:val="0"/>
      <w:divBdr>
        <w:top w:val="none" w:sz="0" w:space="0" w:color="auto"/>
        <w:left w:val="none" w:sz="0" w:space="0" w:color="auto"/>
        <w:bottom w:val="none" w:sz="0" w:space="0" w:color="auto"/>
        <w:right w:val="none" w:sz="0" w:space="0" w:color="auto"/>
      </w:divBdr>
    </w:div>
    <w:div w:id="938440787">
      <w:bodyDiv w:val="1"/>
      <w:marLeft w:val="0"/>
      <w:marRight w:val="0"/>
      <w:marTop w:val="0"/>
      <w:marBottom w:val="0"/>
      <w:divBdr>
        <w:top w:val="none" w:sz="0" w:space="0" w:color="auto"/>
        <w:left w:val="none" w:sz="0" w:space="0" w:color="auto"/>
        <w:bottom w:val="none" w:sz="0" w:space="0" w:color="auto"/>
        <w:right w:val="none" w:sz="0" w:space="0" w:color="auto"/>
      </w:divBdr>
    </w:div>
    <w:div w:id="947589078">
      <w:bodyDiv w:val="1"/>
      <w:marLeft w:val="0"/>
      <w:marRight w:val="0"/>
      <w:marTop w:val="0"/>
      <w:marBottom w:val="0"/>
      <w:divBdr>
        <w:top w:val="none" w:sz="0" w:space="0" w:color="auto"/>
        <w:left w:val="none" w:sz="0" w:space="0" w:color="auto"/>
        <w:bottom w:val="none" w:sz="0" w:space="0" w:color="auto"/>
        <w:right w:val="none" w:sz="0" w:space="0" w:color="auto"/>
      </w:divBdr>
    </w:div>
    <w:div w:id="952244863">
      <w:bodyDiv w:val="1"/>
      <w:marLeft w:val="0"/>
      <w:marRight w:val="0"/>
      <w:marTop w:val="0"/>
      <w:marBottom w:val="0"/>
      <w:divBdr>
        <w:top w:val="none" w:sz="0" w:space="0" w:color="auto"/>
        <w:left w:val="none" w:sz="0" w:space="0" w:color="auto"/>
        <w:bottom w:val="none" w:sz="0" w:space="0" w:color="auto"/>
        <w:right w:val="none" w:sz="0" w:space="0" w:color="auto"/>
      </w:divBdr>
    </w:div>
    <w:div w:id="953174052">
      <w:bodyDiv w:val="1"/>
      <w:marLeft w:val="0"/>
      <w:marRight w:val="0"/>
      <w:marTop w:val="0"/>
      <w:marBottom w:val="0"/>
      <w:divBdr>
        <w:top w:val="none" w:sz="0" w:space="0" w:color="auto"/>
        <w:left w:val="none" w:sz="0" w:space="0" w:color="auto"/>
        <w:bottom w:val="none" w:sz="0" w:space="0" w:color="auto"/>
        <w:right w:val="none" w:sz="0" w:space="0" w:color="auto"/>
      </w:divBdr>
    </w:div>
    <w:div w:id="954285699">
      <w:bodyDiv w:val="1"/>
      <w:marLeft w:val="0"/>
      <w:marRight w:val="0"/>
      <w:marTop w:val="0"/>
      <w:marBottom w:val="0"/>
      <w:divBdr>
        <w:top w:val="none" w:sz="0" w:space="0" w:color="auto"/>
        <w:left w:val="none" w:sz="0" w:space="0" w:color="auto"/>
        <w:bottom w:val="none" w:sz="0" w:space="0" w:color="auto"/>
        <w:right w:val="none" w:sz="0" w:space="0" w:color="auto"/>
      </w:divBdr>
    </w:div>
    <w:div w:id="957492863">
      <w:bodyDiv w:val="1"/>
      <w:marLeft w:val="0"/>
      <w:marRight w:val="0"/>
      <w:marTop w:val="0"/>
      <w:marBottom w:val="0"/>
      <w:divBdr>
        <w:top w:val="none" w:sz="0" w:space="0" w:color="auto"/>
        <w:left w:val="none" w:sz="0" w:space="0" w:color="auto"/>
        <w:bottom w:val="none" w:sz="0" w:space="0" w:color="auto"/>
        <w:right w:val="none" w:sz="0" w:space="0" w:color="auto"/>
      </w:divBdr>
    </w:div>
    <w:div w:id="961692517">
      <w:bodyDiv w:val="1"/>
      <w:marLeft w:val="0"/>
      <w:marRight w:val="0"/>
      <w:marTop w:val="0"/>
      <w:marBottom w:val="0"/>
      <w:divBdr>
        <w:top w:val="none" w:sz="0" w:space="0" w:color="auto"/>
        <w:left w:val="none" w:sz="0" w:space="0" w:color="auto"/>
        <w:bottom w:val="none" w:sz="0" w:space="0" w:color="auto"/>
        <w:right w:val="none" w:sz="0" w:space="0" w:color="auto"/>
      </w:divBdr>
    </w:div>
    <w:div w:id="963195761">
      <w:bodyDiv w:val="1"/>
      <w:marLeft w:val="0"/>
      <w:marRight w:val="0"/>
      <w:marTop w:val="0"/>
      <w:marBottom w:val="0"/>
      <w:divBdr>
        <w:top w:val="none" w:sz="0" w:space="0" w:color="auto"/>
        <w:left w:val="none" w:sz="0" w:space="0" w:color="auto"/>
        <w:bottom w:val="none" w:sz="0" w:space="0" w:color="auto"/>
        <w:right w:val="none" w:sz="0" w:space="0" w:color="auto"/>
      </w:divBdr>
    </w:div>
    <w:div w:id="963734945">
      <w:bodyDiv w:val="1"/>
      <w:marLeft w:val="0"/>
      <w:marRight w:val="0"/>
      <w:marTop w:val="0"/>
      <w:marBottom w:val="0"/>
      <w:divBdr>
        <w:top w:val="none" w:sz="0" w:space="0" w:color="auto"/>
        <w:left w:val="none" w:sz="0" w:space="0" w:color="auto"/>
        <w:bottom w:val="none" w:sz="0" w:space="0" w:color="auto"/>
        <w:right w:val="none" w:sz="0" w:space="0" w:color="auto"/>
      </w:divBdr>
    </w:div>
    <w:div w:id="964122217">
      <w:bodyDiv w:val="1"/>
      <w:marLeft w:val="0"/>
      <w:marRight w:val="0"/>
      <w:marTop w:val="0"/>
      <w:marBottom w:val="0"/>
      <w:divBdr>
        <w:top w:val="none" w:sz="0" w:space="0" w:color="auto"/>
        <w:left w:val="none" w:sz="0" w:space="0" w:color="auto"/>
        <w:bottom w:val="none" w:sz="0" w:space="0" w:color="auto"/>
        <w:right w:val="none" w:sz="0" w:space="0" w:color="auto"/>
      </w:divBdr>
    </w:div>
    <w:div w:id="964585178">
      <w:bodyDiv w:val="1"/>
      <w:marLeft w:val="0"/>
      <w:marRight w:val="0"/>
      <w:marTop w:val="0"/>
      <w:marBottom w:val="0"/>
      <w:divBdr>
        <w:top w:val="none" w:sz="0" w:space="0" w:color="auto"/>
        <w:left w:val="none" w:sz="0" w:space="0" w:color="auto"/>
        <w:bottom w:val="none" w:sz="0" w:space="0" w:color="auto"/>
        <w:right w:val="none" w:sz="0" w:space="0" w:color="auto"/>
      </w:divBdr>
    </w:div>
    <w:div w:id="964964738">
      <w:bodyDiv w:val="1"/>
      <w:marLeft w:val="0"/>
      <w:marRight w:val="0"/>
      <w:marTop w:val="0"/>
      <w:marBottom w:val="0"/>
      <w:divBdr>
        <w:top w:val="none" w:sz="0" w:space="0" w:color="auto"/>
        <w:left w:val="none" w:sz="0" w:space="0" w:color="auto"/>
        <w:bottom w:val="none" w:sz="0" w:space="0" w:color="auto"/>
        <w:right w:val="none" w:sz="0" w:space="0" w:color="auto"/>
      </w:divBdr>
    </w:div>
    <w:div w:id="965308465">
      <w:bodyDiv w:val="1"/>
      <w:marLeft w:val="0"/>
      <w:marRight w:val="0"/>
      <w:marTop w:val="0"/>
      <w:marBottom w:val="0"/>
      <w:divBdr>
        <w:top w:val="none" w:sz="0" w:space="0" w:color="auto"/>
        <w:left w:val="none" w:sz="0" w:space="0" w:color="auto"/>
        <w:bottom w:val="none" w:sz="0" w:space="0" w:color="auto"/>
        <w:right w:val="none" w:sz="0" w:space="0" w:color="auto"/>
      </w:divBdr>
    </w:div>
    <w:div w:id="965811247">
      <w:bodyDiv w:val="1"/>
      <w:marLeft w:val="0"/>
      <w:marRight w:val="0"/>
      <w:marTop w:val="0"/>
      <w:marBottom w:val="0"/>
      <w:divBdr>
        <w:top w:val="none" w:sz="0" w:space="0" w:color="auto"/>
        <w:left w:val="none" w:sz="0" w:space="0" w:color="auto"/>
        <w:bottom w:val="none" w:sz="0" w:space="0" w:color="auto"/>
        <w:right w:val="none" w:sz="0" w:space="0" w:color="auto"/>
      </w:divBdr>
    </w:div>
    <w:div w:id="965887027">
      <w:bodyDiv w:val="1"/>
      <w:marLeft w:val="0"/>
      <w:marRight w:val="0"/>
      <w:marTop w:val="0"/>
      <w:marBottom w:val="0"/>
      <w:divBdr>
        <w:top w:val="none" w:sz="0" w:space="0" w:color="auto"/>
        <w:left w:val="none" w:sz="0" w:space="0" w:color="auto"/>
        <w:bottom w:val="none" w:sz="0" w:space="0" w:color="auto"/>
        <w:right w:val="none" w:sz="0" w:space="0" w:color="auto"/>
      </w:divBdr>
    </w:div>
    <w:div w:id="966010383">
      <w:bodyDiv w:val="1"/>
      <w:marLeft w:val="0"/>
      <w:marRight w:val="0"/>
      <w:marTop w:val="0"/>
      <w:marBottom w:val="0"/>
      <w:divBdr>
        <w:top w:val="none" w:sz="0" w:space="0" w:color="auto"/>
        <w:left w:val="none" w:sz="0" w:space="0" w:color="auto"/>
        <w:bottom w:val="none" w:sz="0" w:space="0" w:color="auto"/>
        <w:right w:val="none" w:sz="0" w:space="0" w:color="auto"/>
      </w:divBdr>
    </w:div>
    <w:div w:id="966086196">
      <w:bodyDiv w:val="1"/>
      <w:marLeft w:val="0"/>
      <w:marRight w:val="0"/>
      <w:marTop w:val="0"/>
      <w:marBottom w:val="0"/>
      <w:divBdr>
        <w:top w:val="none" w:sz="0" w:space="0" w:color="auto"/>
        <w:left w:val="none" w:sz="0" w:space="0" w:color="auto"/>
        <w:bottom w:val="none" w:sz="0" w:space="0" w:color="auto"/>
        <w:right w:val="none" w:sz="0" w:space="0" w:color="auto"/>
      </w:divBdr>
    </w:div>
    <w:div w:id="966396144">
      <w:bodyDiv w:val="1"/>
      <w:marLeft w:val="0"/>
      <w:marRight w:val="0"/>
      <w:marTop w:val="0"/>
      <w:marBottom w:val="0"/>
      <w:divBdr>
        <w:top w:val="none" w:sz="0" w:space="0" w:color="auto"/>
        <w:left w:val="none" w:sz="0" w:space="0" w:color="auto"/>
        <w:bottom w:val="none" w:sz="0" w:space="0" w:color="auto"/>
        <w:right w:val="none" w:sz="0" w:space="0" w:color="auto"/>
      </w:divBdr>
    </w:div>
    <w:div w:id="971130748">
      <w:bodyDiv w:val="1"/>
      <w:marLeft w:val="0"/>
      <w:marRight w:val="0"/>
      <w:marTop w:val="0"/>
      <w:marBottom w:val="0"/>
      <w:divBdr>
        <w:top w:val="none" w:sz="0" w:space="0" w:color="auto"/>
        <w:left w:val="none" w:sz="0" w:space="0" w:color="auto"/>
        <w:bottom w:val="none" w:sz="0" w:space="0" w:color="auto"/>
        <w:right w:val="none" w:sz="0" w:space="0" w:color="auto"/>
      </w:divBdr>
    </w:div>
    <w:div w:id="974598452">
      <w:bodyDiv w:val="1"/>
      <w:marLeft w:val="0"/>
      <w:marRight w:val="0"/>
      <w:marTop w:val="0"/>
      <w:marBottom w:val="0"/>
      <w:divBdr>
        <w:top w:val="none" w:sz="0" w:space="0" w:color="auto"/>
        <w:left w:val="none" w:sz="0" w:space="0" w:color="auto"/>
        <w:bottom w:val="none" w:sz="0" w:space="0" w:color="auto"/>
        <w:right w:val="none" w:sz="0" w:space="0" w:color="auto"/>
      </w:divBdr>
    </w:div>
    <w:div w:id="975641212">
      <w:bodyDiv w:val="1"/>
      <w:marLeft w:val="0"/>
      <w:marRight w:val="0"/>
      <w:marTop w:val="0"/>
      <w:marBottom w:val="0"/>
      <w:divBdr>
        <w:top w:val="none" w:sz="0" w:space="0" w:color="auto"/>
        <w:left w:val="none" w:sz="0" w:space="0" w:color="auto"/>
        <w:bottom w:val="none" w:sz="0" w:space="0" w:color="auto"/>
        <w:right w:val="none" w:sz="0" w:space="0" w:color="auto"/>
      </w:divBdr>
    </w:div>
    <w:div w:id="976034469">
      <w:bodyDiv w:val="1"/>
      <w:marLeft w:val="0"/>
      <w:marRight w:val="0"/>
      <w:marTop w:val="0"/>
      <w:marBottom w:val="0"/>
      <w:divBdr>
        <w:top w:val="none" w:sz="0" w:space="0" w:color="auto"/>
        <w:left w:val="none" w:sz="0" w:space="0" w:color="auto"/>
        <w:bottom w:val="none" w:sz="0" w:space="0" w:color="auto"/>
        <w:right w:val="none" w:sz="0" w:space="0" w:color="auto"/>
      </w:divBdr>
    </w:div>
    <w:div w:id="976645970">
      <w:bodyDiv w:val="1"/>
      <w:marLeft w:val="0"/>
      <w:marRight w:val="0"/>
      <w:marTop w:val="0"/>
      <w:marBottom w:val="0"/>
      <w:divBdr>
        <w:top w:val="none" w:sz="0" w:space="0" w:color="auto"/>
        <w:left w:val="none" w:sz="0" w:space="0" w:color="auto"/>
        <w:bottom w:val="none" w:sz="0" w:space="0" w:color="auto"/>
        <w:right w:val="none" w:sz="0" w:space="0" w:color="auto"/>
      </w:divBdr>
    </w:div>
    <w:div w:id="978801077">
      <w:bodyDiv w:val="1"/>
      <w:marLeft w:val="0"/>
      <w:marRight w:val="0"/>
      <w:marTop w:val="0"/>
      <w:marBottom w:val="0"/>
      <w:divBdr>
        <w:top w:val="none" w:sz="0" w:space="0" w:color="auto"/>
        <w:left w:val="none" w:sz="0" w:space="0" w:color="auto"/>
        <w:bottom w:val="none" w:sz="0" w:space="0" w:color="auto"/>
        <w:right w:val="none" w:sz="0" w:space="0" w:color="auto"/>
      </w:divBdr>
    </w:div>
    <w:div w:id="979501125">
      <w:bodyDiv w:val="1"/>
      <w:marLeft w:val="0"/>
      <w:marRight w:val="0"/>
      <w:marTop w:val="0"/>
      <w:marBottom w:val="0"/>
      <w:divBdr>
        <w:top w:val="none" w:sz="0" w:space="0" w:color="auto"/>
        <w:left w:val="none" w:sz="0" w:space="0" w:color="auto"/>
        <w:bottom w:val="none" w:sz="0" w:space="0" w:color="auto"/>
        <w:right w:val="none" w:sz="0" w:space="0" w:color="auto"/>
      </w:divBdr>
    </w:div>
    <w:div w:id="979920539">
      <w:bodyDiv w:val="1"/>
      <w:marLeft w:val="0"/>
      <w:marRight w:val="0"/>
      <w:marTop w:val="0"/>
      <w:marBottom w:val="0"/>
      <w:divBdr>
        <w:top w:val="none" w:sz="0" w:space="0" w:color="auto"/>
        <w:left w:val="none" w:sz="0" w:space="0" w:color="auto"/>
        <w:bottom w:val="none" w:sz="0" w:space="0" w:color="auto"/>
        <w:right w:val="none" w:sz="0" w:space="0" w:color="auto"/>
      </w:divBdr>
    </w:div>
    <w:div w:id="980227796">
      <w:bodyDiv w:val="1"/>
      <w:marLeft w:val="0"/>
      <w:marRight w:val="0"/>
      <w:marTop w:val="0"/>
      <w:marBottom w:val="0"/>
      <w:divBdr>
        <w:top w:val="none" w:sz="0" w:space="0" w:color="auto"/>
        <w:left w:val="none" w:sz="0" w:space="0" w:color="auto"/>
        <w:bottom w:val="none" w:sz="0" w:space="0" w:color="auto"/>
        <w:right w:val="none" w:sz="0" w:space="0" w:color="auto"/>
      </w:divBdr>
    </w:div>
    <w:div w:id="980498400">
      <w:bodyDiv w:val="1"/>
      <w:marLeft w:val="0"/>
      <w:marRight w:val="0"/>
      <w:marTop w:val="0"/>
      <w:marBottom w:val="0"/>
      <w:divBdr>
        <w:top w:val="none" w:sz="0" w:space="0" w:color="auto"/>
        <w:left w:val="none" w:sz="0" w:space="0" w:color="auto"/>
        <w:bottom w:val="none" w:sz="0" w:space="0" w:color="auto"/>
        <w:right w:val="none" w:sz="0" w:space="0" w:color="auto"/>
      </w:divBdr>
    </w:div>
    <w:div w:id="980505453">
      <w:bodyDiv w:val="1"/>
      <w:marLeft w:val="0"/>
      <w:marRight w:val="0"/>
      <w:marTop w:val="0"/>
      <w:marBottom w:val="0"/>
      <w:divBdr>
        <w:top w:val="none" w:sz="0" w:space="0" w:color="auto"/>
        <w:left w:val="none" w:sz="0" w:space="0" w:color="auto"/>
        <w:bottom w:val="none" w:sz="0" w:space="0" w:color="auto"/>
        <w:right w:val="none" w:sz="0" w:space="0" w:color="auto"/>
      </w:divBdr>
    </w:div>
    <w:div w:id="980960772">
      <w:bodyDiv w:val="1"/>
      <w:marLeft w:val="0"/>
      <w:marRight w:val="0"/>
      <w:marTop w:val="0"/>
      <w:marBottom w:val="0"/>
      <w:divBdr>
        <w:top w:val="none" w:sz="0" w:space="0" w:color="auto"/>
        <w:left w:val="none" w:sz="0" w:space="0" w:color="auto"/>
        <w:bottom w:val="none" w:sz="0" w:space="0" w:color="auto"/>
        <w:right w:val="none" w:sz="0" w:space="0" w:color="auto"/>
      </w:divBdr>
    </w:div>
    <w:div w:id="983241595">
      <w:bodyDiv w:val="1"/>
      <w:marLeft w:val="0"/>
      <w:marRight w:val="0"/>
      <w:marTop w:val="0"/>
      <w:marBottom w:val="0"/>
      <w:divBdr>
        <w:top w:val="none" w:sz="0" w:space="0" w:color="auto"/>
        <w:left w:val="none" w:sz="0" w:space="0" w:color="auto"/>
        <w:bottom w:val="none" w:sz="0" w:space="0" w:color="auto"/>
        <w:right w:val="none" w:sz="0" w:space="0" w:color="auto"/>
      </w:divBdr>
    </w:div>
    <w:div w:id="983461825">
      <w:bodyDiv w:val="1"/>
      <w:marLeft w:val="0"/>
      <w:marRight w:val="0"/>
      <w:marTop w:val="0"/>
      <w:marBottom w:val="0"/>
      <w:divBdr>
        <w:top w:val="none" w:sz="0" w:space="0" w:color="auto"/>
        <w:left w:val="none" w:sz="0" w:space="0" w:color="auto"/>
        <w:bottom w:val="none" w:sz="0" w:space="0" w:color="auto"/>
        <w:right w:val="none" w:sz="0" w:space="0" w:color="auto"/>
      </w:divBdr>
    </w:div>
    <w:div w:id="983658636">
      <w:bodyDiv w:val="1"/>
      <w:marLeft w:val="0"/>
      <w:marRight w:val="0"/>
      <w:marTop w:val="0"/>
      <w:marBottom w:val="0"/>
      <w:divBdr>
        <w:top w:val="none" w:sz="0" w:space="0" w:color="auto"/>
        <w:left w:val="none" w:sz="0" w:space="0" w:color="auto"/>
        <w:bottom w:val="none" w:sz="0" w:space="0" w:color="auto"/>
        <w:right w:val="none" w:sz="0" w:space="0" w:color="auto"/>
      </w:divBdr>
    </w:div>
    <w:div w:id="983775292">
      <w:bodyDiv w:val="1"/>
      <w:marLeft w:val="0"/>
      <w:marRight w:val="0"/>
      <w:marTop w:val="0"/>
      <w:marBottom w:val="0"/>
      <w:divBdr>
        <w:top w:val="none" w:sz="0" w:space="0" w:color="auto"/>
        <w:left w:val="none" w:sz="0" w:space="0" w:color="auto"/>
        <w:bottom w:val="none" w:sz="0" w:space="0" w:color="auto"/>
        <w:right w:val="none" w:sz="0" w:space="0" w:color="auto"/>
      </w:divBdr>
    </w:div>
    <w:div w:id="985546770">
      <w:bodyDiv w:val="1"/>
      <w:marLeft w:val="0"/>
      <w:marRight w:val="0"/>
      <w:marTop w:val="0"/>
      <w:marBottom w:val="0"/>
      <w:divBdr>
        <w:top w:val="none" w:sz="0" w:space="0" w:color="auto"/>
        <w:left w:val="none" w:sz="0" w:space="0" w:color="auto"/>
        <w:bottom w:val="none" w:sz="0" w:space="0" w:color="auto"/>
        <w:right w:val="none" w:sz="0" w:space="0" w:color="auto"/>
      </w:divBdr>
    </w:div>
    <w:div w:id="988290429">
      <w:bodyDiv w:val="1"/>
      <w:marLeft w:val="0"/>
      <w:marRight w:val="0"/>
      <w:marTop w:val="0"/>
      <w:marBottom w:val="0"/>
      <w:divBdr>
        <w:top w:val="none" w:sz="0" w:space="0" w:color="auto"/>
        <w:left w:val="none" w:sz="0" w:space="0" w:color="auto"/>
        <w:bottom w:val="none" w:sz="0" w:space="0" w:color="auto"/>
        <w:right w:val="none" w:sz="0" w:space="0" w:color="auto"/>
      </w:divBdr>
    </w:div>
    <w:div w:id="988627957">
      <w:bodyDiv w:val="1"/>
      <w:marLeft w:val="0"/>
      <w:marRight w:val="0"/>
      <w:marTop w:val="0"/>
      <w:marBottom w:val="0"/>
      <w:divBdr>
        <w:top w:val="none" w:sz="0" w:space="0" w:color="auto"/>
        <w:left w:val="none" w:sz="0" w:space="0" w:color="auto"/>
        <w:bottom w:val="none" w:sz="0" w:space="0" w:color="auto"/>
        <w:right w:val="none" w:sz="0" w:space="0" w:color="auto"/>
      </w:divBdr>
    </w:div>
    <w:div w:id="990451032">
      <w:bodyDiv w:val="1"/>
      <w:marLeft w:val="0"/>
      <w:marRight w:val="0"/>
      <w:marTop w:val="0"/>
      <w:marBottom w:val="0"/>
      <w:divBdr>
        <w:top w:val="none" w:sz="0" w:space="0" w:color="auto"/>
        <w:left w:val="none" w:sz="0" w:space="0" w:color="auto"/>
        <w:bottom w:val="none" w:sz="0" w:space="0" w:color="auto"/>
        <w:right w:val="none" w:sz="0" w:space="0" w:color="auto"/>
      </w:divBdr>
    </w:div>
    <w:div w:id="993215624">
      <w:bodyDiv w:val="1"/>
      <w:marLeft w:val="0"/>
      <w:marRight w:val="0"/>
      <w:marTop w:val="0"/>
      <w:marBottom w:val="0"/>
      <w:divBdr>
        <w:top w:val="none" w:sz="0" w:space="0" w:color="auto"/>
        <w:left w:val="none" w:sz="0" w:space="0" w:color="auto"/>
        <w:bottom w:val="none" w:sz="0" w:space="0" w:color="auto"/>
        <w:right w:val="none" w:sz="0" w:space="0" w:color="auto"/>
      </w:divBdr>
    </w:div>
    <w:div w:id="993337177">
      <w:bodyDiv w:val="1"/>
      <w:marLeft w:val="0"/>
      <w:marRight w:val="0"/>
      <w:marTop w:val="0"/>
      <w:marBottom w:val="0"/>
      <w:divBdr>
        <w:top w:val="none" w:sz="0" w:space="0" w:color="auto"/>
        <w:left w:val="none" w:sz="0" w:space="0" w:color="auto"/>
        <w:bottom w:val="none" w:sz="0" w:space="0" w:color="auto"/>
        <w:right w:val="none" w:sz="0" w:space="0" w:color="auto"/>
      </w:divBdr>
    </w:div>
    <w:div w:id="996495838">
      <w:bodyDiv w:val="1"/>
      <w:marLeft w:val="0"/>
      <w:marRight w:val="0"/>
      <w:marTop w:val="0"/>
      <w:marBottom w:val="0"/>
      <w:divBdr>
        <w:top w:val="none" w:sz="0" w:space="0" w:color="auto"/>
        <w:left w:val="none" w:sz="0" w:space="0" w:color="auto"/>
        <w:bottom w:val="none" w:sz="0" w:space="0" w:color="auto"/>
        <w:right w:val="none" w:sz="0" w:space="0" w:color="auto"/>
      </w:divBdr>
    </w:div>
    <w:div w:id="996955815">
      <w:bodyDiv w:val="1"/>
      <w:marLeft w:val="0"/>
      <w:marRight w:val="0"/>
      <w:marTop w:val="0"/>
      <w:marBottom w:val="0"/>
      <w:divBdr>
        <w:top w:val="none" w:sz="0" w:space="0" w:color="auto"/>
        <w:left w:val="none" w:sz="0" w:space="0" w:color="auto"/>
        <w:bottom w:val="none" w:sz="0" w:space="0" w:color="auto"/>
        <w:right w:val="none" w:sz="0" w:space="0" w:color="auto"/>
      </w:divBdr>
    </w:div>
    <w:div w:id="997658214">
      <w:bodyDiv w:val="1"/>
      <w:marLeft w:val="0"/>
      <w:marRight w:val="0"/>
      <w:marTop w:val="0"/>
      <w:marBottom w:val="0"/>
      <w:divBdr>
        <w:top w:val="none" w:sz="0" w:space="0" w:color="auto"/>
        <w:left w:val="none" w:sz="0" w:space="0" w:color="auto"/>
        <w:bottom w:val="none" w:sz="0" w:space="0" w:color="auto"/>
        <w:right w:val="none" w:sz="0" w:space="0" w:color="auto"/>
      </w:divBdr>
    </w:div>
    <w:div w:id="999314439">
      <w:bodyDiv w:val="1"/>
      <w:marLeft w:val="0"/>
      <w:marRight w:val="0"/>
      <w:marTop w:val="0"/>
      <w:marBottom w:val="0"/>
      <w:divBdr>
        <w:top w:val="none" w:sz="0" w:space="0" w:color="auto"/>
        <w:left w:val="none" w:sz="0" w:space="0" w:color="auto"/>
        <w:bottom w:val="none" w:sz="0" w:space="0" w:color="auto"/>
        <w:right w:val="none" w:sz="0" w:space="0" w:color="auto"/>
      </w:divBdr>
    </w:div>
    <w:div w:id="999314789">
      <w:bodyDiv w:val="1"/>
      <w:marLeft w:val="0"/>
      <w:marRight w:val="0"/>
      <w:marTop w:val="0"/>
      <w:marBottom w:val="0"/>
      <w:divBdr>
        <w:top w:val="none" w:sz="0" w:space="0" w:color="auto"/>
        <w:left w:val="none" w:sz="0" w:space="0" w:color="auto"/>
        <w:bottom w:val="none" w:sz="0" w:space="0" w:color="auto"/>
        <w:right w:val="none" w:sz="0" w:space="0" w:color="auto"/>
      </w:divBdr>
    </w:div>
    <w:div w:id="1000238377">
      <w:bodyDiv w:val="1"/>
      <w:marLeft w:val="0"/>
      <w:marRight w:val="0"/>
      <w:marTop w:val="0"/>
      <w:marBottom w:val="0"/>
      <w:divBdr>
        <w:top w:val="none" w:sz="0" w:space="0" w:color="auto"/>
        <w:left w:val="none" w:sz="0" w:space="0" w:color="auto"/>
        <w:bottom w:val="none" w:sz="0" w:space="0" w:color="auto"/>
        <w:right w:val="none" w:sz="0" w:space="0" w:color="auto"/>
      </w:divBdr>
    </w:div>
    <w:div w:id="1000691168">
      <w:bodyDiv w:val="1"/>
      <w:marLeft w:val="0"/>
      <w:marRight w:val="0"/>
      <w:marTop w:val="0"/>
      <w:marBottom w:val="0"/>
      <w:divBdr>
        <w:top w:val="none" w:sz="0" w:space="0" w:color="auto"/>
        <w:left w:val="none" w:sz="0" w:space="0" w:color="auto"/>
        <w:bottom w:val="none" w:sz="0" w:space="0" w:color="auto"/>
        <w:right w:val="none" w:sz="0" w:space="0" w:color="auto"/>
      </w:divBdr>
    </w:div>
    <w:div w:id="1002243306">
      <w:bodyDiv w:val="1"/>
      <w:marLeft w:val="0"/>
      <w:marRight w:val="0"/>
      <w:marTop w:val="0"/>
      <w:marBottom w:val="0"/>
      <w:divBdr>
        <w:top w:val="none" w:sz="0" w:space="0" w:color="auto"/>
        <w:left w:val="none" w:sz="0" w:space="0" w:color="auto"/>
        <w:bottom w:val="none" w:sz="0" w:space="0" w:color="auto"/>
        <w:right w:val="none" w:sz="0" w:space="0" w:color="auto"/>
      </w:divBdr>
    </w:div>
    <w:div w:id="1005207491">
      <w:bodyDiv w:val="1"/>
      <w:marLeft w:val="0"/>
      <w:marRight w:val="0"/>
      <w:marTop w:val="0"/>
      <w:marBottom w:val="0"/>
      <w:divBdr>
        <w:top w:val="none" w:sz="0" w:space="0" w:color="auto"/>
        <w:left w:val="none" w:sz="0" w:space="0" w:color="auto"/>
        <w:bottom w:val="none" w:sz="0" w:space="0" w:color="auto"/>
        <w:right w:val="none" w:sz="0" w:space="0" w:color="auto"/>
      </w:divBdr>
    </w:div>
    <w:div w:id="1006371803">
      <w:bodyDiv w:val="1"/>
      <w:marLeft w:val="0"/>
      <w:marRight w:val="0"/>
      <w:marTop w:val="0"/>
      <w:marBottom w:val="0"/>
      <w:divBdr>
        <w:top w:val="none" w:sz="0" w:space="0" w:color="auto"/>
        <w:left w:val="none" w:sz="0" w:space="0" w:color="auto"/>
        <w:bottom w:val="none" w:sz="0" w:space="0" w:color="auto"/>
        <w:right w:val="none" w:sz="0" w:space="0" w:color="auto"/>
      </w:divBdr>
    </w:div>
    <w:div w:id="1007976048">
      <w:bodyDiv w:val="1"/>
      <w:marLeft w:val="0"/>
      <w:marRight w:val="0"/>
      <w:marTop w:val="0"/>
      <w:marBottom w:val="0"/>
      <w:divBdr>
        <w:top w:val="none" w:sz="0" w:space="0" w:color="auto"/>
        <w:left w:val="none" w:sz="0" w:space="0" w:color="auto"/>
        <w:bottom w:val="none" w:sz="0" w:space="0" w:color="auto"/>
        <w:right w:val="none" w:sz="0" w:space="0" w:color="auto"/>
      </w:divBdr>
    </w:div>
    <w:div w:id="1008480920">
      <w:bodyDiv w:val="1"/>
      <w:marLeft w:val="0"/>
      <w:marRight w:val="0"/>
      <w:marTop w:val="0"/>
      <w:marBottom w:val="0"/>
      <w:divBdr>
        <w:top w:val="none" w:sz="0" w:space="0" w:color="auto"/>
        <w:left w:val="none" w:sz="0" w:space="0" w:color="auto"/>
        <w:bottom w:val="none" w:sz="0" w:space="0" w:color="auto"/>
        <w:right w:val="none" w:sz="0" w:space="0" w:color="auto"/>
      </w:divBdr>
    </w:div>
    <w:div w:id="1013069521">
      <w:bodyDiv w:val="1"/>
      <w:marLeft w:val="0"/>
      <w:marRight w:val="0"/>
      <w:marTop w:val="0"/>
      <w:marBottom w:val="0"/>
      <w:divBdr>
        <w:top w:val="none" w:sz="0" w:space="0" w:color="auto"/>
        <w:left w:val="none" w:sz="0" w:space="0" w:color="auto"/>
        <w:bottom w:val="none" w:sz="0" w:space="0" w:color="auto"/>
        <w:right w:val="none" w:sz="0" w:space="0" w:color="auto"/>
      </w:divBdr>
    </w:div>
    <w:div w:id="1013458006">
      <w:bodyDiv w:val="1"/>
      <w:marLeft w:val="0"/>
      <w:marRight w:val="0"/>
      <w:marTop w:val="0"/>
      <w:marBottom w:val="0"/>
      <w:divBdr>
        <w:top w:val="none" w:sz="0" w:space="0" w:color="auto"/>
        <w:left w:val="none" w:sz="0" w:space="0" w:color="auto"/>
        <w:bottom w:val="none" w:sz="0" w:space="0" w:color="auto"/>
        <w:right w:val="none" w:sz="0" w:space="0" w:color="auto"/>
      </w:divBdr>
    </w:div>
    <w:div w:id="1016466328">
      <w:bodyDiv w:val="1"/>
      <w:marLeft w:val="0"/>
      <w:marRight w:val="0"/>
      <w:marTop w:val="0"/>
      <w:marBottom w:val="0"/>
      <w:divBdr>
        <w:top w:val="none" w:sz="0" w:space="0" w:color="auto"/>
        <w:left w:val="none" w:sz="0" w:space="0" w:color="auto"/>
        <w:bottom w:val="none" w:sz="0" w:space="0" w:color="auto"/>
        <w:right w:val="none" w:sz="0" w:space="0" w:color="auto"/>
      </w:divBdr>
    </w:div>
    <w:div w:id="1017275611">
      <w:bodyDiv w:val="1"/>
      <w:marLeft w:val="0"/>
      <w:marRight w:val="0"/>
      <w:marTop w:val="0"/>
      <w:marBottom w:val="0"/>
      <w:divBdr>
        <w:top w:val="none" w:sz="0" w:space="0" w:color="auto"/>
        <w:left w:val="none" w:sz="0" w:space="0" w:color="auto"/>
        <w:bottom w:val="none" w:sz="0" w:space="0" w:color="auto"/>
        <w:right w:val="none" w:sz="0" w:space="0" w:color="auto"/>
      </w:divBdr>
    </w:div>
    <w:div w:id="1019040380">
      <w:bodyDiv w:val="1"/>
      <w:marLeft w:val="0"/>
      <w:marRight w:val="0"/>
      <w:marTop w:val="0"/>
      <w:marBottom w:val="0"/>
      <w:divBdr>
        <w:top w:val="none" w:sz="0" w:space="0" w:color="auto"/>
        <w:left w:val="none" w:sz="0" w:space="0" w:color="auto"/>
        <w:bottom w:val="none" w:sz="0" w:space="0" w:color="auto"/>
        <w:right w:val="none" w:sz="0" w:space="0" w:color="auto"/>
      </w:divBdr>
    </w:div>
    <w:div w:id="1021132172">
      <w:bodyDiv w:val="1"/>
      <w:marLeft w:val="0"/>
      <w:marRight w:val="0"/>
      <w:marTop w:val="0"/>
      <w:marBottom w:val="0"/>
      <w:divBdr>
        <w:top w:val="none" w:sz="0" w:space="0" w:color="auto"/>
        <w:left w:val="none" w:sz="0" w:space="0" w:color="auto"/>
        <w:bottom w:val="none" w:sz="0" w:space="0" w:color="auto"/>
        <w:right w:val="none" w:sz="0" w:space="0" w:color="auto"/>
      </w:divBdr>
    </w:div>
    <w:div w:id="1021276437">
      <w:bodyDiv w:val="1"/>
      <w:marLeft w:val="0"/>
      <w:marRight w:val="0"/>
      <w:marTop w:val="0"/>
      <w:marBottom w:val="0"/>
      <w:divBdr>
        <w:top w:val="none" w:sz="0" w:space="0" w:color="auto"/>
        <w:left w:val="none" w:sz="0" w:space="0" w:color="auto"/>
        <w:bottom w:val="none" w:sz="0" w:space="0" w:color="auto"/>
        <w:right w:val="none" w:sz="0" w:space="0" w:color="auto"/>
      </w:divBdr>
    </w:div>
    <w:div w:id="1021935197">
      <w:bodyDiv w:val="1"/>
      <w:marLeft w:val="0"/>
      <w:marRight w:val="0"/>
      <w:marTop w:val="0"/>
      <w:marBottom w:val="0"/>
      <w:divBdr>
        <w:top w:val="none" w:sz="0" w:space="0" w:color="auto"/>
        <w:left w:val="none" w:sz="0" w:space="0" w:color="auto"/>
        <w:bottom w:val="none" w:sz="0" w:space="0" w:color="auto"/>
        <w:right w:val="none" w:sz="0" w:space="0" w:color="auto"/>
      </w:divBdr>
    </w:div>
    <w:div w:id="1022246618">
      <w:bodyDiv w:val="1"/>
      <w:marLeft w:val="0"/>
      <w:marRight w:val="0"/>
      <w:marTop w:val="0"/>
      <w:marBottom w:val="0"/>
      <w:divBdr>
        <w:top w:val="none" w:sz="0" w:space="0" w:color="auto"/>
        <w:left w:val="none" w:sz="0" w:space="0" w:color="auto"/>
        <w:bottom w:val="none" w:sz="0" w:space="0" w:color="auto"/>
        <w:right w:val="none" w:sz="0" w:space="0" w:color="auto"/>
      </w:divBdr>
    </w:div>
    <w:div w:id="1023826085">
      <w:bodyDiv w:val="1"/>
      <w:marLeft w:val="0"/>
      <w:marRight w:val="0"/>
      <w:marTop w:val="0"/>
      <w:marBottom w:val="0"/>
      <w:divBdr>
        <w:top w:val="none" w:sz="0" w:space="0" w:color="auto"/>
        <w:left w:val="none" w:sz="0" w:space="0" w:color="auto"/>
        <w:bottom w:val="none" w:sz="0" w:space="0" w:color="auto"/>
        <w:right w:val="none" w:sz="0" w:space="0" w:color="auto"/>
      </w:divBdr>
    </w:div>
    <w:div w:id="1026248696">
      <w:bodyDiv w:val="1"/>
      <w:marLeft w:val="0"/>
      <w:marRight w:val="0"/>
      <w:marTop w:val="0"/>
      <w:marBottom w:val="0"/>
      <w:divBdr>
        <w:top w:val="none" w:sz="0" w:space="0" w:color="auto"/>
        <w:left w:val="none" w:sz="0" w:space="0" w:color="auto"/>
        <w:bottom w:val="none" w:sz="0" w:space="0" w:color="auto"/>
        <w:right w:val="none" w:sz="0" w:space="0" w:color="auto"/>
      </w:divBdr>
    </w:div>
    <w:div w:id="1027101679">
      <w:bodyDiv w:val="1"/>
      <w:marLeft w:val="0"/>
      <w:marRight w:val="0"/>
      <w:marTop w:val="0"/>
      <w:marBottom w:val="0"/>
      <w:divBdr>
        <w:top w:val="none" w:sz="0" w:space="0" w:color="auto"/>
        <w:left w:val="none" w:sz="0" w:space="0" w:color="auto"/>
        <w:bottom w:val="none" w:sz="0" w:space="0" w:color="auto"/>
        <w:right w:val="none" w:sz="0" w:space="0" w:color="auto"/>
      </w:divBdr>
    </w:div>
    <w:div w:id="1029336630">
      <w:bodyDiv w:val="1"/>
      <w:marLeft w:val="0"/>
      <w:marRight w:val="0"/>
      <w:marTop w:val="0"/>
      <w:marBottom w:val="0"/>
      <w:divBdr>
        <w:top w:val="none" w:sz="0" w:space="0" w:color="auto"/>
        <w:left w:val="none" w:sz="0" w:space="0" w:color="auto"/>
        <w:bottom w:val="none" w:sz="0" w:space="0" w:color="auto"/>
        <w:right w:val="none" w:sz="0" w:space="0" w:color="auto"/>
      </w:divBdr>
    </w:div>
    <w:div w:id="1030493135">
      <w:bodyDiv w:val="1"/>
      <w:marLeft w:val="0"/>
      <w:marRight w:val="0"/>
      <w:marTop w:val="0"/>
      <w:marBottom w:val="0"/>
      <w:divBdr>
        <w:top w:val="none" w:sz="0" w:space="0" w:color="auto"/>
        <w:left w:val="none" w:sz="0" w:space="0" w:color="auto"/>
        <w:bottom w:val="none" w:sz="0" w:space="0" w:color="auto"/>
        <w:right w:val="none" w:sz="0" w:space="0" w:color="auto"/>
      </w:divBdr>
    </w:div>
    <w:div w:id="1032610890">
      <w:bodyDiv w:val="1"/>
      <w:marLeft w:val="0"/>
      <w:marRight w:val="0"/>
      <w:marTop w:val="0"/>
      <w:marBottom w:val="0"/>
      <w:divBdr>
        <w:top w:val="none" w:sz="0" w:space="0" w:color="auto"/>
        <w:left w:val="none" w:sz="0" w:space="0" w:color="auto"/>
        <w:bottom w:val="none" w:sz="0" w:space="0" w:color="auto"/>
        <w:right w:val="none" w:sz="0" w:space="0" w:color="auto"/>
      </w:divBdr>
    </w:div>
    <w:div w:id="1032611033">
      <w:bodyDiv w:val="1"/>
      <w:marLeft w:val="0"/>
      <w:marRight w:val="0"/>
      <w:marTop w:val="0"/>
      <w:marBottom w:val="0"/>
      <w:divBdr>
        <w:top w:val="none" w:sz="0" w:space="0" w:color="auto"/>
        <w:left w:val="none" w:sz="0" w:space="0" w:color="auto"/>
        <w:bottom w:val="none" w:sz="0" w:space="0" w:color="auto"/>
        <w:right w:val="none" w:sz="0" w:space="0" w:color="auto"/>
      </w:divBdr>
    </w:div>
    <w:div w:id="1034429036">
      <w:bodyDiv w:val="1"/>
      <w:marLeft w:val="0"/>
      <w:marRight w:val="0"/>
      <w:marTop w:val="0"/>
      <w:marBottom w:val="0"/>
      <w:divBdr>
        <w:top w:val="none" w:sz="0" w:space="0" w:color="auto"/>
        <w:left w:val="none" w:sz="0" w:space="0" w:color="auto"/>
        <w:bottom w:val="none" w:sz="0" w:space="0" w:color="auto"/>
        <w:right w:val="none" w:sz="0" w:space="0" w:color="auto"/>
      </w:divBdr>
    </w:div>
    <w:div w:id="1034429590">
      <w:bodyDiv w:val="1"/>
      <w:marLeft w:val="0"/>
      <w:marRight w:val="0"/>
      <w:marTop w:val="0"/>
      <w:marBottom w:val="0"/>
      <w:divBdr>
        <w:top w:val="none" w:sz="0" w:space="0" w:color="auto"/>
        <w:left w:val="none" w:sz="0" w:space="0" w:color="auto"/>
        <w:bottom w:val="none" w:sz="0" w:space="0" w:color="auto"/>
        <w:right w:val="none" w:sz="0" w:space="0" w:color="auto"/>
      </w:divBdr>
    </w:div>
    <w:div w:id="1036664396">
      <w:bodyDiv w:val="1"/>
      <w:marLeft w:val="0"/>
      <w:marRight w:val="0"/>
      <w:marTop w:val="0"/>
      <w:marBottom w:val="0"/>
      <w:divBdr>
        <w:top w:val="none" w:sz="0" w:space="0" w:color="auto"/>
        <w:left w:val="none" w:sz="0" w:space="0" w:color="auto"/>
        <w:bottom w:val="none" w:sz="0" w:space="0" w:color="auto"/>
        <w:right w:val="none" w:sz="0" w:space="0" w:color="auto"/>
      </w:divBdr>
    </w:div>
    <w:div w:id="1038774652">
      <w:bodyDiv w:val="1"/>
      <w:marLeft w:val="0"/>
      <w:marRight w:val="0"/>
      <w:marTop w:val="0"/>
      <w:marBottom w:val="0"/>
      <w:divBdr>
        <w:top w:val="none" w:sz="0" w:space="0" w:color="auto"/>
        <w:left w:val="none" w:sz="0" w:space="0" w:color="auto"/>
        <w:bottom w:val="none" w:sz="0" w:space="0" w:color="auto"/>
        <w:right w:val="none" w:sz="0" w:space="0" w:color="auto"/>
      </w:divBdr>
    </w:div>
    <w:div w:id="1039084207">
      <w:bodyDiv w:val="1"/>
      <w:marLeft w:val="0"/>
      <w:marRight w:val="0"/>
      <w:marTop w:val="0"/>
      <w:marBottom w:val="0"/>
      <w:divBdr>
        <w:top w:val="none" w:sz="0" w:space="0" w:color="auto"/>
        <w:left w:val="none" w:sz="0" w:space="0" w:color="auto"/>
        <w:bottom w:val="none" w:sz="0" w:space="0" w:color="auto"/>
        <w:right w:val="none" w:sz="0" w:space="0" w:color="auto"/>
      </w:divBdr>
    </w:div>
    <w:div w:id="1040083073">
      <w:bodyDiv w:val="1"/>
      <w:marLeft w:val="0"/>
      <w:marRight w:val="0"/>
      <w:marTop w:val="0"/>
      <w:marBottom w:val="0"/>
      <w:divBdr>
        <w:top w:val="none" w:sz="0" w:space="0" w:color="auto"/>
        <w:left w:val="none" w:sz="0" w:space="0" w:color="auto"/>
        <w:bottom w:val="none" w:sz="0" w:space="0" w:color="auto"/>
        <w:right w:val="none" w:sz="0" w:space="0" w:color="auto"/>
      </w:divBdr>
    </w:div>
    <w:div w:id="1041634954">
      <w:bodyDiv w:val="1"/>
      <w:marLeft w:val="0"/>
      <w:marRight w:val="0"/>
      <w:marTop w:val="0"/>
      <w:marBottom w:val="0"/>
      <w:divBdr>
        <w:top w:val="none" w:sz="0" w:space="0" w:color="auto"/>
        <w:left w:val="none" w:sz="0" w:space="0" w:color="auto"/>
        <w:bottom w:val="none" w:sz="0" w:space="0" w:color="auto"/>
        <w:right w:val="none" w:sz="0" w:space="0" w:color="auto"/>
      </w:divBdr>
    </w:div>
    <w:div w:id="1042285181">
      <w:bodyDiv w:val="1"/>
      <w:marLeft w:val="0"/>
      <w:marRight w:val="0"/>
      <w:marTop w:val="0"/>
      <w:marBottom w:val="0"/>
      <w:divBdr>
        <w:top w:val="none" w:sz="0" w:space="0" w:color="auto"/>
        <w:left w:val="none" w:sz="0" w:space="0" w:color="auto"/>
        <w:bottom w:val="none" w:sz="0" w:space="0" w:color="auto"/>
        <w:right w:val="none" w:sz="0" w:space="0" w:color="auto"/>
      </w:divBdr>
    </w:div>
    <w:div w:id="1042292278">
      <w:bodyDiv w:val="1"/>
      <w:marLeft w:val="0"/>
      <w:marRight w:val="0"/>
      <w:marTop w:val="0"/>
      <w:marBottom w:val="0"/>
      <w:divBdr>
        <w:top w:val="none" w:sz="0" w:space="0" w:color="auto"/>
        <w:left w:val="none" w:sz="0" w:space="0" w:color="auto"/>
        <w:bottom w:val="none" w:sz="0" w:space="0" w:color="auto"/>
        <w:right w:val="none" w:sz="0" w:space="0" w:color="auto"/>
      </w:divBdr>
    </w:div>
    <w:div w:id="1043597268">
      <w:bodyDiv w:val="1"/>
      <w:marLeft w:val="0"/>
      <w:marRight w:val="0"/>
      <w:marTop w:val="0"/>
      <w:marBottom w:val="0"/>
      <w:divBdr>
        <w:top w:val="none" w:sz="0" w:space="0" w:color="auto"/>
        <w:left w:val="none" w:sz="0" w:space="0" w:color="auto"/>
        <w:bottom w:val="none" w:sz="0" w:space="0" w:color="auto"/>
        <w:right w:val="none" w:sz="0" w:space="0" w:color="auto"/>
      </w:divBdr>
    </w:div>
    <w:div w:id="1044938467">
      <w:bodyDiv w:val="1"/>
      <w:marLeft w:val="0"/>
      <w:marRight w:val="0"/>
      <w:marTop w:val="0"/>
      <w:marBottom w:val="0"/>
      <w:divBdr>
        <w:top w:val="none" w:sz="0" w:space="0" w:color="auto"/>
        <w:left w:val="none" w:sz="0" w:space="0" w:color="auto"/>
        <w:bottom w:val="none" w:sz="0" w:space="0" w:color="auto"/>
        <w:right w:val="none" w:sz="0" w:space="0" w:color="auto"/>
      </w:divBdr>
    </w:div>
    <w:div w:id="1045718073">
      <w:bodyDiv w:val="1"/>
      <w:marLeft w:val="0"/>
      <w:marRight w:val="0"/>
      <w:marTop w:val="0"/>
      <w:marBottom w:val="0"/>
      <w:divBdr>
        <w:top w:val="none" w:sz="0" w:space="0" w:color="auto"/>
        <w:left w:val="none" w:sz="0" w:space="0" w:color="auto"/>
        <w:bottom w:val="none" w:sz="0" w:space="0" w:color="auto"/>
        <w:right w:val="none" w:sz="0" w:space="0" w:color="auto"/>
      </w:divBdr>
    </w:div>
    <w:div w:id="1045985887">
      <w:bodyDiv w:val="1"/>
      <w:marLeft w:val="0"/>
      <w:marRight w:val="0"/>
      <w:marTop w:val="0"/>
      <w:marBottom w:val="0"/>
      <w:divBdr>
        <w:top w:val="none" w:sz="0" w:space="0" w:color="auto"/>
        <w:left w:val="none" w:sz="0" w:space="0" w:color="auto"/>
        <w:bottom w:val="none" w:sz="0" w:space="0" w:color="auto"/>
        <w:right w:val="none" w:sz="0" w:space="0" w:color="auto"/>
      </w:divBdr>
    </w:div>
    <w:div w:id="1048068459">
      <w:bodyDiv w:val="1"/>
      <w:marLeft w:val="0"/>
      <w:marRight w:val="0"/>
      <w:marTop w:val="0"/>
      <w:marBottom w:val="0"/>
      <w:divBdr>
        <w:top w:val="none" w:sz="0" w:space="0" w:color="auto"/>
        <w:left w:val="none" w:sz="0" w:space="0" w:color="auto"/>
        <w:bottom w:val="none" w:sz="0" w:space="0" w:color="auto"/>
        <w:right w:val="none" w:sz="0" w:space="0" w:color="auto"/>
      </w:divBdr>
    </w:div>
    <w:div w:id="1048333474">
      <w:bodyDiv w:val="1"/>
      <w:marLeft w:val="0"/>
      <w:marRight w:val="0"/>
      <w:marTop w:val="0"/>
      <w:marBottom w:val="0"/>
      <w:divBdr>
        <w:top w:val="none" w:sz="0" w:space="0" w:color="auto"/>
        <w:left w:val="none" w:sz="0" w:space="0" w:color="auto"/>
        <w:bottom w:val="none" w:sz="0" w:space="0" w:color="auto"/>
        <w:right w:val="none" w:sz="0" w:space="0" w:color="auto"/>
      </w:divBdr>
    </w:div>
    <w:div w:id="1052076916">
      <w:bodyDiv w:val="1"/>
      <w:marLeft w:val="0"/>
      <w:marRight w:val="0"/>
      <w:marTop w:val="0"/>
      <w:marBottom w:val="0"/>
      <w:divBdr>
        <w:top w:val="none" w:sz="0" w:space="0" w:color="auto"/>
        <w:left w:val="none" w:sz="0" w:space="0" w:color="auto"/>
        <w:bottom w:val="none" w:sz="0" w:space="0" w:color="auto"/>
        <w:right w:val="none" w:sz="0" w:space="0" w:color="auto"/>
      </w:divBdr>
    </w:div>
    <w:div w:id="1052580626">
      <w:bodyDiv w:val="1"/>
      <w:marLeft w:val="0"/>
      <w:marRight w:val="0"/>
      <w:marTop w:val="0"/>
      <w:marBottom w:val="0"/>
      <w:divBdr>
        <w:top w:val="none" w:sz="0" w:space="0" w:color="auto"/>
        <w:left w:val="none" w:sz="0" w:space="0" w:color="auto"/>
        <w:bottom w:val="none" w:sz="0" w:space="0" w:color="auto"/>
        <w:right w:val="none" w:sz="0" w:space="0" w:color="auto"/>
      </w:divBdr>
    </w:div>
    <w:div w:id="1053843776">
      <w:bodyDiv w:val="1"/>
      <w:marLeft w:val="0"/>
      <w:marRight w:val="0"/>
      <w:marTop w:val="0"/>
      <w:marBottom w:val="0"/>
      <w:divBdr>
        <w:top w:val="none" w:sz="0" w:space="0" w:color="auto"/>
        <w:left w:val="none" w:sz="0" w:space="0" w:color="auto"/>
        <w:bottom w:val="none" w:sz="0" w:space="0" w:color="auto"/>
        <w:right w:val="none" w:sz="0" w:space="0" w:color="auto"/>
      </w:divBdr>
    </w:div>
    <w:div w:id="1053850294">
      <w:bodyDiv w:val="1"/>
      <w:marLeft w:val="0"/>
      <w:marRight w:val="0"/>
      <w:marTop w:val="0"/>
      <w:marBottom w:val="0"/>
      <w:divBdr>
        <w:top w:val="none" w:sz="0" w:space="0" w:color="auto"/>
        <w:left w:val="none" w:sz="0" w:space="0" w:color="auto"/>
        <w:bottom w:val="none" w:sz="0" w:space="0" w:color="auto"/>
        <w:right w:val="none" w:sz="0" w:space="0" w:color="auto"/>
      </w:divBdr>
    </w:div>
    <w:div w:id="1055740271">
      <w:bodyDiv w:val="1"/>
      <w:marLeft w:val="0"/>
      <w:marRight w:val="0"/>
      <w:marTop w:val="0"/>
      <w:marBottom w:val="0"/>
      <w:divBdr>
        <w:top w:val="none" w:sz="0" w:space="0" w:color="auto"/>
        <w:left w:val="none" w:sz="0" w:space="0" w:color="auto"/>
        <w:bottom w:val="none" w:sz="0" w:space="0" w:color="auto"/>
        <w:right w:val="none" w:sz="0" w:space="0" w:color="auto"/>
      </w:divBdr>
    </w:div>
    <w:div w:id="1055855804">
      <w:bodyDiv w:val="1"/>
      <w:marLeft w:val="0"/>
      <w:marRight w:val="0"/>
      <w:marTop w:val="0"/>
      <w:marBottom w:val="0"/>
      <w:divBdr>
        <w:top w:val="none" w:sz="0" w:space="0" w:color="auto"/>
        <w:left w:val="none" w:sz="0" w:space="0" w:color="auto"/>
        <w:bottom w:val="none" w:sz="0" w:space="0" w:color="auto"/>
        <w:right w:val="none" w:sz="0" w:space="0" w:color="auto"/>
      </w:divBdr>
    </w:div>
    <w:div w:id="1056126219">
      <w:bodyDiv w:val="1"/>
      <w:marLeft w:val="0"/>
      <w:marRight w:val="0"/>
      <w:marTop w:val="0"/>
      <w:marBottom w:val="0"/>
      <w:divBdr>
        <w:top w:val="none" w:sz="0" w:space="0" w:color="auto"/>
        <w:left w:val="none" w:sz="0" w:space="0" w:color="auto"/>
        <w:bottom w:val="none" w:sz="0" w:space="0" w:color="auto"/>
        <w:right w:val="none" w:sz="0" w:space="0" w:color="auto"/>
      </w:divBdr>
    </w:div>
    <w:div w:id="1056708571">
      <w:bodyDiv w:val="1"/>
      <w:marLeft w:val="0"/>
      <w:marRight w:val="0"/>
      <w:marTop w:val="0"/>
      <w:marBottom w:val="0"/>
      <w:divBdr>
        <w:top w:val="none" w:sz="0" w:space="0" w:color="auto"/>
        <w:left w:val="none" w:sz="0" w:space="0" w:color="auto"/>
        <w:bottom w:val="none" w:sz="0" w:space="0" w:color="auto"/>
        <w:right w:val="none" w:sz="0" w:space="0" w:color="auto"/>
      </w:divBdr>
    </w:div>
    <w:div w:id="1059286730">
      <w:bodyDiv w:val="1"/>
      <w:marLeft w:val="0"/>
      <w:marRight w:val="0"/>
      <w:marTop w:val="0"/>
      <w:marBottom w:val="0"/>
      <w:divBdr>
        <w:top w:val="none" w:sz="0" w:space="0" w:color="auto"/>
        <w:left w:val="none" w:sz="0" w:space="0" w:color="auto"/>
        <w:bottom w:val="none" w:sz="0" w:space="0" w:color="auto"/>
        <w:right w:val="none" w:sz="0" w:space="0" w:color="auto"/>
      </w:divBdr>
    </w:div>
    <w:div w:id="1060712857">
      <w:bodyDiv w:val="1"/>
      <w:marLeft w:val="0"/>
      <w:marRight w:val="0"/>
      <w:marTop w:val="0"/>
      <w:marBottom w:val="0"/>
      <w:divBdr>
        <w:top w:val="none" w:sz="0" w:space="0" w:color="auto"/>
        <w:left w:val="none" w:sz="0" w:space="0" w:color="auto"/>
        <w:bottom w:val="none" w:sz="0" w:space="0" w:color="auto"/>
        <w:right w:val="none" w:sz="0" w:space="0" w:color="auto"/>
      </w:divBdr>
    </w:div>
    <w:div w:id="1061446833">
      <w:bodyDiv w:val="1"/>
      <w:marLeft w:val="0"/>
      <w:marRight w:val="0"/>
      <w:marTop w:val="0"/>
      <w:marBottom w:val="0"/>
      <w:divBdr>
        <w:top w:val="none" w:sz="0" w:space="0" w:color="auto"/>
        <w:left w:val="none" w:sz="0" w:space="0" w:color="auto"/>
        <w:bottom w:val="none" w:sz="0" w:space="0" w:color="auto"/>
        <w:right w:val="none" w:sz="0" w:space="0" w:color="auto"/>
      </w:divBdr>
    </w:div>
    <w:div w:id="1061758102">
      <w:bodyDiv w:val="1"/>
      <w:marLeft w:val="0"/>
      <w:marRight w:val="0"/>
      <w:marTop w:val="0"/>
      <w:marBottom w:val="0"/>
      <w:divBdr>
        <w:top w:val="none" w:sz="0" w:space="0" w:color="auto"/>
        <w:left w:val="none" w:sz="0" w:space="0" w:color="auto"/>
        <w:bottom w:val="none" w:sz="0" w:space="0" w:color="auto"/>
        <w:right w:val="none" w:sz="0" w:space="0" w:color="auto"/>
      </w:divBdr>
    </w:div>
    <w:div w:id="1062946209">
      <w:bodyDiv w:val="1"/>
      <w:marLeft w:val="0"/>
      <w:marRight w:val="0"/>
      <w:marTop w:val="0"/>
      <w:marBottom w:val="0"/>
      <w:divBdr>
        <w:top w:val="none" w:sz="0" w:space="0" w:color="auto"/>
        <w:left w:val="none" w:sz="0" w:space="0" w:color="auto"/>
        <w:bottom w:val="none" w:sz="0" w:space="0" w:color="auto"/>
        <w:right w:val="none" w:sz="0" w:space="0" w:color="auto"/>
      </w:divBdr>
    </w:div>
    <w:div w:id="1063485123">
      <w:bodyDiv w:val="1"/>
      <w:marLeft w:val="0"/>
      <w:marRight w:val="0"/>
      <w:marTop w:val="0"/>
      <w:marBottom w:val="0"/>
      <w:divBdr>
        <w:top w:val="none" w:sz="0" w:space="0" w:color="auto"/>
        <w:left w:val="none" w:sz="0" w:space="0" w:color="auto"/>
        <w:bottom w:val="none" w:sz="0" w:space="0" w:color="auto"/>
        <w:right w:val="none" w:sz="0" w:space="0" w:color="auto"/>
      </w:divBdr>
    </w:div>
    <w:div w:id="1063912476">
      <w:bodyDiv w:val="1"/>
      <w:marLeft w:val="0"/>
      <w:marRight w:val="0"/>
      <w:marTop w:val="0"/>
      <w:marBottom w:val="0"/>
      <w:divBdr>
        <w:top w:val="none" w:sz="0" w:space="0" w:color="auto"/>
        <w:left w:val="none" w:sz="0" w:space="0" w:color="auto"/>
        <w:bottom w:val="none" w:sz="0" w:space="0" w:color="auto"/>
        <w:right w:val="none" w:sz="0" w:space="0" w:color="auto"/>
      </w:divBdr>
    </w:div>
    <w:div w:id="1064373979">
      <w:bodyDiv w:val="1"/>
      <w:marLeft w:val="0"/>
      <w:marRight w:val="0"/>
      <w:marTop w:val="0"/>
      <w:marBottom w:val="0"/>
      <w:divBdr>
        <w:top w:val="none" w:sz="0" w:space="0" w:color="auto"/>
        <w:left w:val="none" w:sz="0" w:space="0" w:color="auto"/>
        <w:bottom w:val="none" w:sz="0" w:space="0" w:color="auto"/>
        <w:right w:val="none" w:sz="0" w:space="0" w:color="auto"/>
      </w:divBdr>
    </w:div>
    <w:div w:id="1064911554">
      <w:bodyDiv w:val="1"/>
      <w:marLeft w:val="0"/>
      <w:marRight w:val="0"/>
      <w:marTop w:val="0"/>
      <w:marBottom w:val="0"/>
      <w:divBdr>
        <w:top w:val="none" w:sz="0" w:space="0" w:color="auto"/>
        <w:left w:val="none" w:sz="0" w:space="0" w:color="auto"/>
        <w:bottom w:val="none" w:sz="0" w:space="0" w:color="auto"/>
        <w:right w:val="none" w:sz="0" w:space="0" w:color="auto"/>
      </w:divBdr>
    </w:div>
    <w:div w:id="1067918882">
      <w:bodyDiv w:val="1"/>
      <w:marLeft w:val="0"/>
      <w:marRight w:val="0"/>
      <w:marTop w:val="0"/>
      <w:marBottom w:val="0"/>
      <w:divBdr>
        <w:top w:val="none" w:sz="0" w:space="0" w:color="auto"/>
        <w:left w:val="none" w:sz="0" w:space="0" w:color="auto"/>
        <w:bottom w:val="none" w:sz="0" w:space="0" w:color="auto"/>
        <w:right w:val="none" w:sz="0" w:space="0" w:color="auto"/>
      </w:divBdr>
    </w:div>
    <w:div w:id="1068576248">
      <w:bodyDiv w:val="1"/>
      <w:marLeft w:val="0"/>
      <w:marRight w:val="0"/>
      <w:marTop w:val="0"/>
      <w:marBottom w:val="0"/>
      <w:divBdr>
        <w:top w:val="none" w:sz="0" w:space="0" w:color="auto"/>
        <w:left w:val="none" w:sz="0" w:space="0" w:color="auto"/>
        <w:bottom w:val="none" w:sz="0" w:space="0" w:color="auto"/>
        <w:right w:val="none" w:sz="0" w:space="0" w:color="auto"/>
      </w:divBdr>
    </w:div>
    <w:div w:id="1069692741">
      <w:bodyDiv w:val="1"/>
      <w:marLeft w:val="0"/>
      <w:marRight w:val="0"/>
      <w:marTop w:val="0"/>
      <w:marBottom w:val="0"/>
      <w:divBdr>
        <w:top w:val="none" w:sz="0" w:space="0" w:color="auto"/>
        <w:left w:val="none" w:sz="0" w:space="0" w:color="auto"/>
        <w:bottom w:val="none" w:sz="0" w:space="0" w:color="auto"/>
        <w:right w:val="none" w:sz="0" w:space="0" w:color="auto"/>
      </w:divBdr>
    </w:div>
    <w:div w:id="1070688815">
      <w:bodyDiv w:val="1"/>
      <w:marLeft w:val="0"/>
      <w:marRight w:val="0"/>
      <w:marTop w:val="0"/>
      <w:marBottom w:val="0"/>
      <w:divBdr>
        <w:top w:val="none" w:sz="0" w:space="0" w:color="auto"/>
        <w:left w:val="none" w:sz="0" w:space="0" w:color="auto"/>
        <w:bottom w:val="none" w:sz="0" w:space="0" w:color="auto"/>
        <w:right w:val="none" w:sz="0" w:space="0" w:color="auto"/>
      </w:divBdr>
    </w:div>
    <w:div w:id="1073507286">
      <w:bodyDiv w:val="1"/>
      <w:marLeft w:val="0"/>
      <w:marRight w:val="0"/>
      <w:marTop w:val="0"/>
      <w:marBottom w:val="0"/>
      <w:divBdr>
        <w:top w:val="none" w:sz="0" w:space="0" w:color="auto"/>
        <w:left w:val="none" w:sz="0" w:space="0" w:color="auto"/>
        <w:bottom w:val="none" w:sz="0" w:space="0" w:color="auto"/>
        <w:right w:val="none" w:sz="0" w:space="0" w:color="auto"/>
      </w:divBdr>
    </w:div>
    <w:div w:id="1073703592">
      <w:bodyDiv w:val="1"/>
      <w:marLeft w:val="0"/>
      <w:marRight w:val="0"/>
      <w:marTop w:val="0"/>
      <w:marBottom w:val="0"/>
      <w:divBdr>
        <w:top w:val="none" w:sz="0" w:space="0" w:color="auto"/>
        <w:left w:val="none" w:sz="0" w:space="0" w:color="auto"/>
        <w:bottom w:val="none" w:sz="0" w:space="0" w:color="auto"/>
        <w:right w:val="none" w:sz="0" w:space="0" w:color="auto"/>
      </w:divBdr>
    </w:div>
    <w:div w:id="1073743305">
      <w:bodyDiv w:val="1"/>
      <w:marLeft w:val="0"/>
      <w:marRight w:val="0"/>
      <w:marTop w:val="0"/>
      <w:marBottom w:val="0"/>
      <w:divBdr>
        <w:top w:val="none" w:sz="0" w:space="0" w:color="auto"/>
        <w:left w:val="none" w:sz="0" w:space="0" w:color="auto"/>
        <w:bottom w:val="none" w:sz="0" w:space="0" w:color="auto"/>
        <w:right w:val="none" w:sz="0" w:space="0" w:color="auto"/>
      </w:divBdr>
    </w:div>
    <w:div w:id="1075204355">
      <w:bodyDiv w:val="1"/>
      <w:marLeft w:val="0"/>
      <w:marRight w:val="0"/>
      <w:marTop w:val="0"/>
      <w:marBottom w:val="0"/>
      <w:divBdr>
        <w:top w:val="none" w:sz="0" w:space="0" w:color="auto"/>
        <w:left w:val="none" w:sz="0" w:space="0" w:color="auto"/>
        <w:bottom w:val="none" w:sz="0" w:space="0" w:color="auto"/>
        <w:right w:val="none" w:sz="0" w:space="0" w:color="auto"/>
      </w:divBdr>
    </w:div>
    <w:div w:id="1075936772">
      <w:bodyDiv w:val="1"/>
      <w:marLeft w:val="0"/>
      <w:marRight w:val="0"/>
      <w:marTop w:val="0"/>
      <w:marBottom w:val="0"/>
      <w:divBdr>
        <w:top w:val="none" w:sz="0" w:space="0" w:color="auto"/>
        <w:left w:val="none" w:sz="0" w:space="0" w:color="auto"/>
        <w:bottom w:val="none" w:sz="0" w:space="0" w:color="auto"/>
        <w:right w:val="none" w:sz="0" w:space="0" w:color="auto"/>
      </w:divBdr>
    </w:div>
    <w:div w:id="1078015541">
      <w:bodyDiv w:val="1"/>
      <w:marLeft w:val="0"/>
      <w:marRight w:val="0"/>
      <w:marTop w:val="0"/>
      <w:marBottom w:val="0"/>
      <w:divBdr>
        <w:top w:val="none" w:sz="0" w:space="0" w:color="auto"/>
        <w:left w:val="none" w:sz="0" w:space="0" w:color="auto"/>
        <w:bottom w:val="none" w:sz="0" w:space="0" w:color="auto"/>
        <w:right w:val="none" w:sz="0" w:space="0" w:color="auto"/>
      </w:divBdr>
    </w:div>
    <w:div w:id="1081174009">
      <w:bodyDiv w:val="1"/>
      <w:marLeft w:val="0"/>
      <w:marRight w:val="0"/>
      <w:marTop w:val="0"/>
      <w:marBottom w:val="0"/>
      <w:divBdr>
        <w:top w:val="none" w:sz="0" w:space="0" w:color="auto"/>
        <w:left w:val="none" w:sz="0" w:space="0" w:color="auto"/>
        <w:bottom w:val="none" w:sz="0" w:space="0" w:color="auto"/>
        <w:right w:val="none" w:sz="0" w:space="0" w:color="auto"/>
      </w:divBdr>
    </w:div>
    <w:div w:id="1083335788">
      <w:bodyDiv w:val="1"/>
      <w:marLeft w:val="0"/>
      <w:marRight w:val="0"/>
      <w:marTop w:val="0"/>
      <w:marBottom w:val="0"/>
      <w:divBdr>
        <w:top w:val="none" w:sz="0" w:space="0" w:color="auto"/>
        <w:left w:val="none" w:sz="0" w:space="0" w:color="auto"/>
        <w:bottom w:val="none" w:sz="0" w:space="0" w:color="auto"/>
        <w:right w:val="none" w:sz="0" w:space="0" w:color="auto"/>
      </w:divBdr>
    </w:div>
    <w:div w:id="1083524872">
      <w:bodyDiv w:val="1"/>
      <w:marLeft w:val="0"/>
      <w:marRight w:val="0"/>
      <w:marTop w:val="0"/>
      <w:marBottom w:val="0"/>
      <w:divBdr>
        <w:top w:val="none" w:sz="0" w:space="0" w:color="auto"/>
        <w:left w:val="none" w:sz="0" w:space="0" w:color="auto"/>
        <w:bottom w:val="none" w:sz="0" w:space="0" w:color="auto"/>
        <w:right w:val="none" w:sz="0" w:space="0" w:color="auto"/>
      </w:divBdr>
    </w:div>
    <w:div w:id="1083989288">
      <w:bodyDiv w:val="1"/>
      <w:marLeft w:val="0"/>
      <w:marRight w:val="0"/>
      <w:marTop w:val="0"/>
      <w:marBottom w:val="0"/>
      <w:divBdr>
        <w:top w:val="none" w:sz="0" w:space="0" w:color="auto"/>
        <w:left w:val="none" w:sz="0" w:space="0" w:color="auto"/>
        <w:bottom w:val="none" w:sz="0" w:space="0" w:color="auto"/>
        <w:right w:val="none" w:sz="0" w:space="0" w:color="auto"/>
      </w:divBdr>
    </w:div>
    <w:div w:id="1085150997">
      <w:bodyDiv w:val="1"/>
      <w:marLeft w:val="0"/>
      <w:marRight w:val="0"/>
      <w:marTop w:val="0"/>
      <w:marBottom w:val="0"/>
      <w:divBdr>
        <w:top w:val="none" w:sz="0" w:space="0" w:color="auto"/>
        <w:left w:val="none" w:sz="0" w:space="0" w:color="auto"/>
        <w:bottom w:val="none" w:sz="0" w:space="0" w:color="auto"/>
        <w:right w:val="none" w:sz="0" w:space="0" w:color="auto"/>
      </w:divBdr>
    </w:div>
    <w:div w:id="1085685291">
      <w:bodyDiv w:val="1"/>
      <w:marLeft w:val="0"/>
      <w:marRight w:val="0"/>
      <w:marTop w:val="0"/>
      <w:marBottom w:val="0"/>
      <w:divBdr>
        <w:top w:val="none" w:sz="0" w:space="0" w:color="auto"/>
        <w:left w:val="none" w:sz="0" w:space="0" w:color="auto"/>
        <w:bottom w:val="none" w:sz="0" w:space="0" w:color="auto"/>
        <w:right w:val="none" w:sz="0" w:space="0" w:color="auto"/>
      </w:divBdr>
    </w:div>
    <w:div w:id="1087772548">
      <w:bodyDiv w:val="1"/>
      <w:marLeft w:val="0"/>
      <w:marRight w:val="0"/>
      <w:marTop w:val="0"/>
      <w:marBottom w:val="0"/>
      <w:divBdr>
        <w:top w:val="none" w:sz="0" w:space="0" w:color="auto"/>
        <w:left w:val="none" w:sz="0" w:space="0" w:color="auto"/>
        <w:bottom w:val="none" w:sz="0" w:space="0" w:color="auto"/>
        <w:right w:val="none" w:sz="0" w:space="0" w:color="auto"/>
      </w:divBdr>
    </w:div>
    <w:div w:id="1088505630">
      <w:bodyDiv w:val="1"/>
      <w:marLeft w:val="0"/>
      <w:marRight w:val="0"/>
      <w:marTop w:val="0"/>
      <w:marBottom w:val="0"/>
      <w:divBdr>
        <w:top w:val="none" w:sz="0" w:space="0" w:color="auto"/>
        <w:left w:val="none" w:sz="0" w:space="0" w:color="auto"/>
        <w:bottom w:val="none" w:sz="0" w:space="0" w:color="auto"/>
        <w:right w:val="none" w:sz="0" w:space="0" w:color="auto"/>
      </w:divBdr>
    </w:div>
    <w:div w:id="1090858134">
      <w:bodyDiv w:val="1"/>
      <w:marLeft w:val="0"/>
      <w:marRight w:val="0"/>
      <w:marTop w:val="0"/>
      <w:marBottom w:val="0"/>
      <w:divBdr>
        <w:top w:val="none" w:sz="0" w:space="0" w:color="auto"/>
        <w:left w:val="none" w:sz="0" w:space="0" w:color="auto"/>
        <w:bottom w:val="none" w:sz="0" w:space="0" w:color="auto"/>
        <w:right w:val="none" w:sz="0" w:space="0" w:color="auto"/>
      </w:divBdr>
    </w:div>
    <w:div w:id="1091586333">
      <w:bodyDiv w:val="1"/>
      <w:marLeft w:val="0"/>
      <w:marRight w:val="0"/>
      <w:marTop w:val="0"/>
      <w:marBottom w:val="0"/>
      <w:divBdr>
        <w:top w:val="none" w:sz="0" w:space="0" w:color="auto"/>
        <w:left w:val="none" w:sz="0" w:space="0" w:color="auto"/>
        <w:bottom w:val="none" w:sz="0" w:space="0" w:color="auto"/>
        <w:right w:val="none" w:sz="0" w:space="0" w:color="auto"/>
      </w:divBdr>
    </w:div>
    <w:div w:id="1092166480">
      <w:bodyDiv w:val="1"/>
      <w:marLeft w:val="0"/>
      <w:marRight w:val="0"/>
      <w:marTop w:val="0"/>
      <w:marBottom w:val="0"/>
      <w:divBdr>
        <w:top w:val="none" w:sz="0" w:space="0" w:color="auto"/>
        <w:left w:val="none" w:sz="0" w:space="0" w:color="auto"/>
        <w:bottom w:val="none" w:sz="0" w:space="0" w:color="auto"/>
        <w:right w:val="none" w:sz="0" w:space="0" w:color="auto"/>
      </w:divBdr>
    </w:div>
    <w:div w:id="1094984147">
      <w:bodyDiv w:val="1"/>
      <w:marLeft w:val="0"/>
      <w:marRight w:val="0"/>
      <w:marTop w:val="0"/>
      <w:marBottom w:val="0"/>
      <w:divBdr>
        <w:top w:val="none" w:sz="0" w:space="0" w:color="auto"/>
        <w:left w:val="none" w:sz="0" w:space="0" w:color="auto"/>
        <w:bottom w:val="none" w:sz="0" w:space="0" w:color="auto"/>
        <w:right w:val="none" w:sz="0" w:space="0" w:color="auto"/>
      </w:divBdr>
    </w:div>
    <w:div w:id="1099057554">
      <w:bodyDiv w:val="1"/>
      <w:marLeft w:val="0"/>
      <w:marRight w:val="0"/>
      <w:marTop w:val="0"/>
      <w:marBottom w:val="0"/>
      <w:divBdr>
        <w:top w:val="none" w:sz="0" w:space="0" w:color="auto"/>
        <w:left w:val="none" w:sz="0" w:space="0" w:color="auto"/>
        <w:bottom w:val="none" w:sz="0" w:space="0" w:color="auto"/>
        <w:right w:val="none" w:sz="0" w:space="0" w:color="auto"/>
      </w:divBdr>
    </w:div>
    <w:div w:id="1099374517">
      <w:bodyDiv w:val="1"/>
      <w:marLeft w:val="0"/>
      <w:marRight w:val="0"/>
      <w:marTop w:val="0"/>
      <w:marBottom w:val="0"/>
      <w:divBdr>
        <w:top w:val="none" w:sz="0" w:space="0" w:color="auto"/>
        <w:left w:val="none" w:sz="0" w:space="0" w:color="auto"/>
        <w:bottom w:val="none" w:sz="0" w:space="0" w:color="auto"/>
        <w:right w:val="none" w:sz="0" w:space="0" w:color="auto"/>
      </w:divBdr>
    </w:div>
    <w:div w:id="1099524825">
      <w:bodyDiv w:val="1"/>
      <w:marLeft w:val="0"/>
      <w:marRight w:val="0"/>
      <w:marTop w:val="0"/>
      <w:marBottom w:val="0"/>
      <w:divBdr>
        <w:top w:val="none" w:sz="0" w:space="0" w:color="auto"/>
        <w:left w:val="none" w:sz="0" w:space="0" w:color="auto"/>
        <w:bottom w:val="none" w:sz="0" w:space="0" w:color="auto"/>
        <w:right w:val="none" w:sz="0" w:space="0" w:color="auto"/>
      </w:divBdr>
    </w:div>
    <w:div w:id="1100568804">
      <w:bodyDiv w:val="1"/>
      <w:marLeft w:val="0"/>
      <w:marRight w:val="0"/>
      <w:marTop w:val="0"/>
      <w:marBottom w:val="0"/>
      <w:divBdr>
        <w:top w:val="none" w:sz="0" w:space="0" w:color="auto"/>
        <w:left w:val="none" w:sz="0" w:space="0" w:color="auto"/>
        <w:bottom w:val="none" w:sz="0" w:space="0" w:color="auto"/>
        <w:right w:val="none" w:sz="0" w:space="0" w:color="auto"/>
      </w:divBdr>
    </w:div>
    <w:div w:id="1100639360">
      <w:bodyDiv w:val="1"/>
      <w:marLeft w:val="0"/>
      <w:marRight w:val="0"/>
      <w:marTop w:val="0"/>
      <w:marBottom w:val="0"/>
      <w:divBdr>
        <w:top w:val="none" w:sz="0" w:space="0" w:color="auto"/>
        <w:left w:val="none" w:sz="0" w:space="0" w:color="auto"/>
        <w:bottom w:val="none" w:sz="0" w:space="0" w:color="auto"/>
        <w:right w:val="none" w:sz="0" w:space="0" w:color="auto"/>
      </w:divBdr>
    </w:div>
    <w:div w:id="1101610064">
      <w:bodyDiv w:val="1"/>
      <w:marLeft w:val="0"/>
      <w:marRight w:val="0"/>
      <w:marTop w:val="0"/>
      <w:marBottom w:val="0"/>
      <w:divBdr>
        <w:top w:val="none" w:sz="0" w:space="0" w:color="auto"/>
        <w:left w:val="none" w:sz="0" w:space="0" w:color="auto"/>
        <w:bottom w:val="none" w:sz="0" w:space="0" w:color="auto"/>
        <w:right w:val="none" w:sz="0" w:space="0" w:color="auto"/>
      </w:divBdr>
    </w:div>
    <w:div w:id="1103263562">
      <w:bodyDiv w:val="1"/>
      <w:marLeft w:val="0"/>
      <w:marRight w:val="0"/>
      <w:marTop w:val="0"/>
      <w:marBottom w:val="0"/>
      <w:divBdr>
        <w:top w:val="none" w:sz="0" w:space="0" w:color="auto"/>
        <w:left w:val="none" w:sz="0" w:space="0" w:color="auto"/>
        <w:bottom w:val="none" w:sz="0" w:space="0" w:color="auto"/>
        <w:right w:val="none" w:sz="0" w:space="0" w:color="auto"/>
      </w:divBdr>
    </w:div>
    <w:div w:id="1103888996">
      <w:bodyDiv w:val="1"/>
      <w:marLeft w:val="0"/>
      <w:marRight w:val="0"/>
      <w:marTop w:val="0"/>
      <w:marBottom w:val="0"/>
      <w:divBdr>
        <w:top w:val="none" w:sz="0" w:space="0" w:color="auto"/>
        <w:left w:val="none" w:sz="0" w:space="0" w:color="auto"/>
        <w:bottom w:val="none" w:sz="0" w:space="0" w:color="auto"/>
        <w:right w:val="none" w:sz="0" w:space="0" w:color="auto"/>
      </w:divBdr>
    </w:div>
    <w:div w:id="1106385938">
      <w:bodyDiv w:val="1"/>
      <w:marLeft w:val="0"/>
      <w:marRight w:val="0"/>
      <w:marTop w:val="0"/>
      <w:marBottom w:val="0"/>
      <w:divBdr>
        <w:top w:val="none" w:sz="0" w:space="0" w:color="auto"/>
        <w:left w:val="none" w:sz="0" w:space="0" w:color="auto"/>
        <w:bottom w:val="none" w:sz="0" w:space="0" w:color="auto"/>
        <w:right w:val="none" w:sz="0" w:space="0" w:color="auto"/>
      </w:divBdr>
    </w:div>
    <w:div w:id="1107653822">
      <w:bodyDiv w:val="1"/>
      <w:marLeft w:val="0"/>
      <w:marRight w:val="0"/>
      <w:marTop w:val="0"/>
      <w:marBottom w:val="0"/>
      <w:divBdr>
        <w:top w:val="none" w:sz="0" w:space="0" w:color="auto"/>
        <w:left w:val="none" w:sz="0" w:space="0" w:color="auto"/>
        <w:bottom w:val="none" w:sz="0" w:space="0" w:color="auto"/>
        <w:right w:val="none" w:sz="0" w:space="0" w:color="auto"/>
      </w:divBdr>
    </w:div>
    <w:div w:id="1107848579">
      <w:bodyDiv w:val="1"/>
      <w:marLeft w:val="0"/>
      <w:marRight w:val="0"/>
      <w:marTop w:val="0"/>
      <w:marBottom w:val="0"/>
      <w:divBdr>
        <w:top w:val="none" w:sz="0" w:space="0" w:color="auto"/>
        <w:left w:val="none" w:sz="0" w:space="0" w:color="auto"/>
        <w:bottom w:val="none" w:sz="0" w:space="0" w:color="auto"/>
        <w:right w:val="none" w:sz="0" w:space="0" w:color="auto"/>
      </w:divBdr>
    </w:div>
    <w:div w:id="1109815674">
      <w:bodyDiv w:val="1"/>
      <w:marLeft w:val="0"/>
      <w:marRight w:val="0"/>
      <w:marTop w:val="0"/>
      <w:marBottom w:val="0"/>
      <w:divBdr>
        <w:top w:val="none" w:sz="0" w:space="0" w:color="auto"/>
        <w:left w:val="none" w:sz="0" w:space="0" w:color="auto"/>
        <w:bottom w:val="none" w:sz="0" w:space="0" w:color="auto"/>
        <w:right w:val="none" w:sz="0" w:space="0" w:color="auto"/>
      </w:divBdr>
    </w:div>
    <w:div w:id="1109855429">
      <w:bodyDiv w:val="1"/>
      <w:marLeft w:val="0"/>
      <w:marRight w:val="0"/>
      <w:marTop w:val="0"/>
      <w:marBottom w:val="0"/>
      <w:divBdr>
        <w:top w:val="none" w:sz="0" w:space="0" w:color="auto"/>
        <w:left w:val="none" w:sz="0" w:space="0" w:color="auto"/>
        <w:bottom w:val="none" w:sz="0" w:space="0" w:color="auto"/>
        <w:right w:val="none" w:sz="0" w:space="0" w:color="auto"/>
      </w:divBdr>
    </w:div>
    <w:div w:id="1112475106">
      <w:bodyDiv w:val="1"/>
      <w:marLeft w:val="0"/>
      <w:marRight w:val="0"/>
      <w:marTop w:val="0"/>
      <w:marBottom w:val="0"/>
      <w:divBdr>
        <w:top w:val="none" w:sz="0" w:space="0" w:color="auto"/>
        <w:left w:val="none" w:sz="0" w:space="0" w:color="auto"/>
        <w:bottom w:val="none" w:sz="0" w:space="0" w:color="auto"/>
        <w:right w:val="none" w:sz="0" w:space="0" w:color="auto"/>
      </w:divBdr>
    </w:div>
    <w:div w:id="1114403460">
      <w:bodyDiv w:val="1"/>
      <w:marLeft w:val="0"/>
      <w:marRight w:val="0"/>
      <w:marTop w:val="0"/>
      <w:marBottom w:val="0"/>
      <w:divBdr>
        <w:top w:val="none" w:sz="0" w:space="0" w:color="auto"/>
        <w:left w:val="none" w:sz="0" w:space="0" w:color="auto"/>
        <w:bottom w:val="none" w:sz="0" w:space="0" w:color="auto"/>
        <w:right w:val="none" w:sz="0" w:space="0" w:color="auto"/>
      </w:divBdr>
    </w:div>
    <w:div w:id="1116830377">
      <w:bodyDiv w:val="1"/>
      <w:marLeft w:val="0"/>
      <w:marRight w:val="0"/>
      <w:marTop w:val="0"/>
      <w:marBottom w:val="0"/>
      <w:divBdr>
        <w:top w:val="none" w:sz="0" w:space="0" w:color="auto"/>
        <w:left w:val="none" w:sz="0" w:space="0" w:color="auto"/>
        <w:bottom w:val="none" w:sz="0" w:space="0" w:color="auto"/>
        <w:right w:val="none" w:sz="0" w:space="0" w:color="auto"/>
      </w:divBdr>
    </w:div>
    <w:div w:id="1117944820">
      <w:bodyDiv w:val="1"/>
      <w:marLeft w:val="0"/>
      <w:marRight w:val="0"/>
      <w:marTop w:val="0"/>
      <w:marBottom w:val="0"/>
      <w:divBdr>
        <w:top w:val="none" w:sz="0" w:space="0" w:color="auto"/>
        <w:left w:val="none" w:sz="0" w:space="0" w:color="auto"/>
        <w:bottom w:val="none" w:sz="0" w:space="0" w:color="auto"/>
        <w:right w:val="none" w:sz="0" w:space="0" w:color="auto"/>
      </w:divBdr>
    </w:div>
    <w:div w:id="1118064659">
      <w:bodyDiv w:val="1"/>
      <w:marLeft w:val="0"/>
      <w:marRight w:val="0"/>
      <w:marTop w:val="0"/>
      <w:marBottom w:val="0"/>
      <w:divBdr>
        <w:top w:val="none" w:sz="0" w:space="0" w:color="auto"/>
        <w:left w:val="none" w:sz="0" w:space="0" w:color="auto"/>
        <w:bottom w:val="none" w:sz="0" w:space="0" w:color="auto"/>
        <w:right w:val="none" w:sz="0" w:space="0" w:color="auto"/>
      </w:divBdr>
    </w:div>
    <w:div w:id="1119375869">
      <w:bodyDiv w:val="1"/>
      <w:marLeft w:val="0"/>
      <w:marRight w:val="0"/>
      <w:marTop w:val="0"/>
      <w:marBottom w:val="0"/>
      <w:divBdr>
        <w:top w:val="none" w:sz="0" w:space="0" w:color="auto"/>
        <w:left w:val="none" w:sz="0" w:space="0" w:color="auto"/>
        <w:bottom w:val="none" w:sz="0" w:space="0" w:color="auto"/>
        <w:right w:val="none" w:sz="0" w:space="0" w:color="auto"/>
      </w:divBdr>
    </w:div>
    <w:div w:id="1121143334">
      <w:bodyDiv w:val="1"/>
      <w:marLeft w:val="0"/>
      <w:marRight w:val="0"/>
      <w:marTop w:val="0"/>
      <w:marBottom w:val="0"/>
      <w:divBdr>
        <w:top w:val="none" w:sz="0" w:space="0" w:color="auto"/>
        <w:left w:val="none" w:sz="0" w:space="0" w:color="auto"/>
        <w:bottom w:val="none" w:sz="0" w:space="0" w:color="auto"/>
        <w:right w:val="none" w:sz="0" w:space="0" w:color="auto"/>
      </w:divBdr>
    </w:div>
    <w:div w:id="1121456712">
      <w:bodyDiv w:val="1"/>
      <w:marLeft w:val="0"/>
      <w:marRight w:val="0"/>
      <w:marTop w:val="0"/>
      <w:marBottom w:val="0"/>
      <w:divBdr>
        <w:top w:val="none" w:sz="0" w:space="0" w:color="auto"/>
        <w:left w:val="none" w:sz="0" w:space="0" w:color="auto"/>
        <w:bottom w:val="none" w:sz="0" w:space="0" w:color="auto"/>
        <w:right w:val="none" w:sz="0" w:space="0" w:color="auto"/>
      </w:divBdr>
    </w:div>
    <w:div w:id="1122722852">
      <w:bodyDiv w:val="1"/>
      <w:marLeft w:val="0"/>
      <w:marRight w:val="0"/>
      <w:marTop w:val="0"/>
      <w:marBottom w:val="0"/>
      <w:divBdr>
        <w:top w:val="none" w:sz="0" w:space="0" w:color="auto"/>
        <w:left w:val="none" w:sz="0" w:space="0" w:color="auto"/>
        <w:bottom w:val="none" w:sz="0" w:space="0" w:color="auto"/>
        <w:right w:val="none" w:sz="0" w:space="0" w:color="auto"/>
      </w:divBdr>
    </w:div>
    <w:div w:id="1122726344">
      <w:bodyDiv w:val="1"/>
      <w:marLeft w:val="0"/>
      <w:marRight w:val="0"/>
      <w:marTop w:val="0"/>
      <w:marBottom w:val="0"/>
      <w:divBdr>
        <w:top w:val="none" w:sz="0" w:space="0" w:color="auto"/>
        <w:left w:val="none" w:sz="0" w:space="0" w:color="auto"/>
        <w:bottom w:val="none" w:sz="0" w:space="0" w:color="auto"/>
        <w:right w:val="none" w:sz="0" w:space="0" w:color="auto"/>
      </w:divBdr>
    </w:div>
    <w:div w:id="1122767936">
      <w:bodyDiv w:val="1"/>
      <w:marLeft w:val="0"/>
      <w:marRight w:val="0"/>
      <w:marTop w:val="0"/>
      <w:marBottom w:val="0"/>
      <w:divBdr>
        <w:top w:val="none" w:sz="0" w:space="0" w:color="auto"/>
        <w:left w:val="none" w:sz="0" w:space="0" w:color="auto"/>
        <w:bottom w:val="none" w:sz="0" w:space="0" w:color="auto"/>
        <w:right w:val="none" w:sz="0" w:space="0" w:color="auto"/>
      </w:divBdr>
    </w:div>
    <w:div w:id="1123578719">
      <w:bodyDiv w:val="1"/>
      <w:marLeft w:val="0"/>
      <w:marRight w:val="0"/>
      <w:marTop w:val="0"/>
      <w:marBottom w:val="0"/>
      <w:divBdr>
        <w:top w:val="none" w:sz="0" w:space="0" w:color="auto"/>
        <w:left w:val="none" w:sz="0" w:space="0" w:color="auto"/>
        <w:bottom w:val="none" w:sz="0" w:space="0" w:color="auto"/>
        <w:right w:val="none" w:sz="0" w:space="0" w:color="auto"/>
      </w:divBdr>
    </w:div>
    <w:div w:id="1124733960">
      <w:bodyDiv w:val="1"/>
      <w:marLeft w:val="0"/>
      <w:marRight w:val="0"/>
      <w:marTop w:val="0"/>
      <w:marBottom w:val="0"/>
      <w:divBdr>
        <w:top w:val="none" w:sz="0" w:space="0" w:color="auto"/>
        <w:left w:val="none" w:sz="0" w:space="0" w:color="auto"/>
        <w:bottom w:val="none" w:sz="0" w:space="0" w:color="auto"/>
        <w:right w:val="none" w:sz="0" w:space="0" w:color="auto"/>
      </w:divBdr>
    </w:div>
    <w:div w:id="1125001243">
      <w:bodyDiv w:val="1"/>
      <w:marLeft w:val="0"/>
      <w:marRight w:val="0"/>
      <w:marTop w:val="0"/>
      <w:marBottom w:val="0"/>
      <w:divBdr>
        <w:top w:val="none" w:sz="0" w:space="0" w:color="auto"/>
        <w:left w:val="none" w:sz="0" w:space="0" w:color="auto"/>
        <w:bottom w:val="none" w:sz="0" w:space="0" w:color="auto"/>
        <w:right w:val="none" w:sz="0" w:space="0" w:color="auto"/>
      </w:divBdr>
    </w:div>
    <w:div w:id="1125926285">
      <w:bodyDiv w:val="1"/>
      <w:marLeft w:val="0"/>
      <w:marRight w:val="0"/>
      <w:marTop w:val="0"/>
      <w:marBottom w:val="0"/>
      <w:divBdr>
        <w:top w:val="none" w:sz="0" w:space="0" w:color="auto"/>
        <w:left w:val="none" w:sz="0" w:space="0" w:color="auto"/>
        <w:bottom w:val="none" w:sz="0" w:space="0" w:color="auto"/>
        <w:right w:val="none" w:sz="0" w:space="0" w:color="auto"/>
      </w:divBdr>
    </w:div>
    <w:div w:id="1126705115">
      <w:bodyDiv w:val="1"/>
      <w:marLeft w:val="0"/>
      <w:marRight w:val="0"/>
      <w:marTop w:val="0"/>
      <w:marBottom w:val="0"/>
      <w:divBdr>
        <w:top w:val="none" w:sz="0" w:space="0" w:color="auto"/>
        <w:left w:val="none" w:sz="0" w:space="0" w:color="auto"/>
        <w:bottom w:val="none" w:sz="0" w:space="0" w:color="auto"/>
        <w:right w:val="none" w:sz="0" w:space="0" w:color="auto"/>
      </w:divBdr>
    </w:div>
    <w:div w:id="1126922338">
      <w:bodyDiv w:val="1"/>
      <w:marLeft w:val="0"/>
      <w:marRight w:val="0"/>
      <w:marTop w:val="0"/>
      <w:marBottom w:val="0"/>
      <w:divBdr>
        <w:top w:val="none" w:sz="0" w:space="0" w:color="auto"/>
        <w:left w:val="none" w:sz="0" w:space="0" w:color="auto"/>
        <w:bottom w:val="none" w:sz="0" w:space="0" w:color="auto"/>
        <w:right w:val="none" w:sz="0" w:space="0" w:color="auto"/>
      </w:divBdr>
    </w:div>
    <w:div w:id="1127043141">
      <w:bodyDiv w:val="1"/>
      <w:marLeft w:val="0"/>
      <w:marRight w:val="0"/>
      <w:marTop w:val="0"/>
      <w:marBottom w:val="0"/>
      <w:divBdr>
        <w:top w:val="none" w:sz="0" w:space="0" w:color="auto"/>
        <w:left w:val="none" w:sz="0" w:space="0" w:color="auto"/>
        <w:bottom w:val="none" w:sz="0" w:space="0" w:color="auto"/>
        <w:right w:val="none" w:sz="0" w:space="0" w:color="auto"/>
      </w:divBdr>
    </w:div>
    <w:div w:id="1127510384">
      <w:bodyDiv w:val="1"/>
      <w:marLeft w:val="0"/>
      <w:marRight w:val="0"/>
      <w:marTop w:val="0"/>
      <w:marBottom w:val="0"/>
      <w:divBdr>
        <w:top w:val="none" w:sz="0" w:space="0" w:color="auto"/>
        <w:left w:val="none" w:sz="0" w:space="0" w:color="auto"/>
        <w:bottom w:val="none" w:sz="0" w:space="0" w:color="auto"/>
        <w:right w:val="none" w:sz="0" w:space="0" w:color="auto"/>
      </w:divBdr>
    </w:div>
    <w:div w:id="1127815710">
      <w:bodyDiv w:val="1"/>
      <w:marLeft w:val="0"/>
      <w:marRight w:val="0"/>
      <w:marTop w:val="0"/>
      <w:marBottom w:val="0"/>
      <w:divBdr>
        <w:top w:val="none" w:sz="0" w:space="0" w:color="auto"/>
        <w:left w:val="none" w:sz="0" w:space="0" w:color="auto"/>
        <w:bottom w:val="none" w:sz="0" w:space="0" w:color="auto"/>
        <w:right w:val="none" w:sz="0" w:space="0" w:color="auto"/>
      </w:divBdr>
    </w:div>
    <w:div w:id="1129862465">
      <w:bodyDiv w:val="1"/>
      <w:marLeft w:val="0"/>
      <w:marRight w:val="0"/>
      <w:marTop w:val="0"/>
      <w:marBottom w:val="0"/>
      <w:divBdr>
        <w:top w:val="none" w:sz="0" w:space="0" w:color="auto"/>
        <w:left w:val="none" w:sz="0" w:space="0" w:color="auto"/>
        <w:bottom w:val="none" w:sz="0" w:space="0" w:color="auto"/>
        <w:right w:val="none" w:sz="0" w:space="0" w:color="auto"/>
      </w:divBdr>
    </w:div>
    <w:div w:id="1131902351">
      <w:bodyDiv w:val="1"/>
      <w:marLeft w:val="0"/>
      <w:marRight w:val="0"/>
      <w:marTop w:val="0"/>
      <w:marBottom w:val="0"/>
      <w:divBdr>
        <w:top w:val="none" w:sz="0" w:space="0" w:color="auto"/>
        <w:left w:val="none" w:sz="0" w:space="0" w:color="auto"/>
        <w:bottom w:val="none" w:sz="0" w:space="0" w:color="auto"/>
        <w:right w:val="none" w:sz="0" w:space="0" w:color="auto"/>
      </w:divBdr>
    </w:div>
    <w:div w:id="1133406731">
      <w:bodyDiv w:val="1"/>
      <w:marLeft w:val="0"/>
      <w:marRight w:val="0"/>
      <w:marTop w:val="0"/>
      <w:marBottom w:val="0"/>
      <w:divBdr>
        <w:top w:val="none" w:sz="0" w:space="0" w:color="auto"/>
        <w:left w:val="none" w:sz="0" w:space="0" w:color="auto"/>
        <w:bottom w:val="none" w:sz="0" w:space="0" w:color="auto"/>
        <w:right w:val="none" w:sz="0" w:space="0" w:color="auto"/>
      </w:divBdr>
    </w:div>
    <w:div w:id="1135224314">
      <w:bodyDiv w:val="1"/>
      <w:marLeft w:val="0"/>
      <w:marRight w:val="0"/>
      <w:marTop w:val="0"/>
      <w:marBottom w:val="0"/>
      <w:divBdr>
        <w:top w:val="none" w:sz="0" w:space="0" w:color="auto"/>
        <w:left w:val="none" w:sz="0" w:space="0" w:color="auto"/>
        <w:bottom w:val="none" w:sz="0" w:space="0" w:color="auto"/>
        <w:right w:val="none" w:sz="0" w:space="0" w:color="auto"/>
      </w:divBdr>
    </w:div>
    <w:div w:id="1135834791">
      <w:bodyDiv w:val="1"/>
      <w:marLeft w:val="0"/>
      <w:marRight w:val="0"/>
      <w:marTop w:val="0"/>
      <w:marBottom w:val="0"/>
      <w:divBdr>
        <w:top w:val="none" w:sz="0" w:space="0" w:color="auto"/>
        <w:left w:val="none" w:sz="0" w:space="0" w:color="auto"/>
        <w:bottom w:val="none" w:sz="0" w:space="0" w:color="auto"/>
        <w:right w:val="none" w:sz="0" w:space="0" w:color="auto"/>
      </w:divBdr>
    </w:div>
    <w:div w:id="1137339249">
      <w:bodyDiv w:val="1"/>
      <w:marLeft w:val="0"/>
      <w:marRight w:val="0"/>
      <w:marTop w:val="0"/>
      <w:marBottom w:val="0"/>
      <w:divBdr>
        <w:top w:val="none" w:sz="0" w:space="0" w:color="auto"/>
        <w:left w:val="none" w:sz="0" w:space="0" w:color="auto"/>
        <w:bottom w:val="none" w:sz="0" w:space="0" w:color="auto"/>
        <w:right w:val="none" w:sz="0" w:space="0" w:color="auto"/>
      </w:divBdr>
    </w:div>
    <w:div w:id="1137917398">
      <w:bodyDiv w:val="1"/>
      <w:marLeft w:val="0"/>
      <w:marRight w:val="0"/>
      <w:marTop w:val="0"/>
      <w:marBottom w:val="0"/>
      <w:divBdr>
        <w:top w:val="none" w:sz="0" w:space="0" w:color="auto"/>
        <w:left w:val="none" w:sz="0" w:space="0" w:color="auto"/>
        <w:bottom w:val="none" w:sz="0" w:space="0" w:color="auto"/>
        <w:right w:val="none" w:sz="0" w:space="0" w:color="auto"/>
      </w:divBdr>
    </w:div>
    <w:div w:id="1138574697">
      <w:bodyDiv w:val="1"/>
      <w:marLeft w:val="0"/>
      <w:marRight w:val="0"/>
      <w:marTop w:val="0"/>
      <w:marBottom w:val="0"/>
      <w:divBdr>
        <w:top w:val="none" w:sz="0" w:space="0" w:color="auto"/>
        <w:left w:val="none" w:sz="0" w:space="0" w:color="auto"/>
        <w:bottom w:val="none" w:sz="0" w:space="0" w:color="auto"/>
        <w:right w:val="none" w:sz="0" w:space="0" w:color="auto"/>
      </w:divBdr>
    </w:div>
    <w:div w:id="1141769175">
      <w:bodyDiv w:val="1"/>
      <w:marLeft w:val="0"/>
      <w:marRight w:val="0"/>
      <w:marTop w:val="0"/>
      <w:marBottom w:val="0"/>
      <w:divBdr>
        <w:top w:val="none" w:sz="0" w:space="0" w:color="auto"/>
        <w:left w:val="none" w:sz="0" w:space="0" w:color="auto"/>
        <w:bottom w:val="none" w:sz="0" w:space="0" w:color="auto"/>
        <w:right w:val="none" w:sz="0" w:space="0" w:color="auto"/>
      </w:divBdr>
    </w:div>
    <w:div w:id="1142311654">
      <w:bodyDiv w:val="1"/>
      <w:marLeft w:val="0"/>
      <w:marRight w:val="0"/>
      <w:marTop w:val="0"/>
      <w:marBottom w:val="0"/>
      <w:divBdr>
        <w:top w:val="none" w:sz="0" w:space="0" w:color="auto"/>
        <w:left w:val="none" w:sz="0" w:space="0" w:color="auto"/>
        <w:bottom w:val="none" w:sz="0" w:space="0" w:color="auto"/>
        <w:right w:val="none" w:sz="0" w:space="0" w:color="auto"/>
      </w:divBdr>
    </w:div>
    <w:div w:id="1142770870">
      <w:bodyDiv w:val="1"/>
      <w:marLeft w:val="0"/>
      <w:marRight w:val="0"/>
      <w:marTop w:val="0"/>
      <w:marBottom w:val="0"/>
      <w:divBdr>
        <w:top w:val="none" w:sz="0" w:space="0" w:color="auto"/>
        <w:left w:val="none" w:sz="0" w:space="0" w:color="auto"/>
        <w:bottom w:val="none" w:sz="0" w:space="0" w:color="auto"/>
        <w:right w:val="none" w:sz="0" w:space="0" w:color="auto"/>
      </w:divBdr>
    </w:div>
    <w:div w:id="1143431229">
      <w:bodyDiv w:val="1"/>
      <w:marLeft w:val="0"/>
      <w:marRight w:val="0"/>
      <w:marTop w:val="0"/>
      <w:marBottom w:val="0"/>
      <w:divBdr>
        <w:top w:val="none" w:sz="0" w:space="0" w:color="auto"/>
        <w:left w:val="none" w:sz="0" w:space="0" w:color="auto"/>
        <w:bottom w:val="none" w:sz="0" w:space="0" w:color="auto"/>
        <w:right w:val="none" w:sz="0" w:space="0" w:color="auto"/>
      </w:divBdr>
    </w:div>
    <w:div w:id="1143891899">
      <w:bodyDiv w:val="1"/>
      <w:marLeft w:val="0"/>
      <w:marRight w:val="0"/>
      <w:marTop w:val="0"/>
      <w:marBottom w:val="0"/>
      <w:divBdr>
        <w:top w:val="none" w:sz="0" w:space="0" w:color="auto"/>
        <w:left w:val="none" w:sz="0" w:space="0" w:color="auto"/>
        <w:bottom w:val="none" w:sz="0" w:space="0" w:color="auto"/>
        <w:right w:val="none" w:sz="0" w:space="0" w:color="auto"/>
      </w:divBdr>
    </w:div>
    <w:div w:id="1144005212">
      <w:bodyDiv w:val="1"/>
      <w:marLeft w:val="0"/>
      <w:marRight w:val="0"/>
      <w:marTop w:val="0"/>
      <w:marBottom w:val="0"/>
      <w:divBdr>
        <w:top w:val="none" w:sz="0" w:space="0" w:color="auto"/>
        <w:left w:val="none" w:sz="0" w:space="0" w:color="auto"/>
        <w:bottom w:val="none" w:sz="0" w:space="0" w:color="auto"/>
        <w:right w:val="none" w:sz="0" w:space="0" w:color="auto"/>
      </w:divBdr>
    </w:div>
    <w:div w:id="1144159216">
      <w:bodyDiv w:val="1"/>
      <w:marLeft w:val="0"/>
      <w:marRight w:val="0"/>
      <w:marTop w:val="0"/>
      <w:marBottom w:val="0"/>
      <w:divBdr>
        <w:top w:val="none" w:sz="0" w:space="0" w:color="auto"/>
        <w:left w:val="none" w:sz="0" w:space="0" w:color="auto"/>
        <w:bottom w:val="none" w:sz="0" w:space="0" w:color="auto"/>
        <w:right w:val="none" w:sz="0" w:space="0" w:color="auto"/>
      </w:divBdr>
    </w:div>
    <w:div w:id="1145705812">
      <w:bodyDiv w:val="1"/>
      <w:marLeft w:val="0"/>
      <w:marRight w:val="0"/>
      <w:marTop w:val="0"/>
      <w:marBottom w:val="0"/>
      <w:divBdr>
        <w:top w:val="none" w:sz="0" w:space="0" w:color="auto"/>
        <w:left w:val="none" w:sz="0" w:space="0" w:color="auto"/>
        <w:bottom w:val="none" w:sz="0" w:space="0" w:color="auto"/>
        <w:right w:val="none" w:sz="0" w:space="0" w:color="auto"/>
      </w:divBdr>
    </w:div>
    <w:div w:id="1147237301">
      <w:bodyDiv w:val="1"/>
      <w:marLeft w:val="0"/>
      <w:marRight w:val="0"/>
      <w:marTop w:val="0"/>
      <w:marBottom w:val="0"/>
      <w:divBdr>
        <w:top w:val="none" w:sz="0" w:space="0" w:color="auto"/>
        <w:left w:val="none" w:sz="0" w:space="0" w:color="auto"/>
        <w:bottom w:val="none" w:sz="0" w:space="0" w:color="auto"/>
        <w:right w:val="none" w:sz="0" w:space="0" w:color="auto"/>
      </w:divBdr>
    </w:div>
    <w:div w:id="1147863409">
      <w:bodyDiv w:val="1"/>
      <w:marLeft w:val="0"/>
      <w:marRight w:val="0"/>
      <w:marTop w:val="0"/>
      <w:marBottom w:val="0"/>
      <w:divBdr>
        <w:top w:val="none" w:sz="0" w:space="0" w:color="auto"/>
        <w:left w:val="none" w:sz="0" w:space="0" w:color="auto"/>
        <w:bottom w:val="none" w:sz="0" w:space="0" w:color="auto"/>
        <w:right w:val="none" w:sz="0" w:space="0" w:color="auto"/>
      </w:divBdr>
    </w:div>
    <w:div w:id="1148935206">
      <w:bodyDiv w:val="1"/>
      <w:marLeft w:val="0"/>
      <w:marRight w:val="0"/>
      <w:marTop w:val="0"/>
      <w:marBottom w:val="0"/>
      <w:divBdr>
        <w:top w:val="none" w:sz="0" w:space="0" w:color="auto"/>
        <w:left w:val="none" w:sz="0" w:space="0" w:color="auto"/>
        <w:bottom w:val="none" w:sz="0" w:space="0" w:color="auto"/>
        <w:right w:val="none" w:sz="0" w:space="0" w:color="auto"/>
      </w:divBdr>
    </w:div>
    <w:div w:id="1149204399">
      <w:bodyDiv w:val="1"/>
      <w:marLeft w:val="0"/>
      <w:marRight w:val="0"/>
      <w:marTop w:val="0"/>
      <w:marBottom w:val="0"/>
      <w:divBdr>
        <w:top w:val="none" w:sz="0" w:space="0" w:color="auto"/>
        <w:left w:val="none" w:sz="0" w:space="0" w:color="auto"/>
        <w:bottom w:val="none" w:sz="0" w:space="0" w:color="auto"/>
        <w:right w:val="none" w:sz="0" w:space="0" w:color="auto"/>
      </w:divBdr>
    </w:div>
    <w:div w:id="1149438100">
      <w:bodyDiv w:val="1"/>
      <w:marLeft w:val="0"/>
      <w:marRight w:val="0"/>
      <w:marTop w:val="0"/>
      <w:marBottom w:val="0"/>
      <w:divBdr>
        <w:top w:val="none" w:sz="0" w:space="0" w:color="auto"/>
        <w:left w:val="none" w:sz="0" w:space="0" w:color="auto"/>
        <w:bottom w:val="none" w:sz="0" w:space="0" w:color="auto"/>
        <w:right w:val="none" w:sz="0" w:space="0" w:color="auto"/>
      </w:divBdr>
    </w:div>
    <w:div w:id="1150634571">
      <w:bodyDiv w:val="1"/>
      <w:marLeft w:val="0"/>
      <w:marRight w:val="0"/>
      <w:marTop w:val="0"/>
      <w:marBottom w:val="0"/>
      <w:divBdr>
        <w:top w:val="none" w:sz="0" w:space="0" w:color="auto"/>
        <w:left w:val="none" w:sz="0" w:space="0" w:color="auto"/>
        <w:bottom w:val="none" w:sz="0" w:space="0" w:color="auto"/>
        <w:right w:val="none" w:sz="0" w:space="0" w:color="auto"/>
      </w:divBdr>
    </w:div>
    <w:div w:id="1153332353">
      <w:bodyDiv w:val="1"/>
      <w:marLeft w:val="0"/>
      <w:marRight w:val="0"/>
      <w:marTop w:val="0"/>
      <w:marBottom w:val="0"/>
      <w:divBdr>
        <w:top w:val="none" w:sz="0" w:space="0" w:color="auto"/>
        <w:left w:val="none" w:sz="0" w:space="0" w:color="auto"/>
        <w:bottom w:val="none" w:sz="0" w:space="0" w:color="auto"/>
        <w:right w:val="none" w:sz="0" w:space="0" w:color="auto"/>
      </w:divBdr>
    </w:div>
    <w:div w:id="1155873551">
      <w:bodyDiv w:val="1"/>
      <w:marLeft w:val="0"/>
      <w:marRight w:val="0"/>
      <w:marTop w:val="0"/>
      <w:marBottom w:val="0"/>
      <w:divBdr>
        <w:top w:val="none" w:sz="0" w:space="0" w:color="auto"/>
        <w:left w:val="none" w:sz="0" w:space="0" w:color="auto"/>
        <w:bottom w:val="none" w:sz="0" w:space="0" w:color="auto"/>
        <w:right w:val="none" w:sz="0" w:space="0" w:color="auto"/>
      </w:divBdr>
    </w:div>
    <w:div w:id="1156921449">
      <w:bodyDiv w:val="1"/>
      <w:marLeft w:val="0"/>
      <w:marRight w:val="0"/>
      <w:marTop w:val="0"/>
      <w:marBottom w:val="0"/>
      <w:divBdr>
        <w:top w:val="none" w:sz="0" w:space="0" w:color="auto"/>
        <w:left w:val="none" w:sz="0" w:space="0" w:color="auto"/>
        <w:bottom w:val="none" w:sz="0" w:space="0" w:color="auto"/>
        <w:right w:val="none" w:sz="0" w:space="0" w:color="auto"/>
      </w:divBdr>
    </w:div>
    <w:div w:id="1157114634">
      <w:bodyDiv w:val="1"/>
      <w:marLeft w:val="0"/>
      <w:marRight w:val="0"/>
      <w:marTop w:val="0"/>
      <w:marBottom w:val="0"/>
      <w:divBdr>
        <w:top w:val="none" w:sz="0" w:space="0" w:color="auto"/>
        <w:left w:val="none" w:sz="0" w:space="0" w:color="auto"/>
        <w:bottom w:val="none" w:sz="0" w:space="0" w:color="auto"/>
        <w:right w:val="none" w:sz="0" w:space="0" w:color="auto"/>
      </w:divBdr>
    </w:div>
    <w:div w:id="1157382725">
      <w:bodyDiv w:val="1"/>
      <w:marLeft w:val="0"/>
      <w:marRight w:val="0"/>
      <w:marTop w:val="0"/>
      <w:marBottom w:val="0"/>
      <w:divBdr>
        <w:top w:val="none" w:sz="0" w:space="0" w:color="auto"/>
        <w:left w:val="none" w:sz="0" w:space="0" w:color="auto"/>
        <w:bottom w:val="none" w:sz="0" w:space="0" w:color="auto"/>
        <w:right w:val="none" w:sz="0" w:space="0" w:color="auto"/>
      </w:divBdr>
    </w:div>
    <w:div w:id="1157649519">
      <w:bodyDiv w:val="1"/>
      <w:marLeft w:val="0"/>
      <w:marRight w:val="0"/>
      <w:marTop w:val="0"/>
      <w:marBottom w:val="0"/>
      <w:divBdr>
        <w:top w:val="none" w:sz="0" w:space="0" w:color="auto"/>
        <w:left w:val="none" w:sz="0" w:space="0" w:color="auto"/>
        <w:bottom w:val="none" w:sz="0" w:space="0" w:color="auto"/>
        <w:right w:val="none" w:sz="0" w:space="0" w:color="auto"/>
      </w:divBdr>
    </w:div>
    <w:div w:id="1159737580">
      <w:bodyDiv w:val="1"/>
      <w:marLeft w:val="0"/>
      <w:marRight w:val="0"/>
      <w:marTop w:val="0"/>
      <w:marBottom w:val="0"/>
      <w:divBdr>
        <w:top w:val="none" w:sz="0" w:space="0" w:color="auto"/>
        <w:left w:val="none" w:sz="0" w:space="0" w:color="auto"/>
        <w:bottom w:val="none" w:sz="0" w:space="0" w:color="auto"/>
        <w:right w:val="none" w:sz="0" w:space="0" w:color="auto"/>
      </w:divBdr>
    </w:div>
    <w:div w:id="1162236494">
      <w:bodyDiv w:val="1"/>
      <w:marLeft w:val="0"/>
      <w:marRight w:val="0"/>
      <w:marTop w:val="0"/>
      <w:marBottom w:val="0"/>
      <w:divBdr>
        <w:top w:val="none" w:sz="0" w:space="0" w:color="auto"/>
        <w:left w:val="none" w:sz="0" w:space="0" w:color="auto"/>
        <w:bottom w:val="none" w:sz="0" w:space="0" w:color="auto"/>
        <w:right w:val="none" w:sz="0" w:space="0" w:color="auto"/>
      </w:divBdr>
    </w:div>
    <w:div w:id="1163080248">
      <w:bodyDiv w:val="1"/>
      <w:marLeft w:val="0"/>
      <w:marRight w:val="0"/>
      <w:marTop w:val="0"/>
      <w:marBottom w:val="0"/>
      <w:divBdr>
        <w:top w:val="none" w:sz="0" w:space="0" w:color="auto"/>
        <w:left w:val="none" w:sz="0" w:space="0" w:color="auto"/>
        <w:bottom w:val="none" w:sz="0" w:space="0" w:color="auto"/>
        <w:right w:val="none" w:sz="0" w:space="0" w:color="auto"/>
      </w:divBdr>
    </w:div>
    <w:div w:id="1163353367">
      <w:bodyDiv w:val="1"/>
      <w:marLeft w:val="0"/>
      <w:marRight w:val="0"/>
      <w:marTop w:val="0"/>
      <w:marBottom w:val="0"/>
      <w:divBdr>
        <w:top w:val="none" w:sz="0" w:space="0" w:color="auto"/>
        <w:left w:val="none" w:sz="0" w:space="0" w:color="auto"/>
        <w:bottom w:val="none" w:sz="0" w:space="0" w:color="auto"/>
        <w:right w:val="none" w:sz="0" w:space="0" w:color="auto"/>
      </w:divBdr>
    </w:div>
    <w:div w:id="1164200280">
      <w:bodyDiv w:val="1"/>
      <w:marLeft w:val="0"/>
      <w:marRight w:val="0"/>
      <w:marTop w:val="0"/>
      <w:marBottom w:val="0"/>
      <w:divBdr>
        <w:top w:val="none" w:sz="0" w:space="0" w:color="auto"/>
        <w:left w:val="none" w:sz="0" w:space="0" w:color="auto"/>
        <w:bottom w:val="none" w:sz="0" w:space="0" w:color="auto"/>
        <w:right w:val="none" w:sz="0" w:space="0" w:color="auto"/>
      </w:divBdr>
    </w:div>
    <w:div w:id="1165701939">
      <w:bodyDiv w:val="1"/>
      <w:marLeft w:val="0"/>
      <w:marRight w:val="0"/>
      <w:marTop w:val="0"/>
      <w:marBottom w:val="0"/>
      <w:divBdr>
        <w:top w:val="none" w:sz="0" w:space="0" w:color="auto"/>
        <w:left w:val="none" w:sz="0" w:space="0" w:color="auto"/>
        <w:bottom w:val="none" w:sz="0" w:space="0" w:color="auto"/>
        <w:right w:val="none" w:sz="0" w:space="0" w:color="auto"/>
      </w:divBdr>
    </w:div>
    <w:div w:id="1167748392">
      <w:bodyDiv w:val="1"/>
      <w:marLeft w:val="0"/>
      <w:marRight w:val="0"/>
      <w:marTop w:val="0"/>
      <w:marBottom w:val="0"/>
      <w:divBdr>
        <w:top w:val="none" w:sz="0" w:space="0" w:color="auto"/>
        <w:left w:val="none" w:sz="0" w:space="0" w:color="auto"/>
        <w:bottom w:val="none" w:sz="0" w:space="0" w:color="auto"/>
        <w:right w:val="none" w:sz="0" w:space="0" w:color="auto"/>
      </w:divBdr>
    </w:div>
    <w:div w:id="1169176163">
      <w:bodyDiv w:val="1"/>
      <w:marLeft w:val="0"/>
      <w:marRight w:val="0"/>
      <w:marTop w:val="0"/>
      <w:marBottom w:val="0"/>
      <w:divBdr>
        <w:top w:val="none" w:sz="0" w:space="0" w:color="auto"/>
        <w:left w:val="none" w:sz="0" w:space="0" w:color="auto"/>
        <w:bottom w:val="none" w:sz="0" w:space="0" w:color="auto"/>
        <w:right w:val="none" w:sz="0" w:space="0" w:color="auto"/>
      </w:divBdr>
    </w:div>
    <w:div w:id="1172330345">
      <w:bodyDiv w:val="1"/>
      <w:marLeft w:val="0"/>
      <w:marRight w:val="0"/>
      <w:marTop w:val="0"/>
      <w:marBottom w:val="0"/>
      <w:divBdr>
        <w:top w:val="none" w:sz="0" w:space="0" w:color="auto"/>
        <w:left w:val="none" w:sz="0" w:space="0" w:color="auto"/>
        <w:bottom w:val="none" w:sz="0" w:space="0" w:color="auto"/>
        <w:right w:val="none" w:sz="0" w:space="0" w:color="auto"/>
      </w:divBdr>
    </w:div>
    <w:div w:id="1174759115">
      <w:bodyDiv w:val="1"/>
      <w:marLeft w:val="0"/>
      <w:marRight w:val="0"/>
      <w:marTop w:val="0"/>
      <w:marBottom w:val="0"/>
      <w:divBdr>
        <w:top w:val="none" w:sz="0" w:space="0" w:color="auto"/>
        <w:left w:val="none" w:sz="0" w:space="0" w:color="auto"/>
        <w:bottom w:val="none" w:sz="0" w:space="0" w:color="auto"/>
        <w:right w:val="none" w:sz="0" w:space="0" w:color="auto"/>
      </w:divBdr>
    </w:div>
    <w:div w:id="1175724245">
      <w:bodyDiv w:val="1"/>
      <w:marLeft w:val="0"/>
      <w:marRight w:val="0"/>
      <w:marTop w:val="0"/>
      <w:marBottom w:val="0"/>
      <w:divBdr>
        <w:top w:val="none" w:sz="0" w:space="0" w:color="auto"/>
        <w:left w:val="none" w:sz="0" w:space="0" w:color="auto"/>
        <w:bottom w:val="none" w:sz="0" w:space="0" w:color="auto"/>
        <w:right w:val="none" w:sz="0" w:space="0" w:color="auto"/>
      </w:divBdr>
    </w:div>
    <w:div w:id="1175807653">
      <w:bodyDiv w:val="1"/>
      <w:marLeft w:val="0"/>
      <w:marRight w:val="0"/>
      <w:marTop w:val="0"/>
      <w:marBottom w:val="0"/>
      <w:divBdr>
        <w:top w:val="none" w:sz="0" w:space="0" w:color="auto"/>
        <w:left w:val="none" w:sz="0" w:space="0" w:color="auto"/>
        <w:bottom w:val="none" w:sz="0" w:space="0" w:color="auto"/>
        <w:right w:val="none" w:sz="0" w:space="0" w:color="auto"/>
      </w:divBdr>
    </w:div>
    <w:div w:id="1176845339">
      <w:bodyDiv w:val="1"/>
      <w:marLeft w:val="0"/>
      <w:marRight w:val="0"/>
      <w:marTop w:val="0"/>
      <w:marBottom w:val="0"/>
      <w:divBdr>
        <w:top w:val="none" w:sz="0" w:space="0" w:color="auto"/>
        <w:left w:val="none" w:sz="0" w:space="0" w:color="auto"/>
        <w:bottom w:val="none" w:sz="0" w:space="0" w:color="auto"/>
        <w:right w:val="none" w:sz="0" w:space="0" w:color="auto"/>
      </w:divBdr>
    </w:div>
    <w:div w:id="1178155118">
      <w:bodyDiv w:val="1"/>
      <w:marLeft w:val="0"/>
      <w:marRight w:val="0"/>
      <w:marTop w:val="0"/>
      <w:marBottom w:val="0"/>
      <w:divBdr>
        <w:top w:val="none" w:sz="0" w:space="0" w:color="auto"/>
        <w:left w:val="none" w:sz="0" w:space="0" w:color="auto"/>
        <w:bottom w:val="none" w:sz="0" w:space="0" w:color="auto"/>
        <w:right w:val="none" w:sz="0" w:space="0" w:color="auto"/>
      </w:divBdr>
    </w:div>
    <w:div w:id="1178344522">
      <w:bodyDiv w:val="1"/>
      <w:marLeft w:val="0"/>
      <w:marRight w:val="0"/>
      <w:marTop w:val="0"/>
      <w:marBottom w:val="0"/>
      <w:divBdr>
        <w:top w:val="none" w:sz="0" w:space="0" w:color="auto"/>
        <w:left w:val="none" w:sz="0" w:space="0" w:color="auto"/>
        <w:bottom w:val="none" w:sz="0" w:space="0" w:color="auto"/>
        <w:right w:val="none" w:sz="0" w:space="0" w:color="auto"/>
      </w:divBdr>
    </w:div>
    <w:div w:id="1178428555">
      <w:bodyDiv w:val="1"/>
      <w:marLeft w:val="0"/>
      <w:marRight w:val="0"/>
      <w:marTop w:val="0"/>
      <w:marBottom w:val="0"/>
      <w:divBdr>
        <w:top w:val="none" w:sz="0" w:space="0" w:color="auto"/>
        <w:left w:val="none" w:sz="0" w:space="0" w:color="auto"/>
        <w:bottom w:val="none" w:sz="0" w:space="0" w:color="auto"/>
        <w:right w:val="none" w:sz="0" w:space="0" w:color="auto"/>
      </w:divBdr>
    </w:div>
    <w:div w:id="1179273903">
      <w:bodyDiv w:val="1"/>
      <w:marLeft w:val="0"/>
      <w:marRight w:val="0"/>
      <w:marTop w:val="0"/>
      <w:marBottom w:val="0"/>
      <w:divBdr>
        <w:top w:val="none" w:sz="0" w:space="0" w:color="auto"/>
        <w:left w:val="none" w:sz="0" w:space="0" w:color="auto"/>
        <w:bottom w:val="none" w:sz="0" w:space="0" w:color="auto"/>
        <w:right w:val="none" w:sz="0" w:space="0" w:color="auto"/>
      </w:divBdr>
    </w:div>
    <w:div w:id="1179386760">
      <w:bodyDiv w:val="1"/>
      <w:marLeft w:val="0"/>
      <w:marRight w:val="0"/>
      <w:marTop w:val="0"/>
      <w:marBottom w:val="0"/>
      <w:divBdr>
        <w:top w:val="none" w:sz="0" w:space="0" w:color="auto"/>
        <w:left w:val="none" w:sz="0" w:space="0" w:color="auto"/>
        <w:bottom w:val="none" w:sz="0" w:space="0" w:color="auto"/>
        <w:right w:val="none" w:sz="0" w:space="0" w:color="auto"/>
      </w:divBdr>
    </w:div>
    <w:div w:id="1179733771">
      <w:bodyDiv w:val="1"/>
      <w:marLeft w:val="0"/>
      <w:marRight w:val="0"/>
      <w:marTop w:val="0"/>
      <w:marBottom w:val="0"/>
      <w:divBdr>
        <w:top w:val="none" w:sz="0" w:space="0" w:color="auto"/>
        <w:left w:val="none" w:sz="0" w:space="0" w:color="auto"/>
        <w:bottom w:val="none" w:sz="0" w:space="0" w:color="auto"/>
        <w:right w:val="none" w:sz="0" w:space="0" w:color="auto"/>
      </w:divBdr>
    </w:div>
    <w:div w:id="1181358541">
      <w:bodyDiv w:val="1"/>
      <w:marLeft w:val="0"/>
      <w:marRight w:val="0"/>
      <w:marTop w:val="0"/>
      <w:marBottom w:val="0"/>
      <w:divBdr>
        <w:top w:val="none" w:sz="0" w:space="0" w:color="auto"/>
        <w:left w:val="none" w:sz="0" w:space="0" w:color="auto"/>
        <w:bottom w:val="none" w:sz="0" w:space="0" w:color="auto"/>
        <w:right w:val="none" w:sz="0" w:space="0" w:color="auto"/>
      </w:divBdr>
    </w:div>
    <w:div w:id="1181505332">
      <w:bodyDiv w:val="1"/>
      <w:marLeft w:val="0"/>
      <w:marRight w:val="0"/>
      <w:marTop w:val="0"/>
      <w:marBottom w:val="0"/>
      <w:divBdr>
        <w:top w:val="none" w:sz="0" w:space="0" w:color="auto"/>
        <w:left w:val="none" w:sz="0" w:space="0" w:color="auto"/>
        <w:bottom w:val="none" w:sz="0" w:space="0" w:color="auto"/>
        <w:right w:val="none" w:sz="0" w:space="0" w:color="auto"/>
      </w:divBdr>
    </w:div>
    <w:div w:id="1182163156">
      <w:bodyDiv w:val="1"/>
      <w:marLeft w:val="0"/>
      <w:marRight w:val="0"/>
      <w:marTop w:val="0"/>
      <w:marBottom w:val="0"/>
      <w:divBdr>
        <w:top w:val="none" w:sz="0" w:space="0" w:color="auto"/>
        <w:left w:val="none" w:sz="0" w:space="0" w:color="auto"/>
        <w:bottom w:val="none" w:sz="0" w:space="0" w:color="auto"/>
        <w:right w:val="none" w:sz="0" w:space="0" w:color="auto"/>
      </w:divBdr>
    </w:div>
    <w:div w:id="1182278017">
      <w:bodyDiv w:val="1"/>
      <w:marLeft w:val="0"/>
      <w:marRight w:val="0"/>
      <w:marTop w:val="0"/>
      <w:marBottom w:val="0"/>
      <w:divBdr>
        <w:top w:val="none" w:sz="0" w:space="0" w:color="auto"/>
        <w:left w:val="none" w:sz="0" w:space="0" w:color="auto"/>
        <w:bottom w:val="none" w:sz="0" w:space="0" w:color="auto"/>
        <w:right w:val="none" w:sz="0" w:space="0" w:color="auto"/>
      </w:divBdr>
    </w:div>
    <w:div w:id="1182476715">
      <w:bodyDiv w:val="1"/>
      <w:marLeft w:val="0"/>
      <w:marRight w:val="0"/>
      <w:marTop w:val="0"/>
      <w:marBottom w:val="0"/>
      <w:divBdr>
        <w:top w:val="none" w:sz="0" w:space="0" w:color="auto"/>
        <w:left w:val="none" w:sz="0" w:space="0" w:color="auto"/>
        <w:bottom w:val="none" w:sz="0" w:space="0" w:color="auto"/>
        <w:right w:val="none" w:sz="0" w:space="0" w:color="auto"/>
      </w:divBdr>
    </w:div>
    <w:div w:id="1182934666">
      <w:bodyDiv w:val="1"/>
      <w:marLeft w:val="0"/>
      <w:marRight w:val="0"/>
      <w:marTop w:val="0"/>
      <w:marBottom w:val="0"/>
      <w:divBdr>
        <w:top w:val="none" w:sz="0" w:space="0" w:color="auto"/>
        <w:left w:val="none" w:sz="0" w:space="0" w:color="auto"/>
        <w:bottom w:val="none" w:sz="0" w:space="0" w:color="auto"/>
        <w:right w:val="none" w:sz="0" w:space="0" w:color="auto"/>
      </w:divBdr>
    </w:div>
    <w:div w:id="1183394628">
      <w:bodyDiv w:val="1"/>
      <w:marLeft w:val="0"/>
      <w:marRight w:val="0"/>
      <w:marTop w:val="0"/>
      <w:marBottom w:val="0"/>
      <w:divBdr>
        <w:top w:val="none" w:sz="0" w:space="0" w:color="auto"/>
        <w:left w:val="none" w:sz="0" w:space="0" w:color="auto"/>
        <w:bottom w:val="none" w:sz="0" w:space="0" w:color="auto"/>
        <w:right w:val="none" w:sz="0" w:space="0" w:color="auto"/>
      </w:divBdr>
    </w:div>
    <w:div w:id="1184441732">
      <w:bodyDiv w:val="1"/>
      <w:marLeft w:val="0"/>
      <w:marRight w:val="0"/>
      <w:marTop w:val="0"/>
      <w:marBottom w:val="0"/>
      <w:divBdr>
        <w:top w:val="none" w:sz="0" w:space="0" w:color="auto"/>
        <w:left w:val="none" w:sz="0" w:space="0" w:color="auto"/>
        <w:bottom w:val="none" w:sz="0" w:space="0" w:color="auto"/>
        <w:right w:val="none" w:sz="0" w:space="0" w:color="auto"/>
      </w:divBdr>
    </w:div>
    <w:div w:id="1185823640">
      <w:bodyDiv w:val="1"/>
      <w:marLeft w:val="0"/>
      <w:marRight w:val="0"/>
      <w:marTop w:val="0"/>
      <w:marBottom w:val="0"/>
      <w:divBdr>
        <w:top w:val="none" w:sz="0" w:space="0" w:color="auto"/>
        <w:left w:val="none" w:sz="0" w:space="0" w:color="auto"/>
        <w:bottom w:val="none" w:sz="0" w:space="0" w:color="auto"/>
        <w:right w:val="none" w:sz="0" w:space="0" w:color="auto"/>
      </w:divBdr>
    </w:div>
    <w:div w:id="1186023839">
      <w:bodyDiv w:val="1"/>
      <w:marLeft w:val="0"/>
      <w:marRight w:val="0"/>
      <w:marTop w:val="0"/>
      <w:marBottom w:val="0"/>
      <w:divBdr>
        <w:top w:val="none" w:sz="0" w:space="0" w:color="auto"/>
        <w:left w:val="none" w:sz="0" w:space="0" w:color="auto"/>
        <w:bottom w:val="none" w:sz="0" w:space="0" w:color="auto"/>
        <w:right w:val="none" w:sz="0" w:space="0" w:color="auto"/>
      </w:divBdr>
    </w:div>
    <w:div w:id="1186599009">
      <w:bodyDiv w:val="1"/>
      <w:marLeft w:val="0"/>
      <w:marRight w:val="0"/>
      <w:marTop w:val="0"/>
      <w:marBottom w:val="0"/>
      <w:divBdr>
        <w:top w:val="none" w:sz="0" w:space="0" w:color="auto"/>
        <w:left w:val="none" w:sz="0" w:space="0" w:color="auto"/>
        <w:bottom w:val="none" w:sz="0" w:space="0" w:color="auto"/>
        <w:right w:val="none" w:sz="0" w:space="0" w:color="auto"/>
      </w:divBdr>
    </w:div>
    <w:div w:id="1188519237">
      <w:bodyDiv w:val="1"/>
      <w:marLeft w:val="0"/>
      <w:marRight w:val="0"/>
      <w:marTop w:val="0"/>
      <w:marBottom w:val="0"/>
      <w:divBdr>
        <w:top w:val="none" w:sz="0" w:space="0" w:color="auto"/>
        <w:left w:val="none" w:sz="0" w:space="0" w:color="auto"/>
        <w:bottom w:val="none" w:sz="0" w:space="0" w:color="auto"/>
        <w:right w:val="none" w:sz="0" w:space="0" w:color="auto"/>
      </w:divBdr>
    </w:div>
    <w:div w:id="1189224301">
      <w:bodyDiv w:val="1"/>
      <w:marLeft w:val="0"/>
      <w:marRight w:val="0"/>
      <w:marTop w:val="0"/>
      <w:marBottom w:val="0"/>
      <w:divBdr>
        <w:top w:val="none" w:sz="0" w:space="0" w:color="auto"/>
        <w:left w:val="none" w:sz="0" w:space="0" w:color="auto"/>
        <w:bottom w:val="none" w:sz="0" w:space="0" w:color="auto"/>
        <w:right w:val="none" w:sz="0" w:space="0" w:color="auto"/>
      </w:divBdr>
    </w:div>
    <w:div w:id="1189493601">
      <w:bodyDiv w:val="1"/>
      <w:marLeft w:val="0"/>
      <w:marRight w:val="0"/>
      <w:marTop w:val="0"/>
      <w:marBottom w:val="0"/>
      <w:divBdr>
        <w:top w:val="none" w:sz="0" w:space="0" w:color="auto"/>
        <w:left w:val="none" w:sz="0" w:space="0" w:color="auto"/>
        <w:bottom w:val="none" w:sz="0" w:space="0" w:color="auto"/>
        <w:right w:val="none" w:sz="0" w:space="0" w:color="auto"/>
      </w:divBdr>
    </w:div>
    <w:div w:id="1192113666">
      <w:bodyDiv w:val="1"/>
      <w:marLeft w:val="0"/>
      <w:marRight w:val="0"/>
      <w:marTop w:val="0"/>
      <w:marBottom w:val="0"/>
      <w:divBdr>
        <w:top w:val="none" w:sz="0" w:space="0" w:color="auto"/>
        <w:left w:val="none" w:sz="0" w:space="0" w:color="auto"/>
        <w:bottom w:val="none" w:sz="0" w:space="0" w:color="auto"/>
        <w:right w:val="none" w:sz="0" w:space="0" w:color="auto"/>
      </w:divBdr>
    </w:div>
    <w:div w:id="1192187145">
      <w:bodyDiv w:val="1"/>
      <w:marLeft w:val="0"/>
      <w:marRight w:val="0"/>
      <w:marTop w:val="0"/>
      <w:marBottom w:val="0"/>
      <w:divBdr>
        <w:top w:val="none" w:sz="0" w:space="0" w:color="auto"/>
        <w:left w:val="none" w:sz="0" w:space="0" w:color="auto"/>
        <w:bottom w:val="none" w:sz="0" w:space="0" w:color="auto"/>
        <w:right w:val="none" w:sz="0" w:space="0" w:color="auto"/>
      </w:divBdr>
    </w:div>
    <w:div w:id="1192575966">
      <w:bodyDiv w:val="1"/>
      <w:marLeft w:val="0"/>
      <w:marRight w:val="0"/>
      <w:marTop w:val="0"/>
      <w:marBottom w:val="0"/>
      <w:divBdr>
        <w:top w:val="none" w:sz="0" w:space="0" w:color="auto"/>
        <w:left w:val="none" w:sz="0" w:space="0" w:color="auto"/>
        <w:bottom w:val="none" w:sz="0" w:space="0" w:color="auto"/>
        <w:right w:val="none" w:sz="0" w:space="0" w:color="auto"/>
      </w:divBdr>
    </w:div>
    <w:div w:id="1192962360">
      <w:bodyDiv w:val="1"/>
      <w:marLeft w:val="0"/>
      <w:marRight w:val="0"/>
      <w:marTop w:val="0"/>
      <w:marBottom w:val="0"/>
      <w:divBdr>
        <w:top w:val="none" w:sz="0" w:space="0" w:color="auto"/>
        <w:left w:val="none" w:sz="0" w:space="0" w:color="auto"/>
        <w:bottom w:val="none" w:sz="0" w:space="0" w:color="auto"/>
        <w:right w:val="none" w:sz="0" w:space="0" w:color="auto"/>
      </w:divBdr>
    </w:div>
    <w:div w:id="1193225296">
      <w:bodyDiv w:val="1"/>
      <w:marLeft w:val="0"/>
      <w:marRight w:val="0"/>
      <w:marTop w:val="0"/>
      <w:marBottom w:val="0"/>
      <w:divBdr>
        <w:top w:val="none" w:sz="0" w:space="0" w:color="auto"/>
        <w:left w:val="none" w:sz="0" w:space="0" w:color="auto"/>
        <w:bottom w:val="none" w:sz="0" w:space="0" w:color="auto"/>
        <w:right w:val="none" w:sz="0" w:space="0" w:color="auto"/>
      </w:divBdr>
    </w:div>
    <w:div w:id="1193956562">
      <w:bodyDiv w:val="1"/>
      <w:marLeft w:val="0"/>
      <w:marRight w:val="0"/>
      <w:marTop w:val="0"/>
      <w:marBottom w:val="0"/>
      <w:divBdr>
        <w:top w:val="none" w:sz="0" w:space="0" w:color="auto"/>
        <w:left w:val="none" w:sz="0" w:space="0" w:color="auto"/>
        <w:bottom w:val="none" w:sz="0" w:space="0" w:color="auto"/>
        <w:right w:val="none" w:sz="0" w:space="0" w:color="auto"/>
      </w:divBdr>
    </w:div>
    <w:div w:id="1197356182">
      <w:bodyDiv w:val="1"/>
      <w:marLeft w:val="0"/>
      <w:marRight w:val="0"/>
      <w:marTop w:val="0"/>
      <w:marBottom w:val="0"/>
      <w:divBdr>
        <w:top w:val="none" w:sz="0" w:space="0" w:color="auto"/>
        <w:left w:val="none" w:sz="0" w:space="0" w:color="auto"/>
        <w:bottom w:val="none" w:sz="0" w:space="0" w:color="auto"/>
        <w:right w:val="none" w:sz="0" w:space="0" w:color="auto"/>
      </w:divBdr>
    </w:div>
    <w:div w:id="1198349149">
      <w:bodyDiv w:val="1"/>
      <w:marLeft w:val="0"/>
      <w:marRight w:val="0"/>
      <w:marTop w:val="0"/>
      <w:marBottom w:val="0"/>
      <w:divBdr>
        <w:top w:val="none" w:sz="0" w:space="0" w:color="auto"/>
        <w:left w:val="none" w:sz="0" w:space="0" w:color="auto"/>
        <w:bottom w:val="none" w:sz="0" w:space="0" w:color="auto"/>
        <w:right w:val="none" w:sz="0" w:space="0" w:color="auto"/>
      </w:divBdr>
    </w:div>
    <w:div w:id="1198811376">
      <w:bodyDiv w:val="1"/>
      <w:marLeft w:val="0"/>
      <w:marRight w:val="0"/>
      <w:marTop w:val="0"/>
      <w:marBottom w:val="0"/>
      <w:divBdr>
        <w:top w:val="none" w:sz="0" w:space="0" w:color="auto"/>
        <w:left w:val="none" w:sz="0" w:space="0" w:color="auto"/>
        <w:bottom w:val="none" w:sz="0" w:space="0" w:color="auto"/>
        <w:right w:val="none" w:sz="0" w:space="0" w:color="auto"/>
      </w:divBdr>
    </w:div>
    <w:div w:id="1200630359">
      <w:bodyDiv w:val="1"/>
      <w:marLeft w:val="0"/>
      <w:marRight w:val="0"/>
      <w:marTop w:val="0"/>
      <w:marBottom w:val="0"/>
      <w:divBdr>
        <w:top w:val="none" w:sz="0" w:space="0" w:color="auto"/>
        <w:left w:val="none" w:sz="0" w:space="0" w:color="auto"/>
        <w:bottom w:val="none" w:sz="0" w:space="0" w:color="auto"/>
        <w:right w:val="none" w:sz="0" w:space="0" w:color="auto"/>
      </w:divBdr>
    </w:div>
    <w:div w:id="1200824118">
      <w:bodyDiv w:val="1"/>
      <w:marLeft w:val="0"/>
      <w:marRight w:val="0"/>
      <w:marTop w:val="0"/>
      <w:marBottom w:val="0"/>
      <w:divBdr>
        <w:top w:val="none" w:sz="0" w:space="0" w:color="auto"/>
        <w:left w:val="none" w:sz="0" w:space="0" w:color="auto"/>
        <w:bottom w:val="none" w:sz="0" w:space="0" w:color="auto"/>
        <w:right w:val="none" w:sz="0" w:space="0" w:color="auto"/>
      </w:divBdr>
    </w:div>
    <w:div w:id="1202866478">
      <w:bodyDiv w:val="1"/>
      <w:marLeft w:val="0"/>
      <w:marRight w:val="0"/>
      <w:marTop w:val="0"/>
      <w:marBottom w:val="0"/>
      <w:divBdr>
        <w:top w:val="none" w:sz="0" w:space="0" w:color="auto"/>
        <w:left w:val="none" w:sz="0" w:space="0" w:color="auto"/>
        <w:bottom w:val="none" w:sz="0" w:space="0" w:color="auto"/>
        <w:right w:val="none" w:sz="0" w:space="0" w:color="auto"/>
      </w:divBdr>
    </w:div>
    <w:div w:id="1203833736">
      <w:bodyDiv w:val="1"/>
      <w:marLeft w:val="0"/>
      <w:marRight w:val="0"/>
      <w:marTop w:val="0"/>
      <w:marBottom w:val="0"/>
      <w:divBdr>
        <w:top w:val="none" w:sz="0" w:space="0" w:color="auto"/>
        <w:left w:val="none" w:sz="0" w:space="0" w:color="auto"/>
        <w:bottom w:val="none" w:sz="0" w:space="0" w:color="auto"/>
        <w:right w:val="none" w:sz="0" w:space="0" w:color="auto"/>
      </w:divBdr>
    </w:div>
    <w:div w:id="1205017604">
      <w:bodyDiv w:val="1"/>
      <w:marLeft w:val="0"/>
      <w:marRight w:val="0"/>
      <w:marTop w:val="0"/>
      <w:marBottom w:val="0"/>
      <w:divBdr>
        <w:top w:val="none" w:sz="0" w:space="0" w:color="auto"/>
        <w:left w:val="none" w:sz="0" w:space="0" w:color="auto"/>
        <w:bottom w:val="none" w:sz="0" w:space="0" w:color="auto"/>
        <w:right w:val="none" w:sz="0" w:space="0" w:color="auto"/>
      </w:divBdr>
    </w:div>
    <w:div w:id="1205214691">
      <w:bodyDiv w:val="1"/>
      <w:marLeft w:val="0"/>
      <w:marRight w:val="0"/>
      <w:marTop w:val="0"/>
      <w:marBottom w:val="0"/>
      <w:divBdr>
        <w:top w:val="none" w:sz="0" w:space="0" w:color="auto"/>
        <w:left w:val="none" w:sz="0" w:space="0" w:color="auto"/>
        <w:bottom w:val="none" w:sz="0" w:space="0" w:color="auto"/>
        <w:right w:val="none" w:sz="0" w:space="0" w:color="auto"/>
      </w:divBdr>
    </w:div>
    <w:div w:id="1205361820">
      <w:bodyDiv w:val="1"/>
      <w:marLeft w:val="0"/>
      <w:marRight w:val="0"/>
      <w:marTop w:val="0"/>
      <w:marBottom w:val="0"/>
      <w:divBdr>
        <w:top w:val="none" w:sz="0" w:space="0" w:color="auto"/>
        <w:left w:val="none" w:sz="0" w:space="0" w:color="auto"/>
        <w:bottom w:val="none" w:sz="0" w:space="0" w:color="auto"/>
        <w:right w:val="none" w:sz="0" w:space="0" w:color="auto"/>
      </w:divBdr>
    </w:div>
    <w:div w:id="1205487203">
      <w:bodyDiv w:val="1"/>
      <w:marLeft w:val="0"/>
      <w:marRight w:val="0"/>
      <w:marTop w:val="0"/>
      <w:marBottom w:val="0"/>
      <w:divBdr>
        <w:top w:val="none" w:sz="0" w:space="0" w:color="auto"/>
        <w:left w:val="none" w:sz="0" w:space="0" w:color="auto"/>
        <w:bottom w:val="none" w:sz="0" w:space="0" w:color="auto"/>
        <w:right w:val="none" w:sz="0" w:space="0" w:color="auto"/>
      </w:divBdr>
    </w:div>
    <w:div w:id="1207371345">
      <w:bodyDiv w:val="1"/>
      <w:marLeft w:val="0"/>
      <w:marRight w:val="0"/>
      <w:marTop w:val="0"/>
      <w:marBottom w:val="0"/>
      <w:divBdr>
        <w:top w:val="none" w:sz="0" w:space="0" w:color="auto"/>
        <w:left w:val="none" w:sz="0" w:space="0" w:color="auto"/>
        <w:bottom w:val="none" w:sz="0" w:space="0" w:color="auto"/>
        <w:right w:val="none" w:sz="0" w:space="0" w:color="auto"/>
      </w:divBdr>
    </w:div>
    <w:div w:id="1207982941">
      <w:bodyDiv w:val="1"/>
      <w:marLeft w:val="0"/>
      <w:marRight w:val="0"/>
      <w:marTop w:val="0"/>
      <w:marBottom w:val="0"/>
      <w:divBdr>
        <w:top w:val="none" w:sz="0" w:space="0" w:color="auto"/>
        <w:left w:val="none" w:sz="0" w:space="0" w:color="auto"/>
        <w:bottom w:val="none" w:sz="0" w:space="0" w:color="auto"/>
        <w:right w:val="none" w:sz="0" w:space="0" w:color="auto"/>
      </w:divBdr>
    </w:div>
    <w:div w:id="1208444535">
      <w:bodyDiv w:val="1"/>
      <w:marLeft w:val="0"/>
      <w:marRight w:val="0"/>
      <w:marTop w:val="0"/>
      <w:marBottom w:val="0"/>
      <w:divBdr>
        <w:top w:val="none" w:sz="0" w:space="0" w:color="auto"/>
        <w:left w:val="none" w:sz="0" w:space="0" w:color="auto"/>
        <w:bottom w:val="none" w:sz="0" w:space="0" w:color="auto"/>
        <w:right w:val="none" w:sz="0" w:space="0" w:color="auto"/>
      </w:divBdr>
    </w:div>
    <w:div w:id="1210188343">
      <w:bodyDiv w:val="1"/>
      <w:marLeft w:val="0"/>
      <w:marRight w:val="0"/>
      <w:marTop w:val="0"/>
      <w:marBottom w:val="0"/>
      <w:divBdr>
        <w:top w:val="none" w:sz="0" w:space="0" w:color="auto"/>
        <w:left w:val="none" w:sz="0" w:space="0" w:color="auto"/>
        <w:bottom w:val="none" w:sz="0" w:space="0" w:color="auto"/>
        <w:right w:val="none" w:sz="0" w:space="0" w:color="auto"/>
      </w:divBdr>
    </w:div>
    <w:div w:id="1210730898">
      <w:bodyDiv w:val="1"/>
      <w:marLeft w:val="0"/>
      <w:marRight w:val="0"/>
      <w:marTop w:val="0"/>
      <w:marBottom w:val="0"/>
      <w:divBdr>
        <w:top w:val="none" w:sz="0" w:space="0" w:color="auto"/>
        <w:left w:val="none" w:sz="0" w:space="0" w:color="auto"/>
        <w:bottom w:val="none" w:sz="0" w:space="0" w:color="auto"/>
        <w:right w:val="none" w:sz="0" w:space="0" w:color="auto"/>
      </w:divBdr>
    </w:div>
    <w:div w:id="1210845528">
      <w:bodyDiv w:val="1"/>
      <w:marLeft w:val="0"/>
      <w:marRight w:val="0"/>
      <w:marTop w:val="0"/>
      <w:marBottom w:val="0"/>
      <w:divBdr>
        <w:top w:val="none" w:sz="0" w:space="0" w:color="auto"/>
        <w:left w:val="none" w:sz="0" w:space="0" w:color="auto"/>
        <w:bottom w:val="none" w:sz="0" w:space="0" w:color="auto"/>
        <w:right w:val="none" w:sz="0" w:space="0" w:color="auto"/>
      </w:divBdr>
    </w:div>
    <w:div w:id="1212960035">
      <w:bodyDiv w:val="1"/>
      <w:marLeft w:val="0"/>
      <w:marRight w:val="0"/>
      <w:marTop w:val="0"/>
      <w:marBottom w:val="0"/>
      <w:divBdr>
        <w:top w:val="none" w:sz="0" w:space="0" w:color="auto"/>
        <w:left w:val="none" w:sz="0" w:space="0" w:color="auto"/>
        <w:bottom w:val="none" w:sz="0" w:space="0" w:color="auto"/>
        <w:right w:val="none" w:sz="0" w:space="0" w:color="auto"/>
      </w:divBdr>
    </w:div>
    <w:div w:id="1217282871">
      <w:bodyDiv w:val="1"/>
      <w:marLeft w:val="0"/>
      <w:marRight w:val="0"/>
      <w:marTop w:val="0"/>
      <w:marBottom w:val="0"/>
      <w:divBdr>
        <w:top w:val="none" w:sz="0" w:space="0" w:color="auto"/>
        <w:left w:val="none" w:sz="0" w:space="0" w:color="auto"/>
        <w:bottom w:val="none" w:sz="0" w:space="0" w:color="auto"/>
        <w:right w:val="none" w:sz="0" w:space="0" w:color="auto"/>
      </w:divBdr>
    </w:div>
    <w:div w:id="1217424847">
      <w:bodyDiv w:val="1"/>
      <w:marLeft w:val="0"/>
      <w:marRight w:val="0"/>
      <w:marTop w:val="0"/>
      <w:marBottom w:val="0"/>
      <w:divBdr>
        <w:top w:val="none" w:sz="0" w:space="0" w:color="auto"/>
        <w:left w:val="none" w:sz="0" w:space="0" w:color="auto"/>
        <w:bottom w:val="none" w:sz="0" w:space="0" w:color="auto"/>
        <w:right w:val="none" w:sz="0" w:space="0" w:color="auto"/>
      </w:divBdr>
    </w:div>
    <w:div w:id="1219901929">
      <w:bodyDiv w:val="1"/>
      <w:marLeft w:val="0"/>
      <w:marRight w:val="0"/>
      <w:marTop w:val="0"/>
      <w:marBottom w:val="0"/>
      <w:divBdr>
        <w:top w:val="none" w:sz="0" w:space="0" w:color="auto"/>
        <w:left w:val="none" w:sz="0" w:space="0" w:color="auto"/>
        <w:bottom w:val="none" w:sz="0" w:space="0" w:color="auto"/>
        <w:right w:val="none" w:sz="0" w:space="0" w:color="auto"/>
      </w:divBdr>
    </w:div>
    <w:div w:id="1220020815">
      <w:bodyDiv w:val="1"/>
      <w:marLeft w:val="0"/>
      <w:marRight w:val="0"/>
      <w:marTop w:val="0"/>
      <w:marBottom w:val="0"/>
      <w:divBdr>
        <w:top w:val="none" w:sz="0" w:space="0" w:color="auto"/>
        <w:left w:val="none" w:sz="0" w:space="0" w:color="auto"/>
        <w:bottom w:val="none" w:sz="0" w:space="0" w:color="auto"/>
        <w:right w:val="none" w:sz="0" w:space="0" w:color="auto"/>
      </w:divBdr>
    </w:div>
    <w:div w:id="1225601381">
      <w:bodyDiv w:val="1"/>
      <w:marLeft w:val="0"/>
      <w:marRight w:val="0"/>
      <w:marTop w:val="0"/>
      <w:marBottom w:val="0"/>
      <w:divBdr>
        <w:top w:val="none" w:sz="0" w:space="0" w:color="auto"/>
        <w:left w:val="none" w:sz="0" w:space="0" w:color="auto"/>
        <w:bottom w:val="none" w:sz="0" w:space="0" w:color="auto"/>
        <w:right w:val="none" w:sz="0" w:space="0" w:color="auto"/>
      </w:divBdr>
    </w:div>
    <w:div w:id="1226336060">
      <w:bodyDiv w:val="1"/>
      <w:marLeft w:val="0"/>
      <w:marRight w:val="0"/>
      <w:marTop w:val="0"/>
      <w:marBottom w:val="0"/>
      <w:divBdr>
        <w:top w:val="none" w:sz="0" w:space="0" w:color="auto"/>
        <w:left w:val="none" w:sz="0" w:space="0" w:color="auto"/>
        <w:bottom w:val="none" w:sz="0" w:space="0" w:color="auto"/>
        <w:right w:val="none" w:sz="0" w:space="0" w:color="auto"/>
      </w:divBdr>
    </w:div>
    <w:div w:id="1227647942">
      <w:bodyDiv w:val="1"/>
      <w:marLeft w:val="0"/>
      <w:marRight w:val="0"/>
      <w:marTop w:val="0"/>
      <w:marBottom w:val="0"/>
      <w:divBdr>
        <w:top w:val="none" w:sz="0" w:space="0" w:color="auto"/>
        <w:left w:val="none" w:sz="0" w:space="0" w:color="auto"/>
        <w:bottom w:val="none" w:sz="0" w:space="0" w:color="auto"/>
        <w:right w:val="none" w:sz="0" w:space="0" w:color="auto"/>
      </w:divBdr>
    </w:div>
    <w:div w:id="1227687776">
      <w:bodyDiv w:val="1"/>
      <w:marLeft w:val="0"/>
      <w:marRight w:val="0"/>
      <w:marTop w:val="0"/>
      <w:marBottom w:val="0"/>
      <w:divBdr>
        <w:top w:val="none" w:sz="0" w:space="0" w:color="auto"/>
        <w:left w:val="none" w:sz="0" w:space="0" w:color="auto"/>
        <w:bottom w:val="none" w:sz="0" w:space="0" w:color="auto"/>
        <w:right w:val="none" w:sz="0" w:space="0" w:color="auto"/>
      </w:divBdr>
    </w:div>
    <w:div w:id="1228951020">
      <w:bodyDiv w:val="1"/>
      <w:marLeft w:val="0"/>
      <w:marRight w:val="0"/>
      <w:marTop w:val="0"/>
      <w:marBottom w:val="0"/>
      <w:divBdr>
        <w:top w:val="none" w:sz="0" w:space="0" w:color="auto"/>
        <w:left w:val="none" w:sz="0" w:space="0" w:color="auto"/>
        <w:bottom w:val="none" w:sz="0" w:space="0" w:color="auto"/>
        <w:right w:val="none" w:sz="0" w:space="0" w:color="auto"/>
      </w:divBdr>
    </w:div>
    <w:div w:id="1233737700">
      <w:bodyDiv w:val="1"/>
      <w:marLeft w:val="0"/>
      <w:marRight w:val="0"/>
      <w:marTop w:val="0"/>
      <w:marBottom w:val="0"/>
      <w:divBdr>
        <w:top w:val="none" w:sz="0" w:space="0" w:color="auto"/>
        <w:left w:val="none" w:sz="0" w:space="0" w:color="auto"/>
        <w:bottom w:val="none" w:sz="0" w:space="0" w:color="auto"/>
        <w:right w:val="none" w:sz="0" w:space="0" w:color="auto"/>
      </w:divBdr>
    </w:div>
    <w:div w:id="1234972335">
      <w:bodyDiv w:val="1"/>
      <w:marLeft w:val="0"/>
      <w:marRight w:val="0"/>
      <w:marTop w:val="0"/>
      <w:marBottom w:val="0"/>
      <w:divBdr>
        <w:top w:val="none" w:sz="0" w:space="0" w:color="auto"/>
        <w:left w:val="none" w:sz="0" w:space="0" w:color="auto"/>
        <w:bottom w:val="none" w:sz="0" w:space="0" w:color="auto"/>
        <w:right w:val="none" w:sz="0" w:space="0" w:color="auto"/>
      </w:divBdr>
    </w:div>
    <w:div w:id="1236623251">
      <w:bodyDiv w:val="1"/>
      <w:marLeft w:val="0"/>
      <w:marRight w:val="0"/>
      <w:marTop w:val="0"/>
      <w:marBottom w:val="0"/>
      <w:divBdr>
        <w:top w:val="none" w:sz="0" w:space="0" w:color="auto"/>
        <w:left w:val="none" w:sz="0" w:space="0" w:color="auto"/>
        <w:bottom w:val="none" w:sz="0" w:space="0" w:color="auto"/>
        <w:right w:val="none" w:sz="0" w:space="0" w:color="auto"/>
      </w:divBdr>
    </w:div>
    <w:div w:id="1240627749">
      <w:bodyDiv w:val="1"/>
      <w:marLeft w:val="0"/>
      <w:marRight w:val="0"/>
      <w:marTop w:val="0"/>
      <w:marBottom w:val="0"/>
      <w:divBdr>
        <w:top w:val="none" w:sz="0" w:space="0" w:color="auto"/>
        <w:left w:val="none" w:sz="0" w:space="0" w:color="auto"/>
        <w:bottom w:val="none" w:sz="0" w:space="0" w:color="auto"/>
        <w:right w:val="none" w:sz="0" w:space="0" w:color="auto"/>
      </w:divBdr>
    </w:div>
    <w:div w:id="1242719700">
      <w:bodyDiv w:val="1"/>
      <w:marLeft w:val="0"/>
      <w:marRight w:val="0"/>
      <w:marTop w:val="0"/>
      <w:marBottom w:val="0"/>
      <w:divBdr>
        <w:top w:val="none" w:sz="0" w:space="0" w:color="auto"/>
        <w:left w:val="none" w:sz="0" w:space="0" w:color="auto"/>
        <w:bottom w:val="none" w:sz="0" w:space="0" w:color="auto"/>
        <w:right w:val="none" w:sz="0" w:space="0" w:color="auto"/>
      </w:divBdr>
    </w:div>
    <w:div w:id="1245601962">
      <w:bodyDiv w:val="1"/>
      <w:marLeft w:val="0"/>
      <w:marRight w:val="0"/>
      <w:marTop w:val="0"/>
      <w:marBottom w:val="0"/>
      <w:divBdr>
        <w:top w:val="none" w:sz="0" w:space="0" w:color="auto"/>
        <w:left w:val="none" w:sz="0" w:space="0" w:color="auto"/>
        <w:bottom w:val="none" w:sz="0" w:space="0" w:color="auto"/>
        <w:right w:val="none" w:sz="0" w:space="0" w:color="auto"/>
      </w:divBdr>
    </w:div>
    <w:div w:id="1248349257">
      <w:bodyDiv w:val="1"/>
      <w:marLeft w:val="0"/>
      <w:marRight w:val="0"/>
      <w:marTop w:val="0"/>
      <w:marBottom w:val="0"/>
      <w:divBdr>
        <w:top w:val="none" w:sz="0" w:space="0" w:color="auto"/>
        <w:left w:val="none" w:sz="0" w:space="0" w:color="auto"/>
        <w:bottom w:val="none" w:sz="0" w:space="0" w:color="auto"/>
        <w:right w:val="none" w:sz="0" w:space="0" w:color="auto"/>
      </w:divBdr>
    </w:div>
    <w:div w:id="1248416939">
      <w:bodyDiv w:val="1"/>
      <w:marLeft w:val="0"/>
      <w:marRight w:val="0"/>
      <w:marTop w:val="0"/>
      <w:marBottom w:val="0"/>
      <w:divBdr>
        <w:top w:val="none" w:sz="0" w:space="0" w:color="auto"/>
        <w:left w:val="none" w:sz="0" w:space="0" w:color="auto"/>
        <w:bottom w:val="none" w:sz="0" w:space="0" w:color="auto"/>
        <w:right w:val="none" w:sz="0" w:space="0" w:color="auto"/>
      </w:divBdr>
    </w:div>
    <w:div w:id="1248727585">
      <w:bodyDiv w:val="1"/>
      <w:marLeft w:val="0"/>
      <w:marRight w:val="0"/>
      <w:marTop w:val="0"/>
      <w:marBottom w:val="0"/>
      <w:divBdr>
        <w:top w:val="none" w:sz="0" w:space="0" w:color="auto"/>
        <w:left w:val="none" w:sz="0" w:space="0" w:color="auto"/>
        <w:bottom w:val="none" w:sz="0" w:space="0" w:color="auto"/>
        <w:right w:val="none" w:sz="0" w:space="0" w:color="auto"/>
      </w:divBdr>
    </w:div>
    <w:div w:id="1256328600">
      <w:bodyDiv w:val="1"/>
      <w:marLeft w:val="0"/>
      <w:marRight w:val="0"/>
      <w:marTop w:val="0"/>
      <w:marBottom w:val="0"/>
      <w:divBdr>
        <w:top w:val="none" w:sz="0" w:space="0" w:color="auto"/>
        <w:left w:val="none" w:sz="0" w:space="0" w:color="auto"/>
        <w:bottom w:val="none" w:sz="0" w:space="0" w:color="auto"/>
        <w:right w:val="none" w:sz="0" w:space="0" w:color="auto"/>
      </w:divBdr>
    </w:div>
    <w:div w:id="1257445515">
      <w:bodyDiv w:val="1"/>
      <w:marLeft w:val="0"/>
      <w:marRight w:val="0"/>
      <w:marTop w:val="0"/>
      <w:marBottom w:val="0"/>
      <w:divBdr>
        <w:top w:val="none" w:sz="0" w:space="0" w:color="auto"/>
        <w:left w:val="none" w:sz="0" w:space="0" w:color="auto"/>
        <w:bottom w:val="none" w:sz="0" w:space="0" w:color="auto"/>
        <w:right w:val="none" w:sz="0" w:space="0" w:color="auto"/>
      </w:divBdr>
    </w:div>
    <w:div w:id="1257598840">
      <w:bodyDiv w:val="1"/>
      <w:marLeft w:val="0"/>
      <w:marRight w:val="0"/>
      <w:marTop w:val="0"/>
      <w:marBottom w:val="0"/>
      <w:divBdr>
        <w:top w:val="none" w:sz="0" w:space="0" w:color="auto"/>
        <w:left w:val="none" w:sz="0" w:space="0" w:color="auto"/>
        <w:bottom w:val="none" w:sz="0" w:space="0" w:color="auto"/>
        <w:right w:val="none" w:sz="0" w:space="0" w:color="auto"/>
      </w:divBdr>
    </w:div>
    <w:div w:id="1259363017">
      <w:bodyDiv w:val="1"/>
      <w:marLeft w:val="0"/>
      <w:marRight w:val="0"/>
      <w:marTop w:val="0"/>
      <w:marBottom w:val="0"/>
      <w:divBdr>
        <w:top w:val="none" w:sz="0" w:space="0" w:color="auto"/>
        <w:left w:val="none" w:sz="0" w:space="0" w:color="auto"/>
        <w:bottom w:val="none" w:sz="0" w:space="0" w:color="auto"/>
        <w:right w:val="none" w:sz="0" w:space="0" w:color="auto"/>
      </w:divBdr>
    </w:div>
    <w:div w:id="1259481603">
      <w:bodyDiv w:val="1"/>
      <w:marLeft w:val="0"/>
      <w:marRight w:val="0"/>
      <w:marTop w:val="0"/>
      <w:marBottom w:val="0"/>
      <w:divBdr>
        <w:top w:val="none" w:sz="0" w:space="0" w:color="auto"/>
        <w:left w:val="none" w:sz="0" w:space="0" w:color="auto"/>
        <w:bottom w:val="none" w:sz="0" w:space="0" w:color="auto"/>
        <w:right w:val="none" w:sz="0" w:space="0" w:color="auto"/>
      </w:divBdr>
    </w:div>
    <w:div w:id="1260019270">
      <w:bodyDiv w:val="1"/>
      <w:marLeft w:val="0"/>
      <w:marRight w:val="0"/>
      <w:marTop w:val="0"/>
      <w:marBottom w:val="0"/>
      <w:divBdr>
        <w:top w:val="none" w:sz="0" w:space="0" w:color="auto"/>
        <w:left w:val="none" w:sz="0" w:space="0" w:color="auto"/>
        <w:bottom w:val="none" w:sz="0" w:space="0" w:color="auto"/>
        <w:right w:val="none" w:sz="0" w:space="0" w:color="auto"/>
      </w:divBdr>
    </w:div>
    <w:div w:id="1260328720">
      <w:bodyDiv w:val="1"/>
      <w:marLeft w:val="0"/>
      <w:marRight w:val="0"/>
      <w:marTop w:val="0"/>
      <w:marBottom w:val="0"/>
      <w:divBdr>
        <w:top w:val="none" w:sz="0" w:space="0" w:color="auto"/>
        <w:left w:val="none" w:sz="0" w:space="0" w:color="auto"/>
        <w:bottom w:val="none" w:sz="0" w:space="0" w:color="auto"/>
        <w:right w:val="none" w:sz="0" w:space="0" w:color="auto"/>
      </w:divBdr>
    </w:div>
    <w:div w:id="1260331388">
      <w:bodyDiv w:val="1"/>
      <w:marLeft w:val="0"/>
      <w:marRight w:val="0"/>
      <w:marTop w:val="0"/>
      <w:marBottom w:val="0"/>
      <w:divBdr>
        <w:top w:val="none" w:sz="0" w:space="0" w:color="auto"/>
        <w:left w:val="none" w:sz="0" w:space="0" w:color="auto"/>
        <w:bottom w:val="none" w:sz="0" w:space="0" w:color="auto"/>
        <w:right w:val="none" w:sz="0" w:space="0" w:color="auto"/>
      </w:divBdr>
    </w:div>
    <w:div w:id="1261530150">
      <w:bodyDiv w:val="1"/>
      <w:marLeft w:val="0"/>
      <w:marRight w:val="0"/>
      <w:marTop w:val="0"/>
      <w:marBottom w:val="0"/>
      <w:divBdr>
        <w:top w:val="none" w:sz="0" w:space="0" w:color="auto"/>
        <w:left w:val="none" w:sz="0" w:space="0" w:color="auto"/>
        <w:bottom w:val="none" w:sz="0" w:space="0" w:color="auto"/>
        <w:right w:val="none" w:sz="0" w:space="0" w:color="auto"/>
      </w:divBdr>
    </w:div>
    <w:div w:id="1261915833">
      <w:bodyDiv w:val="1"/>
      <w:marLeft w:val="0"/>
      <w:marRight w:val="0"/>
      <w:marTop w:val="0"/>
      <w:marBottom w:val="0"/>
      <w:divBdr>
        <w:top w:val="none" w:sz="0" w:space="0" w:color="auto"/>
        <w:left w:val="none" w:sz="0" w:space="0" w:color="auto"/>
        <w:bottom w:val="none" w:sz="0" w:space="0" w:color="auto"/>
        <w:right w:val="none" w:sz="0" w:space="0" w:color="auto"/>
      </w:divBdr>
    </w:div>
    <w:div w:id="1262487829">
      <w:bodyDiv w:val="1"/>
      <w:marLeft w:val="0"/>
      <w:marRight w:val="0"/>
      <w:marTop w:val="0"/>
      <w:marBottom w:val="0"/>
      <w:divBdr>
        <w:top w:val="none" w:sz="0" w:space="0" w:color="auto"/>
        <w:left w:val="none" w:sz="0" w:space="0" w:color="auto"/>
        <w:bottom w:val="none" w:sz="0" w:space="0" w:color="auto"/>
        <w:right w:val="none" w:sz="0" w:space="0" w:color="auto"/>
      </w:divBdr>
    </w:div>
    <w:div w:id="1266302847">
      <w:bodyDiv w:val="1"/>
      <w:marLeft w:val="0"/>
      <w:marRight w:val="0"/>
      <w:marTop w:val="0"/>
      <w:marBottom w:val="0"/>
      <w:divBdr>
        <w:top w:val="none" w:sz="0" w:space="0" w:color="auto"/>
        <w:left w:val="none" w:sz="0" w:space="0" w:color="auto"/>
        <w:bottom w:val="none" w:sz="0" w:space="0" w:color="auto"/>
        <w:right w:val="none" w:sz="0" w:space="0" w:color="auto"/>
      </w:divBdr>
    </w:div>
    <w:div w:id="1267735211">
      <w:bodyDiv w:val="1"/>
      <w:marLeft w:val="0"/>
      <w:marRight w:val="0"/>
      <w:marTop w:val="0"/>
      <w:marBottom w:val="0"/>
      <w:divBdr>
        <w:top w:val="none" w:sz="0" w:space="0" w:color="auto"/>
        <w:left w:val="none" w:sz="0" w:space="0" w:color="auto"/>
        <w:bottom w:val="none" w:sz="0" w:space="0" w:color="auto"/>
        <w:right w:val="none" w:sz="0" w:space="0" w:color="auto"/>
      </w:divBdr>
    </w:div>
    <w:div w:id="1268348205">
      <w:bodyDiv w:val="1"/>
      <w:marLeft w:val="0"/>
      <w:marRight w:val="0"/>
      <w:marTop w:val="0"/>
      <w:marBottom w:val="0"/>
      <w:divBdr>
        <w:top w:val="none" w:sz="0" w:space="0" w:color="auto"/>
        <w:left w:val="none" w:sz="0" w:space="0" w:color="auto"/>
        <w:bottom w:val="none" w:sz="0" w:space="0" w:color="auto"/>
        <w:right w:val="none" w:sz="0" w:space="0" w:color="auto"/>
      </w:divBdr>
    </w:div>
    <w:div w:id="1269388288">
      <w:bodyDiv w:val="1"/>
      <w:marLeft w:val="0"/>
      <w:marRight w:val="0"/>
      <w:marTop w:val="0"/>
      <w:marBottom w:val="0"/>
      <w:divBdr>
        <w:top w:val="none" w:sz="0" w:space="0" w:color="auto"/>
        <w:left w:val="none" w:sz="0" w:space="0" w:color="auto"/>
        <w:bottom w:val="none" w:sz="0" w:space="0" w:color="auto"/>
        <w:right w:val="none" w:sz="0" w:space="0" w:color="auto"/>
      </w:divBdr>
    </w:div>
    <w:div w:id="1269502849">
      <w:bodyDiv w:val="1"/>
      <w:marLeft w:val="0"/>
      <w:marRight w:val="0"/>
      <w:marTop w:val="0"/>
      <w:marBottom w:val="0"/>
      <w:divBdr>
        <w:top w:val="none" w:sz="0" w:space="0" w:color="auto"/>
        <w:left w:val="none" w:sz="0" w:space="0" w:color="auto"/>
        <w:bottom w:val="none" w:sz="0" w:space="0" w:color="auto"/>
        <w:right w:val="none" w:sz="0" w:space="0" w:color="auto"/>
      </w:divBdr>
    </w:div>
    <w:div w:id="1273435489">
      <w:bodyDiv w:val="1"/>
      <w:marLeft w:val="0"/>
      <w:marRight w:val="0"/>
      <w:marTop w:val="0"/>
      <w:marBottom w:val="0"/>
      <w:divBdr>
        <w:top w:val="none" w:sz="0" w:space="0" w:color="auto"/>
        <w:left w:val="none" w:sz="0" w:space="0" w:color="auto"/>
        <w:bottom w:val="none" w:sz="0" w:space="0" w:color="auto"/>
        <w:right w:val="none" w:sz="0" w:space="0" w:color="auto"/>
      </w:divBdr>
    </w:div>
    <w:div w:id="1274046683">
      <w:bodyDiv w:val="1"/>
      <w:marLeft w:val="0"/>
      <w:marRight w:val="0"/>
      <w:marTop w:val="0"/>
      <w:marBottom w:val="0"/>
      <w:divBdr>
        <w:top w:val="none" w:sz="0" w:space="0" w:color="auto"/>
        <w:left w:val="none" w:sz="0" w:space="0" w:color="auto"/>
        <w:bottom w:val="none" w:sz="0" w:space="0" w:color="auto"/>
        <w:right w:val="none" w:sz="0" w:space="0" w:color="auto"/>
      </w:divBdr>
    </w:div>
    <w:div w:id="1274824818">
      <w:bodyDiv w:val="1"/>
      <w:marLeft w:val="0"/>
      <w:marRight w:val="0"/>
      <w:marTop w:val="0"/>
      <w:marBottom w:val="0"/>
      <w:divBdr>
        <w:top w:val="none" w:sz="0" w:space="0" w:color="auto"/>
        <w:left w:val="none" w:sz="0" w:space="0" w:color="auto"/>
        <w:bottom w:val="none" w:sz="0" w:space="0" w:color="auto"/>
        <w:right w:val="none" w:sz="0" w:space="0" w:color="auto"/>
      </w:divBdr>
    </w:div>
    <w:div w:id="1274938419">
      <w:bodyDiv w:val="1"/>
      <w:marLeft w:val="0"/>
      <w:marRight w:val="0"/>
      <w:marTop w:val="0"/>
      <w:marBottom w:val="0"/>
      <w:divBdr>
        <w:top w:val="none" w:sz="0" w:space="0" w:color="auto"/>
        <w:left w:val="none" w:sz="0" w:space="0" w:color="auto"/>
        <w:bottom w:val="none" w:sz="0" w:space="0" w:color="auto"/>
        <w:right w:val="none" w:sz="0" w:space="0" w:color="auto"/>
      </w:divBdr>
    </w:div>
    <w:div w:id="1275022705">
      <w:bodyDiv w:val="1"/>
      <w:marLeft w:val="0"/>
      <w:marRight w:val="0"/>
      <w:marTop w:val="0"/>
      <w:marBottom w:val="0"/>
      <w:divBdr>
        <w:top w:val="none" w:sz="0" w:space="0" w:color="auto"/>
        <w:left w:val="none" w:sz="0" w:space="0" w:color="auto"/>
        <w:bottom w:val="none" w:sz="0" w:space="0" w:color="auto"/>
        <w:right w:val="none" w:sz="0" w:space="0" w:color="auto"/>
      </w:divBdr>
    </w:div>
    <w:div w:id="1276131243">
      <w:bodyDiv w:val="1"/>
      <w:marLeft w:val="0"/>
      <w:marRight w:val="0"/>
      <w:marTop w:val="0"/>
      <w:marBottom w:val="0"/>
      <w:divBdr>
        <w:top w:val="none" w:sz="0" w:space="0" w:color="auto"/>
        <w:left w:val="none" w:sz="0" w:space="0" w:color="auto"/>
        <w:bottom w:val="none" w:sz="0" w:space="0" w:color="auto"/>
        <w:right w:val="none" w:sz="0" w:space="0" w:color="auto"/>
      </w:divBdr>
    </w:div>
    <w:div w:id="1277298279">
      <w:bodyDiv w:val="1"/>
      <w:marLeft w:val="0"/>
      <w:marRight w:val="0"/>
      <w:marTop w:val="0"/>
      <w:marBottom w:val="0"/>
      <w:divBdr>
        <w:top w:val="none" w:sz="0" w:space="0" w:color="auto"/>
        <w:left w:val="none" w:sz="0" w:space="0" w:color="auto"/>
        <w:bottom w:val="none" w:sz="0" w:space="0" w:color="auto"/>
        <w:right w:val="none" w:sz="0" w:space="0" w:color="auto"/>
      </w:divBdr>
    </w:div>
    <w:div w:id="1277299261">
      <w:bodyDiv w:val="1"/>
      <w:marLeft w:val="0"/>
      <w:marRight w:val="0"/>
      <w:marTop w:val="0"/>
      <w:marBottom w:val="0"/>
      <w:divBdr>
        <w:top w:val="none" w:sz="0" w:space="0" w:color="auto"/>
        <w:left w:val="none" w:sz="0" w:space="0" w:color="auto"/>
        <w:bottom w:val="none" w:sz="0" w:space="0" w:color="auto"/>
        <w:right w:val="none" w:sz="0" w:space="0" w:color="auto"/>
      </w:divBdr>
    </w:div>
    <w:div w:id="1278416932">
      <w:bodyDiv w:val="1"/>
      <w:marLeft w:val="0"/>
      <w:marRight w:val="0"/>
      <w:marTop w:val="0"/>
      <w:marBottom w:val="0"/>
      <w:divBdr>
        <w:top w:val="none" w:sz="0" w:space="0" w:color="auto"/>
        <w:left w:val="none" w:sz="0" w:space="0" w:color="auto"/>
        <w:bottom w:val="none" w:sz="0" w:space="0" w:color="auto"/>
        <w:right w:val="none" w:sz="0" w:space="0" w:color="auto"/>
      </w:divBdr>
    </w:div>
    <w:div w:id="1279066335">
      <w:bodyDiv w:val="1"/>
      <w:marLeft w:val="0"/>
      <w:marRight w:val="0"/>
      <w:marTop w:val="0"/>
      <w:marBottom w:val="0"/>
      <w:divBdr>
        <w:top w:val="none" w:sz="0" w:space="0" w:color="auto"/>
        <w:left w:val="none" w:sz="0" w:space="0" w:color="auto"/>
        <w:bottom w:val="none" w:sz="0" w:space="0" w:color="auto"/>
        <w:right w:val="none" w:sz="0" w:space="0" w:color="auto"/>
      </w:divBdr>
    </w:div>
    <w:div w:id="1280838798">
      <w:bodyDiv w:val="1"/>
      <w:marLeft w:val="0"/>
      <w:marRight w:val="0"/>
      <w:marTop w:val="0"/>
      <w:marBottom w:val="0"/>
      <w:divBdr>
        <w:top w:val="none" w:sz="0" w:space="0" w:color="auto"/>
        <w:left w:val="none" w:sz="0" w:space="0" w:color="auto"/>
        <w:bottom w:val="none" w:sz="0" w:space="0" w:color="auto"/>
        <w:right w:val="none" w:sz="0" w:space="0" w:color="auto"/>
      </w:divBdr>
    </w:div>
    <w:div w:id="1281914085">
      <w:bodyDiv w:val="1"/>
      <w:marLeft w:val="0"/>
      <w:marRight w:val="0"/>
      <w:marTop w:val="0"/>
      <w:marBottom w:val="0"/>
      <w:divBdr>
        <w:top w:val="none" w:sz="0" w:space="0" w:color="auto"/>
        <w:left w:val="none" w:sz="0" w:space="0" w:color="auto"/>
        <w:bottom w:val="none" w:sz="0" w:space="0" w:color="auto"/>
        <w:right w:val="none" w:sz="0" w:space="0" w:color="auto"/>
      </w:divBdr>
    </w:div>
    <w:div w:id="1282766726">
      <w:bodyDiv w:val="1"/>
      <w:marLeft w:val="0"/>
      <w:marRight w:val="0"/>
      <w:marTop w:val="0"/>
      <w:marBottom w:val="0"/>
      <w:divBdr>
        <w:top w:val="none" w:sz="0" w:space="0" w:color="auto"/>
        <w:left w:val="none" w:sz="0" w:space="0" w:color="auto"/>
        <w:bottom w:val="none" w:sz="0" w:space="0" w:color="auto"/>
        <w:right w:val="none" w:sz="0" w:space="0" w:color="auto"/>
      </w:divBdr>
    </w:div>
    <w:div w:id="1285649444">
      <w:bodyDiv w:val="1"/>
      <w:marLeft w:val="0"/>
      <w:marRight w:val="0"/>
      <w:marTop w:val="0"/>
      <w:marBottom w:val="0"/>
      <w:divBdr>
        <w:top w:val="none" w:sz="0" w:space="0" w:color="auto"/>
        <w:left w:val="none" w:sz="0" w:space="0" w:color="auto"/>
        <w:bottom w:val="none" w:sz="0" w:space="0" w:color="auto"/>
        <w:right w:val="none" w:sz="0" w:space="0" w:color="auto"/>
      </w:divBdr>
    </w:div>
    <w:div w:id="1285817235">
      <w:bodyDiv w:val="1"/>
      <w:marLeft w:val="0"/>
      <w:marRight w:val="0"/>
      <w:marTop w:val="0"/>
      <w:marBottom w:val="0"/>
      <w:divBdr>
        <w:top w:val="none" w:sz="0" w:space="0" w:color="auto"/>
        <w:left w:val="none" w:sz="0" w:space="0" w:color="auto"/>
        <w:bottom w:val="none" w:sz="0" w:space="0" w:color="auto"/>
        <w:right w:val="none" w:sz="0" w:space="0" w:color="auto"/>
      </w:divBdr>
    </w:div>
    <w:div w:id="1287279506">
      <w:bodyDiv w:val="1"/>
      <w:marLeft w:val="0"/>
      <w:marRight w:val="0"/>
      <w:marTop w:val="0"/>
      <w:marBottom w:val="0"/>
      <w:divBdr>
        <w:top w:val="none" w:sz="0" w:space="0" w:color="auto"/>
        <w:left w:val="none" w:sz="0" w:space="0" w:color="auto"/>
        <w:bottom w:val="none" w:sz="0" w:space="0" w:color="auto"/>
        <w:right w:val="none" w:sz="0" w:space="0" w:color="auto"/>
      </w:divBdr>
    </w:div>
    <w:div w:id="1287586475">
      <w:bodyDiv w:val="1"/>
      <w:marLeft w:val="0"/>
      <w:marRight w:val="0"/>
      <w:marTop w:val="0"/>
      <w:marBottom w:val="0"/>
      <w:divBdr>
        <w:top w:val="none" w:sz="0" w:space="0" w:color="auto"/>
        <w:left w:val="none" w:sz="0" w:space="0" w:color="auto"/>
        <w:bottom w:val="none" w:sz="0" w:space="0" w:color="auto"/>
        <w:right w:val="none" w:sz="0" w:space="0" w:color="auto"/>
      </w:divBdr>
    </w:div>
    <w:div w:id="1288009997">
      <w:bodyDiv w:val="1"/>
      <w:marLeft w:val="0"/>
      <w:marRight w:val="0"/>
      <w:marTop w:val="0"/>
      <w:marBottom w:val="0"/>
      <w:divBdr>
        <w:top w:val="none" w:sz="0" w:space="0" w:color="auto"/>
        <w:left w:val="none" w:sz="0" w:space="0" w:color="auto"/>
        <w:bottom w:val="none" w:sz="0" w:space="0" w:color="auto"/>
        <w:right w:val="none" w:sz="0" w:space="0" w:color="auto"/>
      </w:divBdr>
    </w:div>
    <w:div w:id="1290892826">
      <w:bodyDiv w:val="1"/>
      <w:marLeft w:val="0"/>
      <w:marRight w:val="0"/>
      <w:marTop w:val="0"/>
      <w:marBottom w:val="0"/>
      <w:divBdr>
        <w:top w:val="none" w:sz="0" w:space="0" w:color="auto"/>
        <w:left w:val="none" w:sz="0" w:space="0" w:color="auto"/>
        <w:bottom w:val="none" w:sz="0" w:space="0" w:color="auto"/>
        <w:right w:val="none" w:sz="0" w:space="0" w:color="auto"/>
      </w:divBdr>
    </w:div>
    <w:div w:id="1291321466">
      <w:bodyDiv w:val="1"/>
      <w:marLeft w:val="0"/>
      <w:marRight w:val="0"/>
      <w:marTop w:val="0"/>
      <w:marBottom w:val="0"/>
      <w:divBdr>
        <w:top w:val="none" w:sz="0" w:space="0" w:color="auto"/>
        <w:left w:val="none" w:sz="0" w:space="0" w:color="auto"/>
        <w:bottom w:val="none" w:sz="0" w:space="0" w:color="auto"/>
        <w:right w:val="none" w:sz="0" w:space="0" w:color="auto"/>
      </w:divBdr>
    </w:div>
    <w:div w:id="1293100258">
      <w:bodyDiv w:val="1"/>
      <w:marLeft w:val="0"/>
      <w:marRight w:val="0"/>
      <w:marTop w:val="0"/>
      <w:marBottom w:val="0"/>
      <w:divBdr>
        <w:top w:val="none" w:sz="0" w:space="0" w:color="auto"/>
        <w:left w:val="none" w:sz="0" w:space="0" w:color="auto"/>
        <w:bottom w:val="none" w:sz="0" w:space="0" w:color="auto"/>
        <w:right w:val="none" w:sz="0" w:space="0" w:color="auto"/>
      </w:divBdr>
    </w:div>
    <w:div w:id="1295713925">
      <w:bodyDiv w:val="1"/>
      <w:marLeft w:val="0"/>
      <w:marRight w:val="0"/>
      <w:marTop w:val="0"/>
      <w:marBottom w:val="0"/>
      <w:divBdr>
        <w:top w:val="none" w:sz="0" w:space="0" w:color="auto"/>
        <w:left w:val="none" w:sz="0" w:space="0" w:color="auto"/>
        <w:bottom w:val="none" w:sz="0" w:space="0" w:color="auto"/>
        <w:right w:val="none" w:sz="0" w:space="0" w:color="auto"/>
      </w:divBdr>
    </w:div>
    <w:div w:id="1300762322">
      <w:bodyDiv w:val="1"/>
      <w:marLeft w:val="0"/>
      <w:marRight w:val="0"/>
      <w:marTop w:val="0"/>
      <w:marBottom w:val="0"/>
      <w:divBdr>
        <w:top w:val="none" w:sz="0" w:space="0" w:color="auto"/>
        <w:left w:val="none" w:sz="0" w:space="0" w:color="auto"/>
        <w:bottom w:val="none" w:sz="0" w:space="0" w:color="auto"/>
        <w:right w:val="none" w:sz="0" w:space="0" w:color="auto"/>
      </w:divBdr>
    </w:div>
    <w:div w:id="1302341730">
      <w:bodyDiv w:val="1"/>
      <w:marLeft w:val="0"/>
      <w:marRight w:val="0"/>
      <w:marTop w:val="0"/>
      <w:marBottom w:val="0"/>
      <w:divBdr>
        <w:top w:val="none" w:sz="0" w:space="0" w:color="auto"/>
        <w:left w:val="none" w:sz="0" w:space="0" w:color="auto"/>
        <w:bottom w:val="none" w:sz="0" w:space="0" w:color="auto"/>
        <w:right w:val="none" w:sz="0" w:space="0" w:color="auto"/>
      </w:divBdr>
    </w:div>
    <w:div w:id="1303079893">
      <w:bodyDiv w:val="1"/>
      <w:marLeft w:val="0"/>
      <w:marRight w:val="0"/>
      <w:marTop w:val="0"/>
      <w:marBottom w:val="0"/>
      <w:divBdr>
        <w:top w:val="none" w:sz="0" w:space="0" w:color="auto"/>
        <w:left w:val="none" w:sz="0" w:space="0" w:color="auto"/>
        <w:bottom w:val="none" w:sz="0" w:space="0" w:color="auto"/>
        <w:right w:val="none" w:sz="0" w:space="0" w:color="auto"/>
      </w:divBdr>
    </w:div>
    <w:div w:id="1304579664">
      <w:bodyDiv w:val="1"/>
      <w:marLeft w:val="0"/>
      <w:marRight w:val="0"/>
      <w:marTop w:val="0"/>
      <w:marBottom w:val="0"/>
      <w:divBdr>
        <w:top w:val="none" w:sz="0" w:space="0" w:color="auto"/>
        <w:left w:val="none" w:sz="0" w:space="0" w:color="auto"/>
        <w:bottom w:val="none" w:sz="0" w:space="0" w:color="auto"/>
        <w:right w:val="none" w:sz="0" w:space="0" w:color="auto"/>
      </w:divBdr>
    </w:div>
    <w:div w:id="1305548709">
      <w:bodyDiv w:val="1"/>
      <w:marLeft w:val="0"/>
      <w:marRight w:val="0"/>
      <w:marTop w:val="0"/>
      <w:marBottom w:val="0"/>
      <w:divBdr>
        <w:top w:val="none" w:sz="0" w:space="0" w:color="auto"/>
        <w:left w:val="none" w:sz="0" w:space="0" w:color="auto"/>
        <w:bottom w:val="none" w:sz="0" w:space="0" w:color="auto"/>
        <w:right w:val="none" w:sz="0" w:space="0" w:color="auto"/>
      </w:divBdr>
    </w:div>
    <w:div w:id="1306204546">
      <w:bodyDiv w:val="1"/>
      <w:marLeft w:val="0"/>
      <w:marRight w:val="0"/>
      <w:marTop w:val="0"/>
      <w:marBottom w:val="0"/>
      <w:divBdr>
        <w:top w:val="none" w:sz="0" w:space="0" w:color="auto"/>
        <w:left w:val="none" w:sz="0" w:space="0" w:color="auto"/>
        <w:bottom w:val="none" w:sz="0" w:space="0" w:color="auto"/>
        <w:right w:val="none" w:sz="0" w:space="0" w:color="auto"/>
      </w:divBdr>
    </w:div>
    <w:div w:id="1306349008">
      <w:bodyDiv w:val="1"/>
      <w:marLeft w:val="0"/>
      <w:marRight w:val="0"/>
      <w:marTop w:val="0"/>
      <w:marBottom w:val="0"/>
      <w:divBdr>
        <w:top w:val="none" w:sz="0" w:space="0" w:color="auto"/>
        <w:left w:val="none" w:sz="0" w:space="0" w:color="auto"/>
        <w:bottom w:val="none" w:sz="0" w:space="0" w:color="auto"/>
        <w:right w:val="none" w:sz="0" w:space="0" w:color="auto"/>
      </w:divBdr>
    </w:div>
    <w:div w:id="1307858898">
      <w:bodyDiv w:val="1"/>
      <w:marLeft w:val="0"/>
      <w:marRight w:val="0"/>
      <w:marTop w:val="0"/>
      <w:marBottom w:val="0"/>
      <w:divBdr>
        <w:top w:val="none" w:sz="0" w:space="0" w:color="auto"/>
        <w:left w:val="none" w:sz="0" w:space="0" w:color="auto"/>
        <w:bottom w:val="none" w:sz="0" w:space="0" w:color="auto"/>
        <w:right w:val="none" w:sz="0" w:space="0" w:color="auto"/>
      </w:divBdr>
    </w:div>
    <w:div w:id="1310210163">
      <w:bodyDiv w:val="1"/>
      <w:marLeft w:val="0"/>
      <w:marRight w:val="0"/>
      <w:marTop w:val="0"/>
      <w:marBottom w:val="0"/>
      <w:divBdr>
        <w:top w:val="none" w:sz="0" w:space="0" w:color="auto"/>
        <w:left w:val="none" w:sz="0" w:space="0" w:color="auto"/>
        <w:bottom w:val="none" w:sz="0" w:space="0" w:color="auto"/>
        <w:right w:val="none" w:sz="0" w:space="0" w:color="auto"/>
      </w:divBdr>
    </w:div>
    <w:div w:id="1310328027">
      <w:bodyDiv w:val="1"/>
      <w:marLeft w:val="0"/>
      <w:marRight w:val="0"/>
      <w:marTop w:val="0"/>
      <w:marBottom w:val="0"/>
      <w:divBdr>
        <w:top w:val="none" w:sz="0" w:space="0" w:color="auto"/>
        <w:left w:val="none" w:sz="0" w:space="0" w:color="auto"/>
        <w:bottom w:val="none" w:sz="0" w:space="0" w:color="auto"/>
        <w:right w:val="none" w:sz="0" w:space="0" w:color="auto"/>
      </w:divBdr>
    </w:div>
    <w:div w:id="1311060468">
      <w:bodyDiv w:val="1"/>
      <w:marLeft w:val="0"/>
      <w:marRight w:val="0"/>
      <w:marTop w:val="0"/>
      <w:marBottom w:val="0"/>
      <w:divBdr>
        <w:top w:val="none" w:sz="0" w:space="0" w:color="auto"/>
        <w:left w:val="none" w:sz="0" w:space="0" w:color="auto"/>
        <w:bottom w:val="none" w:sz="0" w:space="0" w:color="auto"/>
        <w:right w:val="none" w:sz="0" w:space="0" w:color="auto"/>
      </w:divBdr>
    </w:div>
    <w:div w:id="1313947435">
      <w:bodyDiv w:val="1"/>
      <w:marLeft w:val="0"/>
      <w:marRight w:val="0"/>
      <w:marTop w:val="0"/>
      <w:marBottom w:val="0"/>
      <w:divBdr>
        <w:top w:val="none" w:sz="0" w:space="0" w:color="auto"/>
        <w:left w:val="none" w:sz="0" w:space="0" w:color="auto"/>
        <w:bottom w:val="none" w:sz="0" w:space="0" w:color="auto"/>
        <w:right w:val="none" w:sz="0" w:space="0" w:color="auto"/>
      </w:divBdr>
    </w:div>
    <w:div w:id="1315142140">
      <w:bodyDiv w:val="1"/>
      <w:marLeft w:val="0"/>
      <w:marRight w:val="0"/>
      <w:marTop w:val="0"/>
      <w:marBottom w:val="0"/>
      <w:divBdr>
        <w:top w:val="none" w:sz="0" w:space="0" w:color="auto"/>
        <w:left w:val="none" w:sz="0" w:space="0" w:color="auto"/>
        <w:bottom w:val="none" w:sz="0" w:space="0" w:color="auto"/>
        <w:right w:val="none" w:sz="0" w:space="0" w:color="auto"/>
      </w:divBdr>
    </w:div>
    <w:div w:id="1316689782">
      <w:bodyDiv w:val="1"/>
      <w:marLeft w:val="0"/>
      <w:marRight w:val="0"/>
      <w:marTop w:val="0"/>
      <w:marBottom w:val="0"/>
      <w:divBdr>
        <w:top w:val="none" w:sz="0" w:space="0" w:color="auto"/>
        <w:left w:val="none" w:sz="0" w:space="0" w:color="auto"/>
        <w:bottom w:val="none" w:sz="0" w:space="0" w:color="auto"/>
        <w:right w:val="none" w:sz="0" w:space="0" w:color="auto"/>
      </w:divBdr>
    </w:div>
    <w:div w:id="1318000017">
      <w:bodyDiv w:val="1"/>
      <w:marLeft w:val="0"/>
      <w:marRight w:val="0"/>
      <w:marTop w:val="0"/>
      <w:marBottom w:val="0"/>
      <w:divBdr>
        <w:top w:val="none" w:sz="0" w:space="0" w:color="auto"/>
        <w:left w:val="none" w:sz="0" w:space="0" w:color="auto"/>
        <w:bottom w:val="none" w:sz="0" w:space="0" w:color="auto"/>
        <w:right w:val="none" w:sz="0" w:space="0" w:color="auto"/>
      </w:divBdr>
    </w:div>
    <w:div w:id="1318875686">
      <w:bodyDiv w:val="1"/>
      <w:marLeft w:val="0"/>
      <w:marRight w:val="0"/>
      <w:marTop w:val="0"/>
      <w:marBottom w:val="0"/>
      <w:divBdr>
        <w:top w:val="none" w:sz="0" w:space="0" w:color="auto"/>
        <w:left w:val="none" w:sz="0" w:space="0" w:color="auto"/>
        <w:bottom w:val="none" w:sz="0" w:space="0" w:color="auto"/>
        <w:right w:val="none" w:sz="0" w:space="0" w:color="auto"/>
      </w:divBdr>
    </w:div>
    <w:div w:id="1319192351">
      <w:bodyDiv w:val="1"/>
      <w:marLeft w:val="0"/>
      <w:marRight w:val="0"/>
      <w:marTop w:val="0"/>
      <w:marBottom w:val="0"/>
      <w:divBdr>
        <w:top w:val="none" w:sz="0" w:space="0" w:color="auto"/>
        <w:left w:val="none" w:sz="0" w:space="0" w:color="auto"/>
        <w:bottom w:val="none" w:sz="0" w:space="0" w:color="auto"/>
        <w:right w:val="none" w:sz="0" w:space="0" w:color="auto"/>
      </w:divBdr>
    </w:div>
    <w:div w:id="1319269663">
      <w:bodyDiv w:val="1"/>
      <w:marLeft w:val="0"/>
      <w:marRight w:val="0"/>
      <w:marTop w:val="0"/>
      <w:marBottom w:val="0"/>
      <w:divBdr>
        <w:top w:val="none" w:sz="0" w:space="0" w:color="auto"/>
        <w:left w:val="none" w:sz="0" w:space="0" w:color="auto"/>
        <w:bottom w:val="none" w:sz="0" w:space="0" w:color="auto"/>
        <w:right w:val="none" w:sz="0" w:space="0" w:color="auto"/>
      </w:divBdr>
    </w:div>
    <w:div w:id="1320235382">
      <w:bodyDiv w:val="1"/>
      <w:marLeft w:val="0"/>
      <w:marRight w:val="0"/>
      <w:marTop w:val="0"/>
      <w:marBottom w:val="0"/>
      <w:divBdr>
        <w:top w:val="none" w:sz="0" w:space="0" w:color="auto"/>
        <w:left w:val="none" w:sz="0" w:space="0" w:color="auto"/>
        <w:bottom w:val="none" w:sz="0" w:space="0" w:color="auto"/>
        <w:right w:val="none" w:sz="0" w:space="0" w:color="auto"/>
      </w:divBdr>
    </w:div>
    <w:div w:id="1320354192">
      <w:bodyDiv w:val="1"/>
      <w:marLeft w:val="0"/>
      <w:marRight w:val="0"/>
      <w:marTop w:val="0"/>
      <w:marBottom w:val="0"/>
      <w:divBdr>
        <w:top w:val="none" w:sz="0" w:space="0" w:color="auto"/>
        <w:left w:val="none" w:sz="0" w:space="0" w:color="auto"/>
        <w:bottom w:val="none" w:sz="0" w:space="0" w:color="auto"/>
        <w:right w:val="none" w:sz="0" w:space="0" w:color="auto"/>
      </w:divBdr>
    </w:div>
    <w:div w:id="1322076190">
      <w:bodyDiv w:val="1"/>
      <w:marLeft w:val="0"/>
      <w:marRight w:val="0"/>
      <w:marTop w:val="0"/>
      <w:marBottom w:val="0"/>
      <w:divBdr>
        <w:top w:val="none" w:sz="0" w:space="0" w:color="auto"/>
        <w:left w:val="none" w:sz="0" w:space="0" w:color="auto"/>
        <w:bottom w:val="none" w:sz="0" w:space="0" w:color="auto"/>
        <w:right w:val="none" w:sz="0" w:space="0" w:color="auto"/>
      </w:divBdr>
    </w:div>
    <w:div w:id="1323579600">
      <w:bodyDiv w:val="1"/>
      <w:marLeft w:val="0"/>
      <w:marRight w:val="0"/>
      <w:marTop w:val="0"/>
      <w:marBottom w:val="0"/>
      <w:divBdr>
        <w:top w:val="none" w:sz="0" w:space="0" w:color="auto"/>
        <w:left w:val="none" w:sz="0" w:space="0" w:color="auto"/>
        <w:bottom w:val="none" w:sz="0" w:space="0" w:color="auto"/>
        <w:right w:val="none" w:sz="0" w:space="0" w:color="auto"/>
      </w:divBdr>
    </w:div>
    <w:div w:id="1323922944">
      <w:bodyDiv w:val="1"/>
      <w:marLeft w:val="0"/>
      <w:marRight w:val="0"/>
      <w:marTop w:val="0"/>
      <w:marBottom w:val="0"/>
      <w:divBdr>
        <w:top w:val="none" w:sz="0" w:space="0" w:color="auto"/>
        <w:left w:val="none" w:sz="0" w:space="0" w:color="auto"/>
        <w:bottom w:val="none" w:sz="0" w:space="0" w:color="auto"/>
        <w:right w:val="none" w:sz="0" w:space="0" w:color="auto"/>
      </w:divBdr>
    </w:div>
    <w:div w:id="1328827330">
      <w:bodyDiv w:val="1"/>
      <w:marLeft w:val="0"/>
      <w:marRight w:val="0"/>
      <w:marTop w:val="0"/>
      <w:marBottom w:val="0"/>
      <w:divBdr>
        <w:top w:val="none" w:sz="0" w:space="0" w:color="auto"/>
        <w:left w:val="none" w:sz="0" w:space="0" w:color="auto"/>
        <w:bottom w:val="none" w:sz="0" w:space="0" w:color="auto"/>
        <w:right w:val="none" w:sz="0" w:space="0" w:color="auto"/>
      </w:divBdr>
    </w:div>
    <w:div w:id="1333024140">
      <w:bodyDiv w:val="1"/>
      <w:marLeft w:val="0"/>
      <w:marRight w:val="0"/>
      <w:marTop w:val="0"/>
      <w:marBottom w:val="0"/>
      <w:divBdr>
        <w:top w:val="none" w:sz="0" w:space="0" w:color="auto"/>
        <w:left w:val="none" w:sz="0" w:space="0" w:color="auto"/>
        <w:bottom w:val="none" w:sz="0" w:space="0" w:color="auto"/>
        <w:right w:val="none" w:sz="0" w:space="0" w:color="auto"/>
      </w:divBdr>
    </w:div>
    <w:div w:id="1333754939">
      <w:bodyDiv w:val="1"/>
      <w:marLeft w:val="0"/>
      <w:marRight w:val="0"/>
      <w:marTop w:val="0"/>
      <w:marBottom w:val="0"/>
      <w:divBdr>
        <w:top w:val="none" w:sz="0" w:space="0" w:color="auto"/>
        <w:left w:val="none" w:sz="0" w:space="0" w:color="auto"/>
        <w:bottom w:val="none" w:sz="0" w:space="0" w:color="auto"/>
        <w:right w:val="none" w:sz="0" w:space="0" w:color="auto"/>
      </w:divBdr>
    </w:div>
    <w:div w:id="1334070707">
      <w:bodyDiv w:val="1"/>
      <w:marLeft w:val="0"/>
      <w:marRight w:val="0"/>
      <w:marTop w:val="0"/>
      <w:marBottom w:val="0"/>
      <w:divBdr>
        <w:top w:val="none" w:sz="0" w:space="0" w:color="auto"/>
        <w:left w:val="none" w:sz="0" w:space="0" w:color="auto"/>
        <w:bottom w:val="none" w:sz="0" w:space="0" w:color="auto"/>
        <w:right w:val="none" w:sz="0" w:space="0" w:color="auto"/>
      </w:divBdr>
    </w:div>
    <w:div w:id="1334868558">
      <w:bodyDiv w:val="1"/>
      <w:marLeft w:val="0"/>
      <w:marRight w:val="0"/>
      <w:marTop w:val="0"/>
      <w:marBottom w:val="0"/>
      <w:divBdr>
        <w:top w:val="none" w:sz="0" w:space="0" w:color="auto"/>
        <w:left w:val="none" w:sz="0" w:space="0" w:color="auto"/>
        <w:bottom w:val="none" w:sz="0" w:space="0" w:color="auto"/>
        <w:right w:val="none" w:sz="0" w:space="0" w:color="auto"/>
      </w:divBdr>
    </w:div>
    <w:div w:id="1334995988">
      <w:bodyDiv w:val="1"/>
      <w:marLeft w:val="0"/>
      <w:marRight w:val="0"/>
      <w:marTop w:val="0"/>
      <w:marBottom w:val="0"/>
      <w:divBdr>
        <w:top w:val="none" w:sz="0" w:space="0" w:color="auto"/>
        <w:left w:val="none" w:sz="0" w:space="0" w:color="auto"/>
        <w:bottom w:val="none" w:sz="0" w:space="0" w:color="auto"/>
        <w:right w:val="none" w:sz="0" w:space="0" w:color="auto"/>
      </w:divBdr>
    </w:div>
    <w:div w:id="1335299727">
      <w:bodyDiv w:val="1"/>
      <w:marLeft w:val="0"/>
      <w:marRight w:val="0"/>
      <w:marTop w:val="0"/>
      <w:marBottom w:val="0"/>
      <w:divBdr>
        <w:top w:val="none" w:sz="0" w:space="0" w:color="auto"/>
        <w:left w:val="none" w:sz="0" w:space="0" w:color="auto"/>
        <w:bottom w:val="none" w:sz="0" w:space="0" w:color="auto"/>
        <w:right w:val="none" w:sz="0" w:space="0" w:color="auto"/>
      </w:divBdr>
    </w:div>
    <w:div w:id="1337002414">
      <w:bodyDiv w:val="1"/>
      <w:marLeft w:val="0"/>
      <w:marRight w:val="0"/>
      <w:marTop w:val="0"/>
      <w:marBottom w:val="0"/>
      <w:divBdr>
        <w:top w:val="none" w:sz="0" w:space="0" w:color="auto"/>
        <w:left w:val="none" w:sz="0" w:space="0" w:color="auto"/>
        <w:bottom w:val="none" w:sz="0" w:space="0" w:color="auto"/>
        <w:right w:val="none" w:sz="0" w:space="0" w:color="auto"/>
      </w:divBdr>
    </w:div>
    <w:div w:id="1337153810">
      <w:bodyDiv w:val="1"/>
      <w:marLeft w:val="0"/>
      <w:marRight w:val="0"/>
      <w:marTop w:val="0"/>
      <w:marBottom w:val="0"/>
      <w:divBdr>
        <w:top w:val="none" w:sz="0" w:space="0" w:color="auto"/>
        <w:left w:val="none" w:sz="0" w:space="0" w:color="auto"/>
        <w:bottom w:val="none" w:sz="0" w:space="0" w:color="auto"/>
        <w:right w:val="none" w:sz="0" w:space="0" w:color="auto"/>
      </w:divBdr>
    </w:div>
    <w:div w:id="1337464529">
      <w:bodyDiv w:val="1"/>
      <w:marLeft w:val="0"/>
      <w:marRight w:val="0"/>
      <w:marTop w:val="0"/>
      <w:marBottom w:val="0"/>
      <w:divBdr>
        <w:top w:val="none" w:sz="0" w:space="0" w:color="auto"/>
        <w:left w:val="none" w:sz="0" w:space="0" w:color="auto"/>
        <w:bottom w:val="none" w:sz="0" w:space="0" w:color="auto"/>
        <w:right w:val="none" w:sz="0" w:space="0" w:color="auto"/>
      </w:divBdr>
    </w:div>
    <w:div w:id="1337734358">
      <w:bodyDiv w:val="1"/>
      <w:marLeft w:val="0"/>
      <w:marRight w:val="0"/>
      <w:marTop w:val="0"/>
      <w:marBottom w:val="0"/>
      <w:divBdr>
        <w:top w:val="none" w:sz="0" w:space="0" w:color="auto"/>
        <w:left w:val="none" w:sz="0" w:space="0" w:color="auto"/>
        <w:bottom w:val="none" w:sz="0" w:space="0" w:color="auto"/>
        <w:right w:val="none" w:sz="0" w:space="0" w:color="auto"/>
      </w:divBdr>
    </w:div>
    <w:div w:id="1341471206">
      <w:bodyDiv w:val="1"/>
      <w:marLeft w:val="0"/>
      <w:marRight w:val="0"/>
      <w:marTop w:val="0"/>
      <w:marBottom w:val="0"/>
      <w:divBdr>
        <w:top w:val="none" w:sz="0" w:space="0" w:color="auto"/>
        <w:left w:val="none" w:sz="0" w:space="0" w:color="auto"/>
        <w:bottom w:val="none" w:sz="0" w:space="0" w:color="auto"/>
        <w:right w:val="none" w:sz="0" w:space="0" w:color="auto"/>
      </w:divBdr>
    </w:div>
    <w:div w:id="1341619243">
      <w:bodyDiv w:val="1"/>
      <w:marLeft w:val="0"/>
      <w:marRight w:val="0"/>
      <w:marTop w:val="0"/>
      <w:marBottom w:val="0"/>
      <w:divBdr>
        <w:top w:val="none" w:sz="0" w:space="0" w:color="auto"/>
        <w:left w:val="none" w:sz="0" w:space="0" w:color="auto"/>
        <w:bottom w:val="none" w:sz="0" w:space="0" w:color="auto"/>
        <w:right w:val="none" w:sz="0" w:space="0" w:color="auto"/>
      </w:divBdr>
    </w:div>
    <w:div w:id="1342003742">
      <w:bodyDiv w:val="1"/>
      <w:marLeft w:val="0"/>
      <w:marRight w:val="0"/>
      <w:marTop w:val="0"/>
      <w:marBottom w:val="0"/>
      <w:divBdr>
        <w:top w:val="none" w:sz="0" w:space="0" w:color="auto"/>
        <w:left w:val="none" w:sz="0" w:space="0" w:color="auto"/>
        <w:bottom w:val="none" w:sz="0" w:space="0" w:color="auto"/>
        <w:right w:val="none" w:sz="0" w:space="0" w:color="auto"/>
      </w:divBdr>
    </w:div>
    <w:div w:id="1342320194">
      <w:bodyDiv w:val="1"/>
      <w:marLeft w:val="0"/>
      <w:marRight w:val="0"/>
      <w:marTop w:val="0"/>
      <w:marBottom w:val="0"/>
      <w:divBdr>
        <w:top w:val="none" w:sz="0" w:space="0" w:color="auto"/>
        <w:left w:val="none" w:sz="0" w:space="0" w:color="auto"/>
        <w:bottom w:val="none" w:sz="0" w:space="0" w:color="auto"/>
        <w:right w:val="none" w:sz="0" w:space="0" w:color="auto"/>
      </w:divBdr>
    </w:div>
    <w:div w:id="1343973259">
      <w:bodyDiv w:val="1"/>
      <w:marLeft w:val="0"/>
      <w:marRight w:val="0"/>
      <w:marTop w:val="0"/>
      <w:marBottom w:val="0"/>
      <w:divBdr>
        <w:top w:val="none" w:sz="0" w:space="0" w:color="auto"/>
        <w:left w:val="none" w:sz="0" w:space="0" w:color="auto"/>
        <w:bottom w:val="none" w:sz="0" w:space="0" w:color="auto"/>
        <w:right w:val="none" w:sz="0" w:space="0" w:color="auto"/>
      </w:divBdr>
    </w:div>
    <w:div w:id="1344241490">
      <w:bodyDiv w:val="1"/>
      <w:marLeft w:val="0"/>
      <w:marRight w:val="0"/>
      <w:marTop w:val="0"/>
      <w:marBottom w:val="0"/>
      <w:divBdr>
        <w:top w:val="none" w:sz="0" w:space="0" w:color="auto"/>
        <w:left w:val="none" w:sz="0" w:space="0" w:color="auto"/>
        <w:bottom w:val="none" w:sz="0" w:space="0" w:color="auto"/>
        <w:right w:val="none" w:sz="0" w:space="0" w:color="auto"/>
      </w:divBdr>
    </w:div>
    <w:div w:id="1345859283">
      <w:bodyDiv w:val="1"/>
      <w:marLeft w:val="0"/>
      <w:marRight w:val="0"/>
      <w:marTop w:val="0"/>
      <w:marBottom w:val="0"/>
      <w:divBdr>
        <w:top w:val="none" w:sz="0" w:space="0" w:color="auto"/>
        <w:left w:val="none" w:sz="0" w:space="0" w:color="auto"/>
        <w:bottom w:val="none" w:sz="0" w:space="0" w:color="auto"/>
        <w:right w:val="none" w:sz="0" w:space="0" w:color="auto"/>
      </w:divBdr>
    </w:div>
    <w:div w:id="1347362665">
      <w:bodyDiv w:val="1"/>
      <w:marLeft w:val="0"/>
      <w:marRight w:val="0"/>
      <w:marTop w:val="0"/>
      <w:marBottom w:val="0"/>
      <w:divBdr>
        <w:top w:val="none" w:sz="0" w:space="0" w:color="auto"/>
        <w:left w:val="none" w:sz="0" w:space="0" w:color="auto"/>
        <w:bottom w:val="none" w:sz="0" w:space="0" w:color="auto"/>
        <w:right w:val="none" w:sz="0" w:space="0" w:color="auto"/>
      </w:divBdr>
    </w:div>
    <w:div w:id="1348218349">
      <w:bodyDiv w:val="1"/>
      <w:marLeft w:val="0"/>
      <w:marRight w:val="0"/>
      <w:marTop w:val="0"/>
      <w:marBottom w:val="0"/>
      <w:divBdr>
        <w:top w:val="none" w:sz="0" w:space="0" w:color="auto"/>
        <w:left w:val="none" w:sz="0" w:space="0" w:color="auto"/>
        <w:bottom w:val="none" w:sz="0" w:space="0" w:color="auto"/>
        <w:right w:val="none" w:sz="0" w:space="0" w:color="auto"/>
      </w:divBdr>
    </w:div>
    <w:div w:id="1349528632">
      <w:bodyDiv w:val="1"/>
      <w:marLeft w:val="0"/>
      <w:marRight w:val="0"/>
      <w:marTop w:val="0"/>
      <w:marBottom w:val="0"/>
      <w:divBdr>
        <w:top w:val="none" w:sz="0" w:space="0" w:color="auto"/>
        <w:left w:val="none" w:sz="0" w:space="0" w:color="auto"/>
        <w:bottom w:val="none" w:sz="0" w:space="0" w:color="auto"/>
        <w:right w:val="none" w:sz="0" w:space="0" w:color="auto"/>
      </w:divBdr>
    </w:div>
    <w:div w:id="1350256530">
      <w:bodyDiv w:val="1"/>
      <w:marLeft w:val="0"/>
      <w:marRight w:val="0"/>
      <w:marTop w:val="0"/>
      <w:marBottom w:val="0"/>
      <w:divBdr>
        <w:top w:val="none" w:sz="0" w:space="0" w:color="auto"/>
        <w:left w:val="none" w:sz="0" w:space="0" w:color="auto"/>
        <w:bottom w:val="none" w:sz="0" w:space="0" w:color="auto"/>
        <w:right w:val="none" w:sz="0" w:space="0" w:color="auto"/>
      </w:divBdr>
    </w:div>
    <w:div w:id="1350722142">
      <w:bodyDiv w:val="1"/>
      <w:marLeft w:val="0"/>
      <w:marRight w:val="0"/>
      <w:marTop w:val="0"/>
      <w:marBottom w:val="0"/>
      <w:divBdr>
        <w:top w:val="none" w:sz="0" w:space="0" w:color="auto"/>
        <w:left w:val="none" w:sz="0" w:space="0" w:color="auto"/>
        <w:bottom w:val="none" w:sz="0" w:space="0" w:color="auto"/>
        <w:right w:val="none" w:sz="0" w:space="0" w:color="auto"/>
      </w:divBdr>
    </w:div>
    <w:div w:id="1354376171">
      <w:bodyDiv w:val="1"/>
      <w:marLeft w:val="0"/>
      <w:marRight w:val="0"/>
      <w:marTop w:val="0"/>
      <w:marBottom w:val="0"/>
      <w:divBdr>
        <w:top w:val="none" w:sz="0" w:space="0" w:color="auto"/>
        <w:left w:val="none" w:sz="0" w:space="0" w:color="auto"/>
        <w:bottom w:val="none" w:sz="0" w:space="0" w:color="auto"/>
        <w:right w:val="none" w:sz="0" w:space="0" w:color="auto"/>
      </w:divBdr>
    </w:div>
    <w:div w:id="1358313642">
      <w:bodyDiv w:val="1"/>
      <w:marLeft w:val="0"/>
      <w:marRight w:val="0"/>
      <w:marTop w:val="0"/>
      <w:marBottom w:val="0"/>
      <w:divBdr>
        <w:top w:val="none" w:sz="0" w:space="0" w:color="auto"/>
        <w:left w:val="none" w:sz="0" w:space="0" w:color="auto"/>
        <w:bottom w:val="none" w:sz="0" w:space="0" w:color="auto"/>
        <w:right w:val="none" w:sz="0" w:space="0" w:color="auto"/>
      </w:divBdr>
    </w:div>
    <w:div w:id="1361781498">
      <w:bodyDiv w:val="1"/>
      <w:marLeft w:val="0"/>
      <w:marRight w:val="0"/>
      <w:marTop w:val="0"/>
      <w:marBottom w:val="0"/>
      <w:divBdr>
        <w:top w:val="none" w:sz="0" w:space="0" w:color="auto"/>
        <w:left w:val="none" w:sz="0" w:space="0" w:color="auto"/>
        <w:bottom w:val="none" w:sz="0" w:space="0" w:color="auto"/>
        <w:right w:val="none" w:sz="0" w:space="0" w:color="auto"/>
      </w:divBdr>
    </w:div>
    <w:div w:id="1362437477">
      <w:bodyDiv w:val="1"/>
      <w:marLeft w:val="0"/>
      <w:marRight w:val="0"/>
      <w:marTop w:val="0"/>
      <w:marBottom w:val="0"/>
      <w:divBdr>
        <w:top w:val="none" w:sz="0" w:space="0" w:color="auto"/>
        <w:left w:val="none" w:sz="0" w:space="0" w:color="auto"/>
        <w:bottom w:val="none" w:sz="0" w:space="0" w:color="auto"/>
        <w:right w:val="none" w:sz="0" w:space="0" w:color="auto"/>
      </w:divBdr>
    </w:div>
    <w:div w:id="1363627051">
      <w:bodyDiv w:val="1"/>
      <w:marLeft w:val="0"/>
      <w:marRight w:val="0"/>
      <w:marTop w:val="0"/>
      <w:marBottom w:val="0"/>
      <w:divBdr>
        <w:top w:val="none" w:sz="0" w:space="0" w:color="auto"/>
        <w:left w:val="none" w:sz="0" w:space="0" w:color="auto"/>
        <w:bottom w:val="none" w:sz="0" w:space="0" w:color="auto"/>
        <w:right w:val="none" w:sz="0" w:space="0" w:color="auto"/>
      </w:divBdr>
    </w:div>
    <w:div w:id="1365792632">
      <w:bodyDiv w:val="1"/>
      <w:marLeft w:val="0"/>
      <w:marRight w:val="0"/>
      <w:marTop w:val="0"/>
      <w:marBottom w:val="0"/>
      <w:divBdr>
        <w:top w:val="none" w:sz="0" w:space="0" w:color="auto"/>
        <w:left w:val="none" w:sz="0" w:space="0" w:color="auto"/>
        <w:bottom w:val="none" w:sz="0" w:space="0" w:color="auto"/>
        <w:right w:val="none" w:sz="0" w:space="0" w:color="auto"/>
      </w:divBdr>
    </w:div>
    <w:div w:id="1366708236">
      <w:bodyDiv w:val="1"/>
      <w:marLeft w:val="0"/>
      <w:marRight w:val="0"/>
      <w:marTop w:val="0"/>
      <w:marBottom w:val="0"/>
      <w:divBdr>
        <w:top w:val="none" w:sz="0" w:space="0" w:color="auto"/>
        <w:left w:val="none" w:sz="0" w:space="0" w:color="auto"/>
        <w:bottom w:val="none" w:sz="0" w:space="0" w:color="auto"/>
        <w:right w:val="none" w:sz="0" w:space="0" w:color="auto"/>
      </w:divBdr>
    </w:div>
    <w:div w:id="1367099009">
      <w:bodyDiv w:val="1"/>
      <w:marLeft w:val="0"/>
      <w:marRight w:val="0"/>
      <w:marTop w:val="0"/>
      <w:marBottom w:val="0"/>
      <w:divBdr>
        <w:top w:val="none" w:sz="0" w:space="0" w:color="auto"/>
        <w:left w:val="none" w:sz="0" w:space="0" w:color="auto"/>
        <w:bottom w:val="none" w:sz="0" w:space="0" w:color="auto"/>
        <w:right w:val="none" w:sz="0" w:space="0" w:color="auto"/>
      </w:divBdr>
    </w:div>
    <w:div w:id="1367637639">
      <w:bodyDiv w:val="1"/>
      <w:marLeft w:val="0"/>
      <w:marRight w:val="0"/>
      <w:marTop w:val="0"/>
      <w:marBottom w:val="0"/>
      <w:divBdr>
        <w:top w:val="none" w:sz="0" w:space="0" w:color="auto"/>
        <w:left w:val="none" w:sz="0" w:space="0" w:color="auto"/>
        <w:bottom w:val="none" w:sz="0" w:space="0" w:color="auto"/>
        <w:right w:val="none" w:sz="0" w:space="0" w:color="auto"/>
      </w:divBdr>
    </w:div>
    <w:div w:id="1370689091">
      <w:bodyDiv w:val="1"/>
      <w:marLeft w:val="0"/>
      <w:marRight w:val="0"/>
      <w:marTop w:val="0"/>
      <w:marBottom w:val="0"/>
      <w:divBdr>
        <w:top w:val="none" w:sz="0" w:space="0" w:color="auto"/>
        <w:left w:val="none" w:sz="0" w:space="0" w:color="auto"/>
        <w:bottom w:val="none" w:sz="0" w:space="0" w:color="auto"/>
        <w:right w:val="none" w:sz="0" w:space="0" w:color="auto"/>
      </w:divBdr>
    </w:div>
    <w:div w:id="1372076895">
      <w:bodyDiv w:val="1"/>
      <w:marLeft w:val="0"/>
      <w:marRight w:val="0"/>
      <w:marTop w:val="0"/>
      <w:marBottom w:val="0"/>
      <w:divBdr>
        <w:top w:val="none" w:sz="0" w:space="0" w:color="auto"/>
        <w:left w:val="none" w:sz="0" w:space="0" w:color="auto"/>
        <w:bottom w:val="none" w:sz="0" w:space="0" w:color="auto"/>
        <w:right w:val="none" w:sz="0" w:space="0" w:color="auto"/>
      </w:divBdr>
    </w:div>
    <w:div w:id="1373850397">
      <w:bodyDiv w:val="1"/>
      <w:marLeft w:val="0"/>
      <w:marRight w:val="0"/>
      <w:marTop w:val="0"/>
      <w:marBottom w:val="0"/>
      <w:divBdr>
        <w:top w:val="none" w:sz="0" w:space="0" w:color="auto"/>
        <w:left w:val="none" w:sz="0" w:space="0" w:color="auto"/>
        <w:bottom w:val="none" w:sz="0" w:space="0" w:color="auto"/>
        <w:right w:val="none" w:sz="0" w:space="0" w:color="auto"/>
      </w:divBdr>
    </w:div>
    <w:div w:id="1376542206">
      <w:bodyDiv w:val="1"/>
      <w:marLeft w:val="0"/>
      <w:marRight w:val="0"/>
      <w:marTop w:val="0"/>
      <w:marBottom w:val="0"/>
      <w:divBdr>
        <w:top w:val="none" w:sz="0" w:space="0" w:color="auto"/>
        <w:left w:val="none" w:sz="0" w:space="0" w:color="auto"/>
        <w:bottom w:val="none" w:sz="0" w:space="0" w:color="auto"/>
        <w:right w:val="none" w:sz="0" w:space="0" w:color="auto"/>
      </w:divBdr>
    </w:div>
    <w:div w:id="1376999637">
      <w:bodyDiv w:val="1"/>
      <w:marLeft w:val="0"/>
      <w:marRight w:val="0"/>
      <w:marTop w:val="0"/>
      <w:marBottom w:val="0"/>
      <w:divBdr>
        <w:top w:val="none" w:sz="0" w:space="0" w:color="auto"/>
        <w:left w:val="none" w:sz="0" w:space="0" w:color="auto"/>
        <w:bottom w:val="none" w:sz="0" w:space="0" w:color="auto"/>
        <w:right w:val="none" w:sz="0" w:space="0" w:color="auto"/>
      </w:divBdr>
    </w:div>
    <w:div w:id="1377706307">
      <w:bodyDiv w:val="1"/>
      <w:marLeft w:val="0"/>
      <w:marRight w:val="0"/>
      <w:marTop w:val="0"/>
      <w:marBottom w:val="0"/>
      <w:divBdr>
        <w:top w:val="none" w:sz="0" w:space="0" w:color="auto"/>
        <w:left w:val="none" w:sz="0" w:space="0" w:color="auto"/>
        <w:bottom w:val="none" w:sz="0" w:space="0" w:color="auto"/>
        <w:right w:val="none" w:sz="0" w:space="0" w:color="auto"/>
      </w:divBdr>
    </w:div>
    <w:div w:id="1378815885">
      <w:bodyDiv w:val="1"/>
      <w:marLeft w:val="0"/>
      <w:marRight w:val="0"/>
      <w:marTop w:val="0"/>
      <w:marBottom w:val="0"/>
      <w:divBdr>
        <w:top w:val="none" w:sz="0" w:space="0" w:color="auto"/>
        <w:left w:val="none" w:sz="0" w:space="0" w:color="auto"/>
        <w:bottom w:val="none" w:sz="0" w:space="0" w:color="auto"/>
        <w:right w:val="none" w:sz="0" w:space="0" w:color="auto"/>
      </w:divBdr>
    </w:div>
    <w:div w:id="1379550555">
      <w:bodyDiv w:val="1"/>
      <w:marLeft w:val="0"/>
      <w:marRight w:val="0"/>
      <w:marTop w:val="0"/>
      <w:marBottom w:val="0"/>
      <w:divBdr>
        <w:top w:val="none" w:sz="0" w:space="0" w:color="auto"/>
        <w:left w:val="none" w:sz="0" w:space="0" w:color="auto"/>
        <w:bottom w:val="none" w:sz="0" w:space="0" w:color="auto"/>
        <w:right w:val="none" w:sz="0" w:space="0" w:color="auto"/>
      </w:divBdr>
    </w:div>
    <w:div w:id="1380713624">
      <w:bodyDiv w:val="1"/>
      <w:marLeft w:val="0"/>
      <w:marRight w:val="0"/>
      <w:marTop w:val="0"/>
      <w:marBottom w:val="0"/>
      <w:divBdr>
        <w:top w:val="none" w:sz="0" w:space="0" w:color="auto"/>
        <w:left w:val="none" w:sz="0" w:space="0" w:color="auto"/>
        <w:bottom w:val="none" w:sz="0" w:space="0" w:color="auto"/>
        <w:right w:val="none" w:sz="0" w:space="0" w:color="auto"/>
      </w:divBdr>
      <w:divsChild>
        <w:div w:id="718436833">
          <w:marLeft w:val="1411"/>
          <w:marRight w:val="0"/>
          <w:marTop w:val="120"/>
          <w:marBottom w:val="0"/>
          <w:divBdr>
            <w:top w:val="none" w:sz="0" w:space="0" w:color="auto"/>
            <w:left w:val="none" w:sz="0" w:space="0" w:color="auto"/>
            <w:bottom w:val="none" w:sz="0" w:space="0" w:color="auto"/>
            <w:right w:val="none" w:sz="0" w:space="0" w:color="auto"/>
          </w:divBdr>
        </w:div>
        <w:div w:id="1012072471">
          <w:marLeft w:val="1411"/>
          <w:marRight w:val="0"/>
          <w:marTop w:val="120"/>
          <w:marBottom w:val="0"/>
          <w:divBdr>
            <w:top w:val="none" w:sz="0" w:space="0" w:color="auto"/>
            <w:left w:val="none" w:sz="0" w:space="0" w:color="auto"/>
            <w:bottom w:val="none" w:sz="0" w:space="0" w:color="auto"/>
            <w:right w:val="none" w:sz="0" w:space="0" w:color="auto"/>
          </w:divBdr>
        </w:div>
        <w:div w:id="1069695198">
          <w:marLeft w:val="1411"/>
          <w:marRight w:val="0"/>
          <w:marTop w:val="120"/>
          <w:marBottom w:val="0"/>
          <w:divBdr>
            <w:top w:val="none" w:sz="0" w:space="0" w:color="auto"/>
            <w:left w:val="none" w:sz="0" w:space="0" w:color="auto"/>
            <w:bottom w:val="none" w:sz="0" w:space="0" w:color="auto"/>
            <w:right w:val="none" w:sz="0" w:space="0" w:color="auto"/>
          </w:divBdr>
        </w:div>
        <w:div w:id="1396124615">
          <w:marLeft w:val="1411"/>
          <w:marRight w:val="0"/>
          <w:marTop w:val="120"/>
          <w:marBottom w:val="0"/>
          <w:divBdr>
            <w:top w:val="none" w:sz="0" w:space="0" w:color="auto"/>
            <w:left w:val="none" w:sz="0" w:space="0" w:color="auto"/>
            <w:bottom w:val="none" w:sz="0" w:space="0" w:color="auto"/>
            <w:right w:val="none" w:sz="0" w:space="0" w:color="auto"/>
          </w:divBdr>
        </w:div>
        <w:div w:id="1563520595">
          <w:marLeft w:val="1411"/>
          <w:marRight w:val="0"/>
          <w:marTop w:val="120"/>
          <w:marBottom w:val="0"/>
          <w:divBdr>
            <w:top w:val="none" w:sz="0" w:space="0" w:color="auto"/>
            <w:left w:val="none" w:sz="0" w:space="0" w:color="auto"/>
            <w:bottom w:val="none" w:sz="0" w:space="0" w:color="auto"/>
            <w:right w:val="none" w:sz="0" w:space="0" w:color="auto"/>
          </w:divBdr>
        </w:div>
        <w:div w:id="1694263899">
          <w:marLeft w:val="1411"/>
          <w:marRight w:val="0"/>
          <w:marTop w:val="120"/>
          <w:marBottom w:val="0"/>
          <w:divBdr>
            <w:top w:val="none" w:sz="0" w:space="0" w:color="auto"/>
            <w:left w:val="none" w:sz="0" w:space="0" w:color="auto"/>
            <w:bottom w:val="none" w:sz="0" w:space="0" w:color="auto"/>
            <w:right w:val="none" w:sz="0" w:space="0" w:color="auto"/>
          </w:divBdr>
        </w:div>
        <w:div w:id="1975519759">
          <w:marLeft w:val="1411"/>
          <w:marRight w:val="0"/>
          <w:marTop w:val="120"/>
          <w:marBottom w:val="0"/>
          <w:divBdr>
            <w:top w:val="none" w:sz="0" w:space="0" w:color="auto"/>
            <w:left w:val="none" w:sz="0" w:space="0" w:color="auto"/>
            <w:bottom w:val="none" w:sz="0" w:space="0" w:color="auto"/>
            <w:right w:val="none" w:sz="0" w:space="0" w:color="auto"/>
          </w:divBdr>
        </w:div>
      </w:divsChild>
    </w:div>
    <w:div w:id="1382751380">
      <w:bodyDiv w:val="1"/>
      <w:marLeft w:val="0"/>
      <w:marRight w:val="0"/>
      <w:marTop w:val="0"/>
      <w:marBottom w:val="0"/>
      <w:divBdr>
        <w:top w:val="none" w:sz="0" w:space="0" w:color="auto"/>
        <w:left w:val="none" w:sz="0" w:space="0" w:color="auto"/>
        <w:bottom w:val="none" w:sz="0" w:space="0" w:color="auto"/>
        <w:right w:val="none" w:sz="0" w:space="0" w:color="auto"/>
      </w:divBdr>
    </w:div>
    <w:div w:id="1383603750">
      <w:bodyDiv w:val="1"/>
      <w:marLeft w:val="0"/>
      <w:marRight w:val="0"/>
      <w:marTop w:val="0"/>
      <w:marBottom w:val="0"/>
      <w:divBdr>
        <w:top w:val="none" w:sz="0" w:space="0" w:color="auto"/>
        <w:left w:val="none" w:sz="0" w:space="0" w:color="auto"/>
        <w:bottom w:val="none" w:sz="0" w:space="0" w:color="auto"/>
        <w:right w:val="none" w:sz="0" w:space="0" w:color="auto"/>
      </w:divBdr>
    </w:div>
    <w:div w:id="1383944096">
      <w:bodyDiv w:val="1"/>
      <w:marLeft w:val="0"/>
      <w:marRight w:val="0"/>
      <w:marTop w:val="0"/>
      <w:marBottom w:val="0"/>
      <w:divBdr>
        <w:top w:val="none" w:sz="0" w:space="0" w:color="auto"/>
        <w:left w:val="none" w:sz="0" w:space="0" w:color="auto"/>
        <w:bottom w:val="none" w:sz="0" w:space="0" w:color="auto"/>
        <w:right w:val="none" w:sz="0" w:space="0" w:color="auto"/>
      </w:divBdr>
    </w:div>
    <w:div w:id="1383945015">
      <w:bodyDiv w:val="1"/>
      <w:marLeft w:val="0"/>
      <w:marRight w:val="0"/>
      <w:marTop w:val="0"/>
      <w:marBottom w:val="0"/>
      <w:divBdr>
        <w:top w:val="none" w:sz="0" w:space="0" w:color="auto"/>
        <w:left w:val="none" w:sz="0" w:space="0" w:color="auto"/>
        <w:bottom w:val="none" w:sz="0" w:space="0" w:color="auto"/>
        <w:right w:val="none" w:sz="0" w:space="0" w:color="auto"/>
      </w:divBdr>
    </w:div>
    <w:div w:id="1384644977">
      <w:bodyDiv w:val="1"/>
      <w:marLeft w:val="0"/>
      <w:marRight w:val="0"/>
      <w:marTop w:val="0"/>
      <w:marBottom w:val="0"/>
      <w:divBdr>
        <w:top w:val="none" w:sz="0" w:space="0" w:color="auto"/>
        <w:left w:val="none" w:sz="0" w:space="0" w:color="auto"/>
        <w:bottom w:val="none" w:sz="0" w:space="0" w:color="auto"/>
        <w:right w:val="none" w:sz="0" w:space="0" w:color="auto"/>
      </w:divBdr>
    </w:div>
    <w:div w:id="1385258534">
      <w:bodyDiv w:val="1"/>
      <w:marLeft w:val="0"/>
      <w:marRight w:val="0"/>
      <w:marTop w:val="0"/>
      <w:marBottom w:val="0"/>
      <w:divBdr>
        <w:top w:val="none" w:sz="0" w:space="0" w:color="auto"/>
        <w:left w:val="none" w:sz="0" w:space="0" w:color="auto"/>
        <w:bottom w:val="none" w:sz="0" w:space="0" w:color="auto"/>
        <w:right w:val="none" w:sz="0" w:space="0" w:color="auto"/>
      </w:divBdr>
    </w:div>
    <w:div w:id="1386221023">
      <w:bodyDiv w:val="1"/>
      <w:marLeft w:val="0"/>
      <w:marRight w:val="0"/>
      <w:marTop w:val="0"/>
      <w:marBottom w:val="0"/>
      <w:divBdr>
        <w:top w:val="none" w:sz="0" w:space="0" w:color="auto"/>
        <w:left w:val="none" w:sz="0" w:space="0" w:color="auto"/>
        <w:bottom w:val="none" w:sz="0" w:space="0" w:color="auto"/>
        <w:right w:val="none" w:sz="0" w:space="0" w:color="auto"/>
      </w:divBdr>
    </w:div>
    <w:div w:id="1386366638">
      <w:bodyDiv w:val="1"/>
      <w:marLeft w:val="0"/>
      <w:marRight w:val="0"/>
      <w:marTop w:val="0"/>
      <w:marBottom w:val="0"/>
      <w:divBdr>
        <w:top w:val="none" w:sz="0" w:space="0" w:color="auto"/>
        <w:left w:val="none" w:sz="0" w:space="0" w:color="auto"/>
        <w:bottom w:val="none" w:sz="0" w:space="0" w:color="auto"/>
        <w:right w:val="none" w:sz="0" w:space="0" w:color="auto"/>
      </w:divBdr>
    </w:div>
    <w:div w:id="1387143590">
      <w:bodyDiv w:val="1"/>
      <w:marLeft w:val="0"/>
      <w:marRight w:val="0"/>
      <w:marTop w:val="0"/>
      <w:marBottom w:val="0"/>
      <w:divBdr>
        <w:top w:val="none" w:sz="0" w:space="0" w:color="auto"/>
        <w:left w:val="none" w:sz="0" w:space="0" w:color="auto"/>
        <w:bottom w:val="none" w:sz="0" w:space="0" w:color="auto"/>
        <w:right w:val="none" w:sz="0" w:space="0" w:color="auto"/>
      </w:divBdr>
    </w:div>
    <w:div w:id="1388988638">
      <w:bodyDiv w:val="1"/>
      <w:marLeft w:val="0"/>
      <w:marRight w:val="0"/>
      <w:marTop w:val="0"/>
      <w:marBottom w:val="0"/>
      <w:divBdr>
        <w:top w:val="none" w:sz="0" w:space="0" w:color="auto"/>
        <w:left w:val="none" w:sz="0" w:space="0" w:color="auto"/>
        <w:bottom w:val="none" w:sz="0" w:space="0" w:color="auto"/>
        <w:right w:val="none" w:sz="0" w:space="0" w:color="auto"/>
      </w:divBdr>
    </w:div>
    <w:div w:id="1389189267">
      <w:bodyDiv w:val="1"/>
      <w:marLeft w:val="0"/>
      <w:marRight w:val="0"/>
      <w:marTop w:val="0"/>
      <w:marBottom w:val="0"/>
      <w:divBdr>
        <w:top w:val="none" w:sz="0" w:space="0" w:color="auto"/>
        <w:left w:val="none" w:sz="0" w:space="0" w:color="auto"/>
        <w:bottom w:val="none" w:sz="0" w:space="0" w:color="auto"/>
        <w:right w:val="none" w:sz="0" w:space="0" w:color="auto"/>
      </w:divBdr>
    </w:div>
    <w:div w:id="1390763162">
      <w:bodyDiv w:val="1"/>
      <w:marLeft w:val="0"/>
      <w:marRight w:val="0"/>
      <w:marTop w:val="0"/>
      <w:marBottom w:val="0"/>
      <w:divBdr>
        <w:top w:val="none" w:sz="0" w:space="0" w:color="auto"/>
        <w:left w:val="none" w:sz="0" w:space="0" w:color="auto"/>
        <w:bottom w:val="none" w:sz="0" w:space="0" w:color="auto"/>
        <w:right w:val="none" w:sz="0" w:space="0" w:color="auto"/>
      </w:divBdr>
    </w:div>
    <w:div w:id="1391418751">
      <w:bodyDiv w:val="1"/>
      <w:marLeft w:val="0"/>
      <w:marRight w:val="0"/>
      <w:marTop w:val="0"/>
      <w:marBottom w:val="0"/>
      <w:divBdr>
        <w:top w:val="none" w:sz="0" w:space="0" w:color="auto"/>
        <w:left w:val="none" w:sz="0" w:space="0" w:color="auto"/>
        <w:bottom w:val="none" w:sz="0" w:space="0" w:color="auto"/>
        <w:right w:val="none" w:sz="0" w:space="0" w:color="auto"/>
      </w:divBdr>
    </w:div>
    <w:div w:id="1391734477">
      <w:bodyDiv w:val="1"/>
      <w:marLeft w:val="0"/>
      <w:marRight w:val="0"/>
      <w:marTop w:val="0"/>
      <w:marBottom w:val="0"/>
      <w:divBdr>
        <w:top w:val="none" w:sz="0" w:space="0" w:color="auto"/>
        <w:left w:val="none" w:sz="0" w:space="0" w:color="auto"/>
        <w:bottom w:val="none" w:sz="0" w:space="0" w:color="auto"/>
        <w:right w:val="none" w:sz="0" w:space="0" w:color="auto"/>
      </w:divBdr>
    </w:div>
    <w:div w:id="1394352418">
      <w:bodyDiv w:val="1"/>
      <w:marLeft w:val="0"/>
      <w:marRight w:val="0"/>
      <w:marTop w:val="0"/>
      <w:marBottom w:val="0"/>
      <w:divBdr>
        <w:top w:val="none" w:sz="0" w:space="0" w:color="auto"/>
        <w:left w:val="none" w:sz="0" w:space="0" w:color="auto"/>
        <w:bottom w:val="none" w:sz="0" w:space="0" w:color="auto"/>
        <w:right w:val="none" w:sz="0" w:space="0" w:color="auto"/>
      </w:divBdr>
    </w:div>
    <w:div w:id="1397053455">
      <w:bodyDiv w:val="1"/>
      <w:marLeft w:val="0"/>
      <w:marRight w:val="0"/>
      <w:marTop w:val="0"/>
      <w:marBottom w:val="0"/>
      <w:divBdr>
        <w:top w:val="none" w:sz="0" w:space="0" w:color="auto"/>
        <w:left w:val="none" w:sz="0" w:space="0" w:color="auto"/>
        <w:bottom w:val="none" w:sz="0" w:space="0" w:color="auto"/>
        <w:right w:val="none" w:sz="0" w:space="0" w:color="auto"/>
      </w:divBdr>
    </w:div>
    <w:div w:id="1397977433">
      <w:bodyDiv w:val="1"/>
      <w:marLeft w:val="0"/>
      <w:marRight w:val="0"/>
      <w:marTop w:val="0"/>
      <w:marBottom w:val="0"/>
      <w:divBdr>
        <w:top w:val="none" w:sz="0" w:space="0" w:color="auto"/>
        <w:left w:val="none" w:sz="0" w:space="0" w:color="auto"/>
        <w:bottom w:val="none" w:sz="0" w:space="0" w:color="auto"/>
        <w:right w:val="none" w:sz="0" w:space="0" w:color="auto"/>
      </w:divBdr>
    </w:div>
    <w:div w:id="1399210880">
      <w:bodyDiv w:val="1"/>
      <w:marLeft w:val="0"/>
      <w:marRight w:val="0"/>
      <w:marTop w:val="0"/>
      <w:marBottom w:val="0"/>
      <w:divBdr>
        <w:top w:val="none" w:sz="0" w:space="0" w:color="auto"/>
        <w:left w:val="none" w:sz="0" w:space="0" w:color="auto"/>
        <w:bottom w:val="none" w:sz="0" w:space="0" w:color="auto"/>
        <w:right w:val="none" w:sz="0" w:space="0" w:color="auto"/>
      </w:divBdr>
    </w:div>
    <w:div w:id="1401172530">
      <w:bodyDiv w:val="1"/>
      <w:marLeft w:val="0"/>
      <w:marRight w:val="0"/>
      <w:marTop w:val="0"/>
      <w:marBottom w:val="0"/>
      <w:divBdr>
        <w:top w:val="none" w:sz="0" w:space="0" w:color="auto"/>
        <w:left w:val="none" w:sz="0" w:space="0" w:color="auto"/>
        <w:bottom w:val="none" w:sz="0" w:space="0" w:color="auto"/>
        <w:right w:val="none" w:sz="0" w:space="0" w:color="auto"/>
      </w:divBdr>
    </w:div>
    <w:div w:id="1403261119">
      <w:bodyDiv w:val="1"/>
      <w:marLeft w:val="0"/>
      <w:marRight w:val="0"/>
      <w:marTop w:val="0"/>
      <w:marBottom w:val="0"/>
      <w:divBdr>
        <w:top w:val="none" w:sz="0" w:space="0" w:color="auto"/>
        <w:left w:val="none" w:sz="0" w:space="0" w:color="auto"/>
        <w:bottom w:val="none" w:sz="0" w:space="0" w:color="auto"/>
        <w:right w:val="none" w:sz="0" w:space="0" w:color="auto"/>
      </w:divBdr>
    </w:div>
    <w:div w:id="1405451755">
      <w:bodyDiv w:val="1"/>
      <w:marLeft w:val="0"/>
      <w:marRight w:val="0"/>
      <w:marTop w:val="0"/>
      <w:marBottom w:val="0"/>
      <w:divBdr>
        <w:top w:val="none" w:sz="0" w:space="0" w:color="auto"/>
        <w:left w:val="none" w:sz="0" w:space="0" w:color="auto"/>
        <w:bottom w:val="none" w:sz="0" w:space="0" w:color="auto"/>
        <w:right w:val="none" w:sz="0" w:space="0" w:color="auto"/>
      </w:divBdr>
    </w:div>
    <w:div w:id="1407456135">
      <w:bodyDiv w:val="1"/>
      <w:marLeft w:val="0"/>
      <w:marRight w:val="0"/>
      <w:marTop w:val="0"/>
      <w:marBottom w:val="0"/>
      <w:divBdr>
        <w:top w:val="none" w:sz="0" w:space="0" w:color="auto"/>
        <w:left w:val="none" w:sz="0" w:space="0" w:color="auto"/>
        <w:bottom w:val="none" w:sz="0" w:space="0" w:color="auto"/>
        <w:right w:val="none" w:sz="0" w:space="0" w:color="auto"/>
      </w:divBdr>
    </w:div>
    <w:div w:id="1407998551">
      <w:bodyDiv w:val="1"/>
      <w:marLeft w:val="0"/>
      <w:marRight w:val="0"/>
      <w:marTop w:val="0"/>
      <w:marBottom w:val="0"/>
      <w:divBdr>
        <w:top w:val="none" w:sz="0" w:space="0" w:color="auto"/>
        <w:left w:val="none" w:sz="0" w:space="0" w:color="auto"/>
        <w:bottom w:val="none" w:sz="0" w:space="0" w:color="auto"/>
        <w:right w:val="none" w:sz="0" w:space="0" w:color="auto"/>
      </w:divBdr>
    </w:div>
    <w:div w:id="1408531898">
      <w:bodyDiv w:val="1"/>
      <w:marLeft w:val="0"/>
      <w:marRight w:val="0"/>
      <w:marTop w:val="0"/>
      <w:marBottom w:val="0"/>
      <w:divBdr>
        <w:top w:val="none" w:sz="0" w:space="0" w:color="auto"/>
        <w:left w:val="none" w:sz="0" w:space="0" w:color="auto"/>
        <w:bottom w:val="none" w:sz="0" w:space="0" w:color="auto"/>
        <w:right w:val="none" w:sz="0" w:space="0" w:color="auto"/>
      </w:divBdr>
    </w:div>
    <w:div w:id="1408845636">
      <w:bodyDiv w:val="1"/>
      <w:marLeft w:val="0"/>
      <w:marRight w:val="0"/>
      <w:marTop w:val="0"/>
      <w:marBottom w:val="0"/>
      <w:divBdr>
        <w:top w:val="none" w:sz="0" w:space="0" w:color="auto"/>
        <w:left w:val="none" w:sz="0" w:space="0" w:color="auto"/>
        <w:bottom w:val="none" w:sz="0" w:space="0" w:color="auto"/>
        <w:right w:val="none" w:sz="0" w:space="0" w:color="auto"/>
      </w:divBdr>
    </w:div>
    <w:div w:id="1410276360">
      <w:bodyDiv w:val="1"/>
      <w:marLeft w:val="0"/>
      <w:marRight w:val="0"/>
      <w:marTop w:val="0"/>
      <w:marBottom w:val="0"/>
      <w:divBdr>
        <w:top w:val="none" w:sz="0" w:space="0" w:color="auto"/>
        <w:left w:val="none" w:sz="0" w:space="0" w:color="auto"/>
        <w:bottom w:val="none" w:sz="0" w:space="0" w:color="auto"/>
        <w:right w:val="none" w:sz="0" w:space="0" w:color="auto"/>
      </w:divBdr>
    </w:div>
    <w:div w:id="1411732323">
      <w:bodyDiv w:val="1"/>
      <w:marLeft w:val="0"/>
      <w:marRight w:val="0"/>
      <w:marTop w:val="0"/>
      <w:marBottom w:val="0"/>
      <w:divBdr>
        <w:top w:val="none" w:sz="0" w:space="0" w:color="auto"/>
        <w:left w:val="none" w:sz="0" w:space="0" w:color="auto"/>
        <w:bottom w:val="none" w:sz="0" w:space="0" w:color="auto"/>
        <w:right w:val="none" w:sz="0" w:space="0" w:color="auto"/>
      </w:divBdr>
    </w:div>
    <w:div w:id="1411929334">
      <w:bodyDiv w:val="1"/>
      <w:marLeft w:val="0"/>
      <w:marRight w:val="0"/>
      <w:marTop w:val="0"/>
      <w:marBottom w:val="0"/>
      <w:divBdr>
        <w:top w:val="none" w:sz="0" w:space="0" w:color="auto"/>
        <w:left w:val="none" w:sz="0" w:space="0" w:color="auto"/>
        <w:bottom w:val="none" w:sz="0" w:space="0" w:color="auto"/>
        <w:right w:val="none" w:sz="0" w:space="0" w:color="auto"/>
      </w:divBdr>
    </w:div>
    <w:div w:id="1412117475">
      <w:bodyDiv w:val="1"/>
      <w:marLeft w:val="0"/>
      <w:marRight w:val="0"/>
      <w:marTop w:val="0"/>
      <w:marBottom w:val="0"/>
      <w:divBdr>
        <w:top w:val="none" w:sz="0" w:space="0" w:color="auto"/>
        <w:left w:val="none" w:sz="0" w:space="0" w:color="auto"/>
        <w:bottom w:val="none" w:sz="0" w:space="0" w:color="auto"/>
        <w:right w:val="none" w:sz="0" w:space="0" w:color="auto"/>
      </w:divBdr>
    </w:div>
    <w:div w:id="1412237929">
      <w:bodyDiv w:val="1"/>
      <w:marLeft w:val="0"/>
      <w:marRight w:val="0"/>
      <w:marTop w:val="0"/>
      <w:marBottom w:val="0"/>
      <w:divBdr>
        <w:top w:val="none" w:sz="0" w:space="0" w:color="auto"/>
        <w:left w:val="none" w:sz="0" w:space="0" w:color="auto"/>
        <w:bottom w:val="none" w:sz="0" w:space="0" w:color="auto"/>
        <w:right w:val="none" w:sz="0" w:space="0" w:color="auto"/>
      </w:divBdr>
    </w:div>
    <w:div w:id="1412266167">
      <w:bodyDiv w:val="1"/>
      <w:marLeft w:val="0"/>
      <w:marRight w:val="0"/>
      <w:marTop w:val="0"/>
      <w:marBottom w:val="0"/>
      <w:divBdr>
        <w:top w:val="none" w:sz="0" w:space="0" w:color="auto"/>
        <w:left w:val="none" w:sz="0" w:space="0" w:color="auto"/>
        <w:bottom w:val="none" w:sz="0" w:space="0" w:color="auto"/>
        <w:right w:val="none" w:sz="0" w:space="0" w:color="auto"/>
      </w:divBdr>
    </w:div>
    <w:div w:id="1412584217">
      <w:bodyDiv w:val="1"/>
      <w:marLeft w:val="0"/>
      <w:marRight w:val="0"/>
      <w:marTop w:val="0"/>
      <w:marBottom w:val="0"/>
      <w:divBdr>
        <w:top w:val="none" w:sz="0" w:space="0" w:color="auto"/>
        <w:left w:val="none" w:sz="0" w:space="0" w:color="auto"/>
        <w:bottom w:val="none" w:sz="0" w:space="0" w:color="auto"/>
        <w:right w:val="none" w:sz="0" w:space="0" w:color="auto"/>
      </w:divBdr>
    </w:div>
    <w:div w:id="1412972149">
      <w:bodyDiv w:val="1"/>
      <w:marLeft w:val="0"/>
      <w:marRight w:val="0"/>
      <w:marTop w:val="0"/>
      <w:marBottom w:val="0"/>
      <w:divBdr>
        <w:top w:val="none" w:sz="0" w:space="0" w:color="auto"/>
        <w:left w:val="none" w:sz="0" w:space="0" w:color="auto"/>
        <w:bottom w:val="none" w:sz="0" w:space="0" w:color="auto"/>
        <w:right w:val="none" w:sz="0" w:space="0" w:color="auto"/>
      </w:divBdr>
    </w:div>
    <w:div w:id="1415205336">
      <w:bodyDiv w:val="1"/>
      <w:marLeft w:val="0"/>
      <w:marRight w:val="0"/>
      <w:marTop w:val="0"/>
      <w:marBottom w:val="0"/>
      <w:divBdr>
        <w:top w:val="none" w:sz="0" w:space="0" w:color="auto"/>
        <w:left w:val="none" w:sz="0" w:space="0" w:color="auto"/>
        <w:bottom w:val="none" w:sz="0" w:space="0" w:color="auto"/>
        <w:right w:val="none" w:sz="0" w:space="0" w:color="auto"/>
      </w:divBdr>
    </w:div>
    <w:div w:id="1416246819">
      <w:bodyDiv w:val="1"/>
      <w:marLeft w:val="0"/>
      <w:marRight w:val="0"/>
      <w:marTop w:val="0"/>
      <w:marBottom w:val="0"/>
      <w:divBdr>
        <w:top w:val="none" w:sz="0" w:space="0" w:color="auto"/>
        <w:left w:val="none" w:sz="0" w:space="0" w:color="auto"/>
        <w:bottom w:val="none" w:sz="0" w:space="0" w:color="auto"/>
        <w:right w:val="none" w:sz="0" w:space="0" w:color="auto"/>
      </w:divBdr>
    </w:div>
    <w:div w:id="1417677766">
      <w:bodyDiv w:val="1"/>
      <w:marLeft w:val="0"/>
      <w:marRight w:val="0"/>
      <w:marTop w:val="0"/>
      <w:marBottom w:val="0"/>
      <w:divBdr>
        <w:top w:val="none" w:sz="0" w:space="0" w:color="auto"/>
        <w:left w:val="none" w:sz="0" w:space="0" w:color="auto"/>
        <w:bottom w:val="none" w:sz="0" w:space="0" w:color="auto"/>
        <w:right w:val="none" w:sz="0" w:space="0" w:color="auto"/>
      </w:divBdr>
    </w:div>
    <w:div w:id="1418399303">
      <w:bodyDiv w:val="1"/>
      <w:marLeft w:val="0"/>
      <w:marRight w:val="0"/>
      <w:marTop w:val="0"/>
      <w:marBottom w:val="0"/>
      <w:divBdr>
        <w:top w:val="none" w:sz="0" w:space="0" w:color="auto"/>
        <w:left w:val="none" w:sz="0" w:space="0" w:color="auto"/>
        <w:bottom w:val="none" w:sz="0" w:space="0" w:color="auto"/>
        <w:right w:val="none" w:sz="0" w:space="0" w:color="auto"/>
      </w:divBdr>
    </w:div>
    <w:div w:id="1419055724">
      <w:bodyDiv w:val="1"/>
      <w:marLeft w:val="0"/>
      <w:marRight w:val="0"/>
      <w:marTop w:val="0"/>
      <w:marBottom w:val="0"/>
      <w:divBdr>
        <w:top w:val="none" w:sz="0" w:space="0" w:color="auto"/>
        <w:left w:val="none" w:sz="0" w:space="0" w:color="auto"/>
        <w:bottom w:val="none" w:sz="0" w:space="0" w:color="auto"/>
        <w:right w:val="none" w:sz="0" w:space="0" w:color="auto"/>
      </w:divBdr>
    </w:div>
    <w:div w:id="1420565207">
      <w:bodyDiv w:val="1"/>
      <w:marLeft w:val="0"/>
      <w:marRight w:val="0"/>
      <w:marTop w:val="0"/>
      <w:marBottom w:val="0"/>
      <w:divBdr>
        <w:top w:val="none" w:sz="0" w:space="0" w:color="auto"/>
        <w:left w:val="none" w:sz="0" w:space="0" w:color="auto"/>
        <w:bottom w:val="none" w:sz="0" w:space="0" w:color="auto"/>
        <w:right w:val="none" w:sz="0" w:space="0" w:color="auto"/>
      </w:divBdr>
    </w:div>
    <w:div w:id="1421678320">
      <w:bodyDiv w:val="1"/>
      <w:marLeft w:val="0"/>
      <w:marRight w:val="0"/>
      <w:marTop w:val="0"/>
      <w:marBottom w:val="0"/>
      <w:divBdr>
        <w:top w:val="none" w:sz="0" w:space="0" w:color="auto"/>
        <w:left w:val="none" w:sz="0" w:space="0" w:color="auto"/>
        <w:bottom w:val="none" w:sz="0" w:space="0" w:color="auto"/>
        <w:right w:val="none" w:sz="0" w:space="0" w:color="auto"/>
      </w:divBdr>
    </w:div>
    <w:div w:id="1423064979">
      <w:bodyDiv w:val="1"/>
      <w:marLeft w:val="0"/>
      <w:marRight w:val="0"/>
      <w:marTop w:val="0"/>
      <w:marBottom w:val="0"/>
      <w:divBdr>
        <w:top w:val="none" w:sz="0" w:space="0" w:color="auto"/>
        <w:left w:val="none" w:sz="0" w:space="0" w:color="auto"/>
        <w:bottom w:val="none" w:sz="0" w:space="0" w:color="auto"/>
        <w:right w:val="none" w:sz="0" w:space="0" w:color="auto"/>
      </w:divBdr>
    </w:div>
    <w:div w:id="1424185205">
      <w:bodyDiv w:val="1"/>
      <w:marLeft w:val="0"/>
      <w:marRight w:val="0"/>
      <w:marTop w:val="0"/>
      <w:marBottom w:val="0"/>
      <w:divBdr>
        <w:top w:val="none" w:sz="0" w:space="0" w:color="auto"/>
        <w:left w:val="none" w:sz="0" w:space="0" w:color="auto"/>
        <w:bottom w:val="none" w:sz="0" w:space="0" w:color="auto"/>
        <w:right w:val="none" w:sz="0" w:space="0" w:color="auto"/>
      </w:divBdr>
    </w:div>
    <w:div w:id="1425419727">
      <w:bodyDiv w:val="1"/>
      <w:marLeft w:val="0"/>
      <w:marRight w:val="0"/>
      <w:marTop w:val="0"/>
      <w:marBottom w:val="0"/>
      <w:divBdr>
        <w:top w:val="none" w:sz="0" w:space="0" w:color="auto"/>
        <w:left w:val="none" w:sz="0" w:space="0" w:color="auto"/>
        <w:bottom w:val="none" w:sz="0" w:space="0" w:color="auto"/>
        <w:right w:val="none" w:sz="0" w:space="0" w:color="auto"/>
      </w:divBdr>
    </w:div>
    <w:div w:id="1427265089">
      <w:bodyDiv w:val="1"/>
      <w:marLeft w:val="0"/>
      <w:marRight w:val="0"/>
      <w:marTop w:val="0"/>
      <w:marBottom w:val="0"/>
      <w:divBdr>
        <w:top w:val="none" w:sz="0" w:space="0" w:color="auto"/>
        <w:left w:val="none" w:sz="0" w:space="0" w:color="auto"/>
        <w:bottom w:val="none" w:sz="0" w:space="0" w:color="auto"/>
        <w:right w:val="none" w:sz="0" w:space="0" w:color="auto"/>
      </w:divBdr>
    </w:div>
    <w:div w:id="1427338888">
      <w:bodyDiv w:val="1"/>
      <w:marLeft w:val="0"/>
      <w:marRight w:val="0"/>
      <w:marTop w:val="0"/>
      <w:marBottom w:val="0"/>
      <w:divBdr>
        <w:top w:val="none" w:sz="0" w:space="0" w:color="auto"/>
        <w:left w:val="none" w:sz="0" w:space="0" w:color="auto"/>
        <w:bottom w:val="none" w:sz="0" w:space="0" w:color="auto"/>
        <w:right w:val="none" w:sz="0" w:space="0" w:color="auto"/>
      </w:divBdr>
    </w:div>
    <w:div w:id="1427655840">
      <w:bodyDiv w:val="1"/>
      <w:marLeft w:val="0"/>
      <w:marRight w:val="0"/>
      <w:marTop w:val="0"/>
      <w:marBottom w:val="0"/>
      <w:divBdr>
        <w:top w:val="none" w:sz="0" w:space="0" w:color="auto"/>
        <w:left w:val="none" w:sz="0" w:space="0" w:color="auto"/>
        <w:bottom w:val="none" w:sz="0" w:space="0" w:color="auto"/>
        <w:right w:val="none" w:sz="0" w:space="0" w:color="auto"/>
      </w:divBdr>
    </w:div>
    <w:div w:id="1430350578">
      <w:bodyDiv w:val="1"/>
      <w:marLeft w:val="0"/>
      <w:marRight w:val="0"/>
      <w:marTop w:val="0"/>
      <w:marBottom w:val="0"/>
      <w:divBdr>
        <w:top w:val="none" w:sz="0" w:space="0" w:color="auto"/>
        <w:left w:val="none" w:sz="0" w:space="0" w:color="auto"/>
        <w:bottom w:val="none" w:sz="0" w:space="0" w:color="auto"/>
        <w:right w:val="none" w:sz="0" w:space="0" w:color="auto"/>
      </w:divBdr>
    </w:div>
    <w:div w:id="1430807426">
      <w:bodyDiv w:val="1"/>
      <w:marLeft w:val="0"/>
      <w:marRight w:val="0"/>
      <w:marTop w:val="0"/>
      <w:marBottom w:val="0"/>
      <w:divBdr>
        <w:top w:val="none" w:sz="0" w:space="0" w:color="auto"/>
        <w:left w:val="none" w:sz="0" w:space="0" w:color="auto"/>
        <w:bottom w:val="none" w:sz="0" w:space="0" w:color="auto"/>
        <w:right w:val="none" w:sz="0" w:space="0" w:color="auto"/>
      </w:divBdr>
    </w:div>
    <w:div w:id="1431124181">
      <w:bodyDiv w:val="1"/>
      <w:marLeft w:val="0"/>
      <w:marRight w:val="0"/>
      <w:marTop w:val="0"/>
      <w:marBottom w:val="0"/>
      <w:divBdr>
        <w:top w:val="none" w:sz="0" w:space="0" w:color="auto"/>
        <w:left w:val="none" w:sz="0" w:space="0" w:color="auto"/>
        <w:bottom w:val="none" w:sz="0" w:space="0" w:color="auto"/>
        <w:right w:val="none" w:sz="0" w:space="0" w:color="auto"/>
      </w:divBdr>
    </w:div>
    <w:div w:id="1433938856">
      <w:bodyDiv w:val="1"/>
      <w:marLeft w:val="0"/>
      <w:marRight w:val="0"/>
      <w:marTop w:val="0"/>
      <w:marBottom w:val="0"/>
      <w:divBdr>
        <w:top w:val="none" w:sz="0" w:space="0" w:color="auto"/>
        <w:left w:val="none" w:sz="0" w:space="0" w:color="auto"/>
        <w:bottom w:val="none" w:sz="0" w:space="0" w:color="auto"/>
        <w:right w:val="none" w:sz="0" w:space="0" w:color="auto"/>
      </w:divBdr>
    </w:div>
    <w:div w:id="1435782314">
      <w:bodyDiv w:val="1"/>
      <w:marLeft w:val="0"/>
      <w:marRight w:val="0"/>
      <w:marTop w:val="0"/>
      <w:marBottom w:val="0"/>
      <w:divBdr>
        <w:top w:val="none" w:sz="0" w:space="0" w:color="auto"/>
        <w:left w:val="none" w:sz="0" w:space="0" w:color="auto"/>
        <w:bottom w:val="none" w:sz="0" w:space="0" w:color="auto"/>
        <w:right w:val="none" w:sz="0" w:space="0" w:color="auto"/>
      </w:divBdr>
    </w:div>
    <w:div w:id="1435786527">
      <w:bodyDiv w:val="1"/>
      <w:marLeft w:val="0"/>
      <w:marRight w:val="0"/>
      <w:marTop w:val="0"/>
      <w:marBottom w:val="0"/>
      <w:divBdr>
        <w:top w:val="none" w:sz="0" w:space="0" w:color="auto"/>
        <w:left w:val="none" w:sz="0" w:space="0" w:color="auto"/>
        <w:bottom w:val="none" w:sz="0" w:space="0" w:color="auto"/>
        <w:right w:val="none" w:sz="0" w:space="0" w:color="auto"/>
      </w:divBdr>
    </w:div>
    <w:div w:id="1444569219">
      <w:bodyDiv w:val="1"/>
      <w:marLeft w:val="0"/>
      <w:marRight w:val="0"/>
      <w:marTop w:val="0"/>
      <w:marBottom w:val="0"/>
      <w:divBdr>
        <w:top w:val="none" w:sz="0" w:space="0" w:color="auto"/>
        <w:left w:val="none" w:sz="0" w:space="0" w:color="auto"/>
        <w:bottom w:val="none" w:sz="0" w:space="0" w:color="auto"/>
        <w:right w:val="none" w:sz="0" w:space="0" w:color="auto"/>
      </w:divBdr>
    </w:div>
    <w:div w:id="1445878043">
      <w:bodyDiv w:val="1"/>
      <w:marLeft w:val="0"/>
      <w:marRight w:val="0"/>
      <w:marTop w:val="0"/>
      <w:marBottom w:val="0"/>
      <w:divBdr>
        <w:top w:val="none" w:sz="0" w:space="0" w:color="auto"/>
        <w:left w:val="none" w:sz="0" w:space="0" w:color="auto"/>
        <w:bottom w:val="none" w:sz="0" w:space="0" w:color="auto"/>
        <w:right w:val="none" w:sz="0" w:space="0" w:color="auto"/>
      </w:divBdr>
    </w:div>
    <w:div w:id="1446271074">
      <w:bodyDiv w:val="1"/>
      <w:marLeft w:val="0"/>
      <w:marRight w:val="0"/>
      <w:marTop w:val="0"/>
      <w:marBottom w:val="0"/>
      <w:divBdr>
        <w:top w:val="none" w:sz="0" w:space="0" w:color="auto"/>
        <w:left w:val="none" w:sz="0" w:space="0" w:color="auto"/>
        <w:bottom w:val="none" w:sz="0" w:space="0" w:color="auto"/>
        <w:right w:val="none" w:sz="0" w:space="0" w:color="auto"/>
      </w:divBdr>
    </w:div>
    <w:div w:id="1446731483">
      <w:bodyDiv w:val="1"/>
      <w:marLeft w:val="0"/>
      <w:marRight w:val="0"/>
      <w:marTop w:val="0"/>
      <w:marBottom w:val="0"/>
      <w:divBdr>
        <w:top w:val="none" w:sz="0" w:space="0" w:color="auto"/>
        <w:left w:val="none" w:sz="0" w:space="0" w:color="auto"/>
        <w:bottom w:val="none" w:sz="0" w:space="0" w:color="auto"/>
        <w:right w:val="none" w:sz="0" w:space="0" w:color="auto"/>
      </w:divBdr>
    </w:div>
    <w:div w:id="1447044605">
      <w:bodyDiv w:val="1"/>
      <w:marLeft w:val="0"/>
      <w:marRight w:val="0"/>
      <w:marTop w:val="0"/>
      <w:marBottom w:val="0"/>
      <w:divBdr>
        <w:top w:val="none" w:sz="0" w:space="0" w:color="auto"/>
        <w:left w:val="none" w:sz="0" w:space="0" w:color="auto"/>
        <w:bottom w:val="none" w:sz="0" w:space="0" w:color="auto"/>
        <w:right w:val="none" w:sz="0" w:space="0" w:color="auto"/>
      </w:divBdr>
    </w:div>
    <w:div w:id="1448115178">
      <w:bodyDiv w:val="1"/>
      <w:marLeft w:val="0"/>
      <w:marRight w:val="0"/>
      <w:marTop w:val="0"/>
      <w:marBottom w:val="0"/>
      <w:divBdr>
        <w:top w:val="none" w:sz="0" w:space="0" w:color="auto"/>
        <w:left w:val="none" w:sz="0" w:space="0" w:color="auto"/>
        <w:bottom w:val="none" w:sz="0" w:space="0" w:color="auto"/>
        <w:right w:val="none" w:sz="0" w:space="0" w:color="auto"/>
      </w:divBdr>
    </w:div>
    <w:div w:id="1449933380">
      <w:bodyDiv w:val="1"/>
      <w:marLeft w:val="0"/>
      <w:marRight w:val="0"/>
      <w:marTop w:val="0"/>
      <w:marBottom w:val="0"/>
      <w:divBdr>
        <w:top w:val="none" w:sz="0" w:space="0" w:color="auto"/>
        <w:left w:val="none" w:sz="0" w:space="0" w:color="auto"/>
        <w:bottom w:val="none" w:sz="0" w:space="0" w:color="auto"/>
        <w:right w:val="none" w:sz="0" w:space="0" w:color="auto"/>
      </w:divBdr>
    </w:div>
    <w:div w:id="1451170055">
      <w:bodyDiv w:val="1"/>
      <w:marLeft w:val="0"/>
      <w:marRight w:val="0"/>
      <w:marTop w:val="0"/>
      <w:marBottom w:val="0"/>
      <w:divBdr>
        <w:top w:val="none" w:sz="0" w:space="0" w:color="auto"/>
        <w:left w:val="none" w:sz="0" w:space="0" w:color="auto"/>
        <w:bottom w:val="none" w:sz="0" w:space="0" w:color="auto"/>
        <w:right w:val="none" w:sz="0" w:space="0" w:color="auto"/>
      </w:divBdr>
    </w:div>
    <w:div w:id="1452475405">
      <w:bodyDiv w:val="1"/>
      <w:marLeft w:val="0"/>
      <w:marRight w:val="0"/>
      <w:marTop w:val="0"/>
      <w:marBottom w:val="0"/>
      <w:divBdr>
        <w:top w:val="none" w:sz="0" w:space="0" w:color="auto"/>
        <w:left w:val="none" w:sz="0" w:space="0" w:color="auto"/>
        <w:bottom w:val="none" w:sz="0" w:space="0" w:color="auto"/>
        <w:right w:val="none" w:sz="0" w:space="0" w:color="auto"/>
      </w:divBdr>
    </w:div>
    <w:div w:id="1453743335">
      <w:bodyDiv w:val="1"/>
      <w:marLeft w:val="0"/>
      <w:marRight w:val="0"/>
      <w:marTop w:val="0"/>
      <w:marBottom w:val="0"/>
      <w:divBdr>
        <w:top w:val="none" w:sz="0" w:space="0" w:color="auto"/>
        <w:left w:val="none" w:sz="0" w:space="0" w:color="auto"/>
        <w:bottom w:val="none" w:sz="0" w:space="0" w:color="auto"/>
        <w:right w:val="none" w:sz="0" w:space="0" w:color="auto"/>
      </w:divBdr>
    </w:div>
    <w:div w:id="1454058747">
      <w:bodyDiv w:val="1"/>
      <w:marLeft w:val="0"/>
      <w:marRight w:val="0"/>
      <w:marTop w:val="0"/>
      <w:marBottom w:val="0"/>
      <w:divBdr>
        <w:top w:val="none" w:sz="0" w:space="0" w:color="auto"/>
        <w:left w:val="none" w:sz="0" w:space="0" w:color="auto"/>
        <w:bottom w:val="none" w:sz="0" w:space="0" w:color="auto"/>
        <w:right w:val="none" w:sz="0" w:space="0" w:color="auto"/>
      </w:divBdr>
    </w:div>
    <w:div w:id="1454205311">
      <w:bodyDiv w:val="1"/>
      <w:marLeft w:val="0"/>
      <w:marRight w:val="0"/>
      <w:marTop w:val="0"/>
      <w:marBottom w:val="0"/>
      <w:divBdr>
        <w:top w:val="none" w:sz="0" w:space="0" w:color="auto"/>
        <w:left w:val="none" w:sz="0" w:space="0" w:color="auto"/>
        <w:bottom w:val="none" w:sz="0" w:space="0" w:color="auto"/>
        <w:right w:val="none" w:sz="0" w:space="0" w:color="auto"/>
      </w:divBdr>
    </w:div>
    <w:div w:id="1454471869">
      <w:bodyDiv w:val="1"/>
      <w:marLeft w:val="0"/>
      <w:marRight w:val="0"/>
      <w:marTop w:val="0"/>
      <w:marBottom w:val="0"/>
      <w:divBdr>
        <w:top w:val="none" w:sz="0" w:space="0" w:color="auto"/>
        <w:left w:val="none" w:sz="0" w:space="0" w:color="auto"/>
        <w:bottom w:val="none" w:sz="0" w:space="0" w:color="auto"/>
        <w:right w:val="none" w:sz="0" w:space="0" w:color="auto"/>
      </w:divBdr>
    </w:div>
    <w:div w:id="1454900951">
      <w:bodyDiv w:val="1"/>
      <w:marLeft w:val="0"/>
      <w:marRight w:val="0"/>
      <w:marTop w:val="0"/>
      <w:marBottom w:val="0"/>
      <w:divBdr>
        <w:top w:val="none" w:sz="0" w:space="0" w:color="auto"/>
        <w:left w:val="none" w:sz="0" w:space="0" w:color="auto"/>
        <w:bottom w:val="none" w:sz="0" w:space="0" w:color="auto"/>
        <w:right w:val="none" w:sz="0" w:space="0" w:color="auto"/>
      </w:divBdr>
    </w:div>
    <w:div w:id="1455516379">
      <w:bodyDiv w:val="1"/>
      <w:marLeft w:val="0"/>
      <w:marRight w:val="0"/>
      <w:marTop w:val="0"/>
      <w:marBottom w:val="0"/>
      <w:divBdr>
        <w:top w:val="none" w:sz="0" w:space="0" w:color="auto"/>
        <w:left w:val="none" w:sz="0" w:space="0" w:color="auto"/>
        <w:bottom w:val="none" w:sz="0" w:space="0" w:color="auto"/>
        <w:right w:val="none" w:sz="0" w:space="0" w:color="auto"/>
      </w:divBdr>
    </w:div>
    <w:div w:id="1455712228">
      <w:bodyDiv w:val="1"/>
      <w:marLeft w:val="0"/>
      <w:marRight w:val="0"/>
      <w:marTop w:val="0"/>
      <w:marBottom w:val="0"/>
      <w:divBdr>
        <w:top w:val="none" w:sz="0" w:space="0" w:color="auto"/>
        <w:left w:val="none" w:sz="0" w:space="0" w:color="auto"/>
        <w:bottom w:val="none" w:sz="0" w:space="0" w:color="auto"/>
        <w:right w:val="none" w:sz="0" w:space="0" w:color="auto"/>
      </w:divBdr>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56950940">
      <w:bodyDiv w:val="1"/>
      <w:marLeft w:val="0"/>
      <w:marRight w:val="0"/>
      <w:marTop w:val="0"/>
      <w:marBottom w:val="0"/>
      <w:divBdr>
        <w:top w:val="none" w:sz="0" w:space="0" w:color="auto"/>
        <w:left w:val="none" w:sz="0" w:space="0" w:color="auto"/>
        <w:bottom w:val="none" w:sz="0" w:space="0" w:color="auto"/>
        <w:right w:val="none" w:sz="0" w:space="0" w:color="auto"/>
      </w:divBdr>
    </w:div>
    <w:div w:id="1457261630">
      <w:bodyDiv w:val="1"/>
      <w:marLeft w:val="0"/>
      <w:marRight w:val="0"/>
      <w:marTop w:val="0"/>
      <w:marBottom w:val="0"/>
      <w:divBdr>
        <w:top w:val="none" w:sz="0" w:space="0" w:color="auto"/>
        <w:left w:val="none" w:sz="0" w:space="0" w:color="auto"/>
        <w:bottom w:val="none" w:sz="0" w:space="0" w:color="auto"/>
        <w:right w:val="none" w:sz="0" w:space="0" w:color="auto"/>
      </w:divBdr>
    </w:div>
    <w:div w:id="1457942898">
      <w:bodyDiv w:val="1"/>
      <w:marLeft w:val="0"/>
      <w:marRight w:val="0"/>
      <w:marTop w:val="0"/>
      <w:marBottom w:val="0"/>
      <w:divBdr>
        <w:top w:val="none" w:sz="0" w:space="0" w:color="auto"/>
        <w:left w:val="none" w:sz="0" w:space="0" w:color="auto"/>
        <w:bottom w:val="none" w:sz="0" w:space="0" w:color="auto"/>
        <w:right w:val="none" w:sz="0" w:space="0" w:color="auto"/>
      </w:divBdr>
    </w:div>
    <w:div w:id="1458257728">
      <w:bodyDiv w:val="1"/>
      <w:marLeft w:val="0"/>
      <w:marRight w:val="0"/>
      <w:marTop w:val="0"/>
      <w:marBottom w:val="0"/>
      <w:divBdr>
        <w:top w:val="none" w:sz="0" w:space="0" w:color="auto"/>
        <w:left w:val="none" w:sz="0" w:space="0" w:color="auto"/>
        <w:bottom w:val="none" w:sz="0" w:space="0" w:color="auto"/>
        <w:right w:val="none" w:sz="0" w:space="0" w:color="auto"/>
      </w:divBdr>
    </w:div>
    <w:div w:id="1459569222">
      <w:bodyDiv w:val="1"/>
      <w:marLeft w:val="0"/>
      <w:marRight w:val="0"/>
      <w:marTop w:val="0"/>
      <w:marBottom w:val="0"/>
      <w:divBdr>
        <w:top w:val="none" w:sz="0" w:space="0" w:color="auto"/>
        <w:left w:val="none" w:sz="0" w:space="0" w:color="auto"/>
        <w:bottom w:val="none" w:sz="0" w:space="0" w:color="auto"/>
        <w:right w:val="none" w:sz="0" w:space="0" w:color="auto"/>
      </w:divBdr>
    </w:div>
    <w:div w:id="1460807651">
      <w:bodyDiv w:val="1"/>
      <w:marLeft w:val="0"/>
      <w:marRight w:val="0"/>
      <w:marTop w:val="0"/>
      <w:marBottom w:val="0"/>
      <w:divBdr>
        <w:top w:val="none" w:sz="0" w:space="0" w:color="auto"/>
        <w:left w:val="none" w:sz="0" w:space="0" w:color="auto"/>
        <w:bottom w:val="none" w:sz="0" w:space="0" w:color="auto"/>
        <w:right w:val="none" w:sz="0" w:space="0" w:color="auto"/>
      </w:divBdr>
    </w:div>
    <w:div w:id="1461146848">
      <w:bodyDiv w:val="1"/>
      <w:marLeft w:val="0"/>
      <w:marRight w:val="0"/>
      <w:marTop w:val="0"/>
      <w:marBottom w:val="0"/>
      <w:divBdr>
        <w:top w:val="none" w:sz="0" w:space="0" w:color="auto"/>
        <w:left w:val="none" w:sz="0" w:space="0" w:color="auto"/>
        <w:bottom w:val="none" w:sz="0" w:space="0" w:color="auto"/>
        <w:right w:val="none" w:sz="0" w:space="0" w:color="auto"/>
      </w:divBdr>
    </w:div>
    <w:div w:id="1461265968">
      <w:bodyDiv w:val="1"/>
      <w:marLeft w:val="0"/>
      <w:marRight w:val="0"/>
      <w:marTop w:val="0"/>
      <w:marBottom w:val="0"/>
      <w:divBdr>
        <w:top w:val="none" w:sz="0" w:space="0" w:color="auto"/>
        <w:left w:val="none" w:sz="0" w:space="0" w:color="auto"/>
        <w:bottom w:val="none" w:sz="0" w:space="0" w:color="auto"/>
        <w:right w:val="none" w:sz="0" w:space="0" w:color="auto"/>
      </w:divBdr>
    </w:div>
    <w:div w:id="1461920692">
      <w:bodyDiv w:val="1"/>
      <w:marLeft w:val="0"/>
      <w:marRight w:val="0"/>
      <w:marTop w:val="0"/>
      <w:marBottom w:val="0"/>
      <w:divBdr>
        <w:top w:val="none" w:sz="0" w:space="0" w:color="auto"/>
        <w:left w:val="none" w:sz="0" w:space="0" w:color="auto"/>
        <w:bottom w:val="none" w:sz="0" w:space="0" w:color="auto"/>
        <w:right w:val="none" w:sz="0" w:space="0" w:color="auto"/>
      </w:divBdr>
    </w:div>
    <w:div w:id="1462074142">
      <w:bodyDiv w:val="1"/>
      <w:marLeft w:val="0"/>
      <w:marRight w:val="0"/>
      <w:marTop w:val="0"/>
      <w:marBottom w:val="0"/>
      <w:divBdr>
        <w:top w:val="none" w:sz="0" w:space="0" w:color="auto"/>
        <w:left w:val="none" w:sz="0" w:space="0" w:color="auto"/>
        <w:bottom w:val="none" w:sz="0" w:space="0" w:color="auto"/>
        <w:right w:val="none" w:sz="0" w:space="0" w:color="auto"/>
      </w:divBdr>
    </w:div>
    <w:div w:id="1462454803">
      <w:bodyDiv w:val="1"/>
      <w:marLeft w:val="0"/>
      <w:marRight w:val="0"/>
      <w:marTop w:val="0"/>
      <w:marBottom w:val="0"/>
      <w:divBdr>
        <w:top w:val="none" w:sz="0" w:space="0" w:color="auto"/>
        <w:left w:val="none" w:sz="0" w:space="0" w:color="auto"/>
        <w:bottom w:val="none" w:sz="0" w:space="0" w:color="auto"/>
        <w:right w:val="none" w:sz="0" w:space="0" w:color="auto"/>
      </w:divBdr>
    </w:div>
    <w:div w:id="1463157291">
      <w:bodyDiv w:val="1"/>
      <w:marLeft w:val="0"/>
      <w:marRight w:val="0"/>
      <w:marTop w:val="0"/>
      <w:marBottom w:val="0"/>
      <w:divBdr>
        <w:top w:val="none" w:sz="0" w:space="0" w:color="auto"/>
        <w:left w:val="none" w:sz="0" w:space="0" w:color="auto"/>
        <w:bottom w:val="none" w:sz="0" w:space="0" w:color="auto"/>
        <w:right w:val="none" w:sz="0" w:space="0" w:color="auto"/>
      </w:divBdr>
    </w:div>
    <w:div w:id="1464158838">
      <w:bodyDiv w:val="1"/>
      <w:marLeft w:val="0"/>
      <w:marRight w:val="0"/>
      <w:marTop w:val="0"/>
      <w:marBottom w:val="0"/>
      <w:divBdr>
        <w:top w:val="none" w:sz="0" w:space="0" w:color="auto"/>
        <w:left w:val="none" w:sz="0" w:space="0" w:color="auto"/>
        <w:bottom w:val="none" w:sz="0" w:space="0" w:color="auto"/>
        <w:right w:val="none" w:sz="0" w:space="0" w:color="auto"/>
      </w:divBdr>
    </w:div>
    <w:div w:id="1465810494">
      <w:bodyDiv w:val="1"/>
      <w:marLeft w:val="0"/>
      <w:marRight w:val="0"/>
      <w:marTop w:val="0"/>
      <w:marBottom w:val="0"/>
      <w:divBdr>
        <w:top w:val="none" w:sz="0" w:space="0" w:color="auto"/>
        <w:left w:val="none" w:sz="0" w:space="0" w:color="auto"/>
        <w:bottom w:val="none" w:sz="0" w:space="0" w:color="auto"/>
        <w:right w:val="none" w:sz="0" w:space="0" w:color="auto"/>
      </w:divBdr>
    </w:div>
    <w:div w:id="1466964735">
      <w:bodyDiv w:val="1"/>
      <w:marLeft w:val="0"/>
      <w:marRight w:val="0"/>
      <w:marTop w:val="0"/>
      <w:marBottom w:val="0"/>
      <w:divBdr>
        <w:top w:val="none" w:sz="0" w:space="0" w:color="auto"/>
        <w:left w:val="none" w:sz="0" w:space="0" w:color="auto"/>
        <w:bottom w:val="none" w:sz="0" w:space="0" w:color="auto"/>
        <w:right w:val="none" w:sz="0" w:space="0" w:color="auto"/>
      </w:divBdr>
    </w:div>
    <w:div w:id="1467970457">
      <w:bodyDiv w:val="1"/>
      <w:marLeft w:val="0"/>
      <w:marRight w:val="0"/>
      <w:marTop w:val="0"/>
      <w:marBottom w:val="0"/>
      <w:divBdr>
        <w:top w:val="none" w:sz="0" w:space="0" w:color="auto"/>
        <w:left w:val="none" w:sz="0" w:space="0" w:color="auto"/>
        <w:bottom w:val="none" w:sz="0" w:space="0" w:color="auto"/>
        <w:right w:val="none" w:sz="0" w:space="0" w:color="auto"/>
      </w:divBdr>
    </w:div>
    <w:div w:id="1469470733">
      <w:bodyDiv w:val="1"/>
      <w:marLeft w:val="0"/>
      <w:marRight w:val="0"/>
      <w:marTop w:val="0"/>
      <w:marBottom w:val="0"/>
      <w:divBdr>
        <w:top w:val="none" w:sz="0" w:space="0" w:color="auto"/>
        <w:left w:val="none" w:sz="0" w:space="0" w:color="auto"/>
        <w:bottom w:val="none" w:sz="0" w:space="0" w:color="auto"/>
        <w:right w:val="none" w:sz="0" w:space="0" w:color="auto"/>
      </w:divBdr>
    </w:div>
    <w:div w:id="1471363188">
      <w:bodyDiv w:val="1"/>
      <w:marLeft w:val="0"/>
      <w:marRight w:val="0"/>
      <w:marTop w:val="0"/>
      <w:marBottom w:val="0"/>
      <w:divBdr>
        <w:top w:val="none" w:sz="0" w:space="0" w:color="auto"/>
        <w:left w:val="none" w:sz="0" w:space="0" w:color="auto"/>
        <w:bottom w:val="none" w:sz="0" w:space="0" w:color="auto"/>
        <w:right w:val="none" w:sz="0" w:space="0" w:color="auto"/>
      </w:divBdr>
    </w:div>
    <w:div w:id="1473906227">
      <w:bodyDiv w:val="1"/>
      <w:marLeft w:val="0"/>
      <w:marRight w:val="0"/>
      <w:marTop w:val="0"/>
      <w:marBottom w:val="0"/>
      <w:divBdr>
        <w:top w:val="none" w:sz="0" w:space="0" w:color="auto"/>
        <w:left w:val="none" w:sz="0" w:space="0" w:color="auto"/>
        <w:bottom w:val="none" w:sz="0" w:space="0" w:color="auto"/>
        <w:right w:val="none" w:sz="0" w:space="0" w:color="auto"/>
      </w:divBdr>
    </w:div>
    <w:div w:id="1477530427">
      <w:bodyDiv w:val="1"/>
      <w:marLeft w:val="0"/>
      <w:marRight w:val="0"/>
      <w:marTop w:val="0"/>
      <w:marBottom w:val="0"/>
      <w:divBdr>
        <w:top w:val="none" w:sz="0" w:space="0" w:color="auto"/>
        <w:left w:val="none" w:sz="0" w:space="0" w:color="auto"/>
        <w:bottom w:val="none" w:sz="0" w:space="0" w:color="auto"/>
        <w:right w:val="none" w:sz="0" w:space="0" w:color="auto"/>
      </w:divBdr>
    </w:div>
    <w:div w:id="1479302767">
      <w:bodyDiv w:val="1"/>
      <w:marLeft w:val="0"/>
      <w:marRight w:val="0"/>
      <w:marTop w:val="0"/>
      <w:marBottom w:val="0"/>
      <w:divBdr>
        <w:top w:val="none" w:sz="0" w:space="0" w:color="auto"/>
        <w:left w:val="none" w:sz="0" w:space="0" w:color="auto"/>
        <w:bottom w:val="none" w:sz="0" w:space="0" w:color="auto"/>
        <w:right w:val="none" w:sz="0" w:space="0" w:color="auto"/>
      </w:divBdr>
    </w:div>
    <w:div w:id="1481538063">
      <w:bodyDiv w:val="1"/>
      <w:marLeft w:val="0"/>
      <w:marRight w:val="0"/>
      <w:marTop w:val="0"/>
      <w:marBottom w:val="0"/>
      <w:divBdr>
        <w:top w:val="none" w:sz="0" w:space="0" w:color="auto"/>
        <w:left w:val="none" w:sz="0" w:space="0" w:color="auto"/>
        <w:bottom w:val="none" w:sz="0" w:space="0" w:color="auto"/>
        <w:right w:val="none" w:sz="0" w:space="0" w:color="auto"/>
      </w:divBdr>
    </w:div>
    <w:div w:id="1482036031">
      <w:bodyDiv w:val="1"/>
      <w:marLeft w:val="0"/>
      <w:marRight w:val="0"/>
      <w:marTop w:val="0"/>
      <w:marBottom w:val="0"/>
      <w:divBdr>
        <w:top w:val="none" w:sz="0" w:space="0" w:color="auto"/>
        <w:left w:val="none" w:sz="0" w:space="0" w:color="auto"/>
        <w:bottom w:val="none" w:sz="0" w:space="0" w:color="auto"/>
        <w:right w:val="none" w:sz="0" w:space="0" w:color="auto"/>
      </w:divBdr>
    </w:div>
    <w:div w:id="1482429382">
      <w:bodyDiv w:val="1"/>
      <w:marLeft w:val="0"/>
      <w:marRight w:val="0"/>
      <w:marTop w:val="0"/>
      <w:marBottom w:val="0"/>
      <w:divBdr>
        <w:top w:val="none" w:sz="0" w:space="0" w:color="auto"/>
        <w:left w:val="none" w:sz="0" w:space="0" w:color="auto"/>
        <w:bottom w:val="none" w:sz="0" w:space="0" w:color="auto"/>
        <w:right w:val="none" w:sz="0" w:space="0" w:color="auto"/>
      </w:divBdr>
    </w:div>
    <w:div w:id="1484195831">
      <w:bodyDiv w:val="1"/>
      <w:marLeft w:val="0"/>
      <w:marRight w:val="0"/>
      <w:marTop w:val="0"/>
      <w:marBottom w:val="0"/>
      <w:divBdr>
        <w:top w:val="none" w:sz="0" w:space="0" w:color="auto"/>
        <w:left w:val="none" w:sz="0" w:space="0" w:color="auto"/>
        <w:bottom w:val="none" w:sz="0" w:space="0" w:color="auto"/>
        <w:right w:val="none" w:sz="0" w:space="0" w:color="auto"/>
      </w:divBdr>
    </w:div>
    <w:div w:id="1486318120">
      <w:bodyDiv w:val="1"/>
      <w:marLeft w:val="0"/>
      <w:marRight w:val="0"/>
      <w:marTop w:val="0"/>
      <w:marBottom w:val="0"/>
      <w:divBdr>
        <w:top w:val="none" w:sz="0" w:space="0" w:color="auto"/>
        <w:left w:val="none" w:sz="0" w:space="0" w:color="auto"/>
        <w:bottom w:val="none" w:sz="0" w:space="0" w:color="auto"/>
        <w:right w:val="none" w:sz="0" w:space="0" w:color="auto"/>
      </w:divBdr>
    </w:div>
    <w:div w:id="1487669533">
      <w:bodyDiv w:val="1"/>
      <w:marLeft w:val="0"/>
      <w:marRight w:val="0"/>
      <w:marTop w:val="0"/>
      <w:marBottom w:val="0"/>
      <w:divBdr>
        <w:top w:val="none" w:sz="0" w:space="0" w:color="auto"/>
        <w:left w:val="none" w:sz="0" w:space="0" w:color="auto"/>
        <w:bottom w:val="none" w:sz="0" w:space="0" w:color="auto"/>
        <w:right w:val="none" w:sz="0" w:space="0" w:color="auto"/>
      </w:divBdr>
    </w:div>
    <w:div w:id="1487671158">
      <w:bodyDiv w:val="1"/>
      <w:marLeft w:val="0"/>
      <w:marRight w:val="0"/>
      <w:marTop w:val="0"/>
      <w:marBottom w:val="0"/>
      <w:divBdr>
        <w:top w:val="none" w:sz="0" w:space="0" w:color="auto"/>
        <w:left w:val="none" w:sz="0" w:space="0" w:color="auto"/>
        <w:bottom w:val="none" w:sz="0" w:space="0" w:color="auto"/>
        <w:right w:val="none" w:sz="0" w:space="0" w:color="auto"/>
      </w:divBdr>
    </w:div>
    <w:div w:id="1488328337">
      <w:bodyDiv w:val="1"/>
      <w:marLeft w:val="0"/>
      <w:marRight w:val="0"/>
      <w:marTop w:val="0"/>
      <w:marBottom w:val="0"/>
      <w:divBdr>
        <w:top w:val="none" w:sz="0" w:space="0" w:color="auto"/>
        <w:left w:val="none" w:sz="0" w:space="0" w:color="auto"/>
        <w:bottom w:val="none" w:sz="0" w:space="0" w:color="auto"/>
        <w:right w:val="none" w:sz="0" w:space="0" w:color="auto"/>
      </w:divBdr>
    </w:div>
    <w:div w:id="1488860378">
      <w:bodyDiv w:val="1"/>
      <w:marLeft w:val="0"/>
      <w:marRight w:val="0"/>
      <w:marTop w:val="0"/>
      <w:marBottom w:val="0"/>
      <w:divBdr>
        <w:top w:val="none" w:sz="0" w:space="0" w:color="auto"/>
        <w:left w:val="none" w:sz="0" w:space="0" w:color="auto"/>
        <w:bottom w:val="none" w:sz="0" w:space="0" w:color="auto"/>
        <w:right w:val="none" w:sz="0" w:space="0" w:color="auto"/>
      </w:divBdr>
    </w:div>
    <w:div w:id="1489446034">
      <w:bodyDiv w:val="1"/>
      <w:marLeft w:val="0"/>
      <w:marRight w:val="0"/>
      <w:marTop w:val="0"/>
      <w:marBottom w:val="0"/>
      <w:divBdr>
        <w:top w:val="none" w:sz="0" w:space="0" w:color="auto"/>
        <w:left w:val="none" w:sz="0" w:space="0" w:color="auto"/>
        <w:bottom w:val="none" w:sz="0" w:space="0" w:color="auto"/>
        <w:right w:val="none" w:sz="0" w:space="0" w:color="auto"/>
      </w:divBdr>
    </w:div>
    <w:div w:id="1489904321">
      <w:bodyDiv w:val="1"/>
      <w:marLeft w:val="0"/>
      <w:marRight w:val="0"/>
      <w:marTop w:val="0"/>
      <w:marBottom w:val="0"/>
      <w:divBdr>
        <w:top w:val="none" w:sz="0" w:space="0" w:color="auto"/>
        <w:left w:val="none" w:sz="0" w:space="0" w:color="auto"/>
        <w:bottom w:val="none" w:sz="0" w:space="0" w:color="auto"/>
        <w:right w:val="none" w:sz="0" w:space="0" w:color="auto"/>
      </w:divBdr>
    </w:div>
    <w:div w:id="1490246080">
      <w:bodyDiv w:val="1"/>
      <w:marLeft w:val="0"/>
      <w:marRight w:val="0"/>
      <w:marTop w:val="0"/>
      <w:marBottom w:val="0"/>
      <w:divBdr>
        <w:top w:val="none" w:sz="0" w:space="0" w:color="auto"/>
        <w:left w:val="none" w:sz="0" w:space="0" w:color="auto"/>
        <w:bottom w:val="none" w:sz="0" w:space="0" w:color="auto"/>
        <w:right w:val="none" w:sz="0" w:space="0" w:color="auto"/>
      </w:divBdr>
    </w:div>
    <w:div w:id="1492452035">
      <w:bodyDiv w:val="1"/>
      <w:marLeft w:val="0"/>
      <w:marRight w:val="0"/>
      <w:marTop w:val="0"/>
      <w:marBottom w:val="0"/>
      <w:divBdr>
        <w:top w:val="none" w:sz="0" w:space="0" w:color="auto"/>
        <w:left w:val="none" w:sz="0" w:space="0" w:color="auto"/>
        <w:bottom w:val="none" w:sz="0" w:space="0" w:color="auto"/>
        <w:right w:val="none" w:sz="0" w:space="0" w:color="auto"/>
      </w:divBdr>
    </w:div>
    <w:div w:id="1493062201">
      <w:bodyDiv w:val="1"/>
      <w:marLeft w:val="0"/>
      <w:marRight w:val="0"/>
      <w:marTop w:val="0"/>
      <w:marBottom w:val="0"/>
      <w:divBdr>
        <w:top w:val="none" w:sz="0" w:space="0" w:color="auto"/>
        <w:left w:val="none" w:sz="0" w:space="0" w:color="auto"/>
        <w:bottom w:val="none" w:sz="0" w:space="0" w:color="auto"/>
        <w:right w:val="none" w:sz="0" w:space="0" w:color="auto"/>
      </w:divBdr>
    </w:div>
    <w:div w:id="1496261016">
      <w:bodyDiv w:val="1"/>
      <w:marLeft w:val="0"/>
      <w:marRight w:val="0"/>
      <w:marTop w:val="0"/>
      <w:marBottom w:val="0"/>
      <w:divBdr>
        <w:top w:val="none" w:sz="0" w:space="0" w:color="auto"/>
        <w:left w:val="none" w:sz="0" w:space="0" w:color="auto"/>
        <w:bottom w:val="none" w:sz="0" w:space="0" w:color="auto"/>
        <w:right w:val="none" w:sz="0" w:space="0" w:color="auto"/>
      </w:divBdr>
    </w:div>
    <w:div w:id="1497569260">
      <w:bodyDiv w:val="1"/>
      <w:marLeft w:val="0"/>
      <w:marRight w:val="0"/>
      <w:marTop w:val="0"/>
      <w:marBottom w:val="0"/>
      <w:divBdr>
        <w:top w:val="none" w:sz="0" w:space="0" w:color="auto"/>
        <w:left w:val="none" w:sz="0" w:space="0" w:color="auto"/>
        <w:bottom w:val="none" w:sz="0" w:space="0" w:color="auto"/>
        <w:right w:val="none" w:sz="0" w:space="0" w:color="auto"/>
      </w:divBdr>
    </w:div>
    <w:div w:id="1498885691">
      <w:bodyDiv w:val="1"/>
      <w:marLeft w:val="0"/>
      <w:marRight w:val="0"/>
      <w:marTop w:val="0"/>
      <w:marBottom w:val="0"/>
      <w:divBdr>
        <w:top w:val="none" w:sz="0" w:space="0" w:color="auto"/>
        <w:left w:val="none" w:sz="0" w:space="0" w:color="auto"/>
        <w:bottom w:val="none" w:sz="0" w:space="0" w:color="auto"/>
        <w:right w:val="none" w:sz="0" w:space="0" w:color="auto"/>
      </w:divBdr>
    </w:div>
    <w:div w:id="1498956254">
      <w:bodyDiv w:val="1"/>
      <w:marLeft w:val="0"/>
      <w:marRight w:val="0"/>
      <w:marTop w:val="0"/>
      <w:marBottom w:val="0"/>
      <w:divBdr>
        <w:top w:val="none" w:sz="0" w:space="0" w:color="auto"/>
        <w:left w:val="none" w:sz="0" w:space="0" w:color="auto"/>
        <w:bottom w:val="none" w:sz="0" w:space="0" w:color="auto"/>
        <w:right w:val="none" w:sz="0" w:space="0" w:color="auto"/>
      </w:divBdr>
    </w:div>
    <w:div w:id="1502969021">
      <w:bodyDiv w:val="1"/>
      <w:marLeft w:val="0"/>
      <w:marRight w:val="0"/>
      <w:marTop w:val="0"/>
      <w:marBottom w:val="0"/>
      <w:divBdr>
        <w:top w:val="none" w:sz="0" w:space="0" w:color="auto"/>
        <w:left w:val="none" w:sz="0" w:space="0" w:color="auto"/>
        <w:bottom w:val="none" w:sz="0" w:space="0" w:color="auto"/>
        <w:right w:val="none" w:sz="0" w:space="0" w:color="auto"/>
      </w:divBdr>
    </w:div>
    <w:div w:id="1503663532">
      <w:bodyDiv w:val="1"/>
      <w:marLeft w:val="0"/>
      <w:marRight w:val="0"/>
      <w:marTop w:val="0"/>
      <w:marBottom w:val="0"/>
      <w:divBdr>
        <w:top w:val="none" w:sz="0" w:space="0" w:color="auto"/>
        <w:left w:val="none" w:sz="0" w:space="0" w:color="auto"/>
        <w:bottom w:val="none" w:sz="0" w:space="0" w:color="auto"/>
        <w:right w:val="none" w:sz="0" w:space="0" w:color="auto"/>
      </w:divBdr>
    </w:div>
    <w:div w:id="1504469405">
      <w:bodyDiv w:val="1"/>
      <w:marLeft w:val="0"/>
      <w:marRight w:val="0"/>
      <w:marTop w:val="0"/>
      <w:marBottom w:val="0"/>
      <w:divBdr>
        <w:top w:val="none" w:sz="0" w:space="0" w:color="auto"/>
        <w:left w:val="none" w:sz="0" w:space="0" w:color="auto"/>
        <w:bottom w:val="none" w:sz="0" w:space="0" w:color="auto"/>
        <w:right w:val="none" w:sz="0" w:space="0" w:color="auto"/>
      </w:divBdr>
    </w:div>
    <w:div w:id="1504854540">
      <w:bodyDiv w:val="1"/>
      <w:marLeft w:val="0"/>
      <w:marRight w:val="0"/>
      <w:marTop w:val="0"/>
      <w:marBottom w:val="0"/>
      <w:divBdr>
        <w:top w:val="none" w:sz="0" w:space="0" w:color="auto"/>
        <w:left w:val="none" w:sz="0" w:space="0" w:color="auto"/>
        <w:bottom w:val="none" w:sz="0" w:space="0" w:color="auto"/>
        <w:right w:val="none" w:sz="0" w:space="0" w:color="auto"/>
      </w:divBdr>
    </w:div>
    <w:div w:id="1506093276">
      <w:bodyDiv w:val="1"/>
      <w:marLeft w:val="0"/>
      <w:marRight w:val="0"/>
      <w:marTop w:val="0"/>
      <w:marBottom w:val="0"/>
      <w:divBdr>
        <w:top w:val="none" w:sz="0" w:space="0" w:color="auto"/>
        <w:left w:val="none" w:sz="0" w:space="0" w:color="auto"/>
        <w:bottom w:val="none" w:sz="0" w:space="0" w:color="auto"/>
        <w:right w:val="none" w:sz="0" w:space="0" w:color="auto"/>
      </w:divBdr>
    </w:div>
    <w:div w:id="1508134035">
      <w:bodyDiv w:val="1"/>
      <w:marLeft w:val="0"/>
      <w:marRight w:val="0"/>
      <w:marTop w:val="0"/>
      <w:marBottom w:val="0"/>
      <w:divBdr>
        <w:top w:val="none" w:sz="0" w:space="0" w:color="auto"/>
        <w:left w:val="none" w:sz="0" w:space="0" w:color="auto"/>
        <w:bottom w:val="none" w:sz="0" w:space="0" w:color="auto"/>
        <w:right w:val="none" w:sz="0" w:space="0" w:color="auto"/>
      </w:divBdr>
    </w:div>
    <w:div w:id="1508520129">
      <w:bodyDiv w:val="1"/>
      <w:marLeft w:val="0"/>
      <w:marRight w:val="0"/>
      <w:marTop w:val="0"/>
      <w:marBottom w:val="0"/>
      <w:divBdr>
        <w:top w:val="none" w:sz="0" w:space="0" w:color="auto"/>
        <w:left w:val="none" w:sz="0" w:space="0" w:color="auto"/>
        <w:bottom w:val="none" w:sz="0" w:space="0" w:color="auto"/>
        <w:right w:val="none" w:sz="0" w:space="0" w:color="auto"/>
      </w:divBdr>
    </w:div>
    <w:div w:id="1509785323">
      <w:bodyDiv w:val="1"/>
      <w:marLeft w:val="0"/>
      <w:marRight w:val="0"/>
      <w:marTop w:val="0"/>
      <w:marBottom w:val="0"/>
      <w:divBdr>
        <w:top w:val="none" w:sz="0" w:space="0" w:color="auto"/>
        <w:left w:val="none" w:sz="0" w:space="0" w:color="auto"/>
        <w:bottom w:val="none" w:sz="0" w:space="0" w:color="auto"/>
        <w:right w:val="none" w:sz="0" w:space="0" w:color="auto"/>
      </w:divBdr>
    </w:div>
    <w:div w:id="1512600583">
      <w:bodyDiv w:val="1"/>
      <w:marLeft w:val="0"/>
      <w:marRight w:val="0"/>
      <w:marTop w:val="0"/>
      <w:marBottom w:val="0"/>
      <w:divBdr>
        <w:top w:val="none" w:sz="0" w:space="0" w:color="auto"/>
        <w:left w:val="none" w:sz="0" w:space="0" w:color="auto"/>
        <w:bottom w:val="none" w:sz="0" w:space="0" w:color="auto"/>
        <w:right w:val="none" w:sz="0" w:space="0" w:color="auto"/>
      </w:divBdr>
    </w:div>
    <w:div w:id="1512720905">
      <w:bodyDiv w:val="1"/>
      <w:marLeft w:val="0"/>
      <w:marRight w:val="0"/>
      <w:marTop w:val="0"/>
      <w:marBottom w:val="0"/>
      <w:divBdr>
        <w:top w:val="none" w:sz="0" w:space="0" w:color="auto"/>
        <w:left w:val="none" w:sz="0" w:space="0" w:color="auto"/>
        <w:bottom w:val="none" w:sz="0" w:space="0" w:color="auto"/>
        <w:right w:val="none" w:sz="0" w:space="0" w:color="auto"/>
      </w:divBdr>
    </w:div>
    <w:div w:id="1514226675">
      <w:bodyDiv w:val="1"/>
      <w:marLeft w:val="0"/>
      <w:marRight w:val="0"/>
      <w:marTop w:val="0"/>
      <w:marBottom w:val="0"/>
      <w:divBdr>
        <w:top w:val="none" w:sz="0" w:space="0" w:color="auto"/>
        <w:left w:val="none" w:sz="0" w:space="0" w:color="auto"/>
        <w:bottom w:val="none" w:sz="0" w:space="0" w:color="auto"/>
        <w:right w:val="none" w:sz="0" w:space="0" w:color="auto"/>
      </w:divBdr>
    </w:div>
    <w:div w:id="1516075439">
      <w:bodyDiv w:val="1"/>
      <w:marLeft w:val="0"/>
      <w:marRight w:val="0"/>
      <w:marTop w:val="0"/>
      <w:marBottom w:val="0"/>
      <w:divBdr>
        <w:top w:val="none" w:sz="0" w:space="0" w:color="auto"/>
        <w:left w:val="none" w:sz="0" w:space="0" w:color="auto"/>
        <w:bottom w:val="none" w:sz="0" w:space="0" w:color="auto"/>
        <w:right w:val="none" w:sz="0" w:space="0" w:color="auto"/>
      </w:divBdr>
    </w:div>
    <w:div w:id="1516116226">
      <w:bodyDiv w:val="1"/>
      <w:marLeft w:val="0"/>
      <w:marRight w:val="0"/>
      <w:marTop w:val="0"/>
      <w:marBottom w:val="0"/>
      <w:divBdr>
        <w:top w:val="none" w:sz="0" w:space="0" w:color="auto"/>
        <w:left w:val="none" w:sz="0" w:space="0" w:color="auto"/>
        <w:bottom w:val="none" w:sz="0" w:space="0" w:color="auto"/>
        <w:right w:val="none" w:sz="0" w:space="0" w:color="auto"/>
      </w:divBdr>
    </w:div>
    <w:div w:id="1516533003">
      <w:bodyDiv w:val="1"/>
      <w:marLeft w:val="0"/>
      <w:marRight w:val="0"/>
      <w:marTop w:val="0"/>
      <w:marBottom w:val="0"/>
      <w:divBdr>
        <w:top w:val="none" w:sz="0" w:space="0" w:color="auto"/>
        <w:left w:val="none" w:sz="0" w:space="0" w:color="auto"/>
        <w:bottom w:val="none" w:sz="0" w:space="0" w:color="auto"/>
        <w:right w:val="none" w:sz="0" w:space="0" w:color="auto"/>
      </w:divBdr>
    </w:div>
    <w:div w:id="1518814367">
      <w:bodyDiv w:val="1"/>
      <w:marLeft w:val="0"/>
      <w:marRight w:val="0"/>
      <w:marTop w:val="0"/>
      <w:marBottom w:val="0"/>
      <w:divBdr>
        <w:top w:val="none" w:sz="0" w:space="0" w:color="auto"/>
        <w:left w:val="none" w:sz="0" w:space="0" w:color="auto"/>
        <w:bottom w:val="none" w:sz="0" w:space="0" w:color="auto"/>
        <w:right w:val="none" w:sz="0" w:space="0" w:color="auto"/>
      </w:divBdr>
    </w:div>
    <w:div w:id="1520896315">
      <w:bodyDiv w:val="1"/>
      <w:marLeft w:val="0"/>
      <w:marRight w:val="0"/>
      <w:marTop w:val="0"/>
      <w:marBottom w:val="0"/>
      <w:divBdr>
        <w:top w:val="none" w:sz="0" w:space="0" w:color="auto"/>
        <w:left w:val="none" w:sz="0" w:space="0" w:color="auto"/>
        <w:bottom w:val="none" w:sz="0" w:space="0" w:color="auto"/>
        <w:right w:val="none" w:sz="0" w:space="0" w:color="auto"/>
      </w:divBdr>
    </w:div>
    <w:div w:id="1523470688">
      <w:bodyDiv w:val="1"/>
      <w:marLeft w:val="0"/>
      <w:marRight w:val="0"/>
      <w:marTop w:val="0"/>
      <w:marBottom w:val="0"/>
      <w:divBdr>
        <w:top w:val="none" w:sz="0" w:space="0" w:color="auto"/>
        <w:left w:val="none" w:sz="0" w:space="0" w:color="auto"/>
        <w:bottom w:val="none" w:sz="0" w:space="0" w:color="auto"/>
        <w:right w:val="none" w:sz="0" w:space="0" w:color="auto"/>
      </w:divBdr>
    </w:div>
    <w:div w:id="1524438130">
      <w:bodyDiv w:val="1"/>
      <w:marLeft w:val="0"/>
      <w:marRight w:val="0"/>
      <w:marTop w:val="0"/>
      <w:marBottom w:val="0"/>
      <w:divBdr>
        <w:top w:val="none" w:sz="0" w:space="0" w:color="auto"/>
        <w:left w:val="none" w:sz="0" w:space="0" w:color="auto"/>
        <w:bottom w:val="none" w:sz="0" w:space="0" w:color="auto"/>
        <w:right w:val="none" w:sz="0" w:space="0" w:color="auto"/>
      </w:divBdr>
    </w:div>
    <w:div w:id="1526098416">
      <w:bodyDiv w:val="1"/>
      <w:marLeft w:val="0"/>
      <w:marRight w:val="0"/>
      <w:marTop w:val="0"/>
      <w:marBottom w:val="0"/>
      <w:divBdr>
        <w:top w:val="none" w:sz="0" w:space="0" w:color="auto"/>
        <w:left w:val="none" w:sz="0" w:space="0" w:color="auto"/>
        <w:bottom w:val="none" w:sz="0" w:space="0" w:color="auto"/>
        <w:right w:val="none" w:sz="0" w:space="0" w:color="auto"/>
      </w:divBdr>
    </w:div>
    <w:div w:id="1527526173">
      <w:bodyDiv w:val="1"/>
      <w:marLeft w:val="0"/>
      <w:marRight w:val="0"/>
      <w:marTop w:val="0"/>
      <w:marBottom w:val="0"/>
      <w:divBdr>
        <w:top w:val="none" w:sz="0" w:space="0" w:color="auto"/>
        <w:left w:val="none" w:sz="0" w:space="0" w:color="auto"/>
        <w:bottom w:val="none" w:sz="0" w:space="0" w:color="auto"/>
        <w:right w:val="none" w:sz="0" w:space="0" w:color="auto"/>
      </w:divBdr>
    </w:div>
    <w:div w:id="1528642392">
      <w:bodyDiv w:val="1"/>
      <w:marLeft w:val="0"/>
      <w:marRight w:val="0"/>
      <w:marTop w:val="0"/>
      <w:marBottom w:val="0"/>
      <w:divBdr>
        <w:top w:val="none" w:sz="0" w:space="0" w:color="auto"/>
        <w:left w:val="none" w:sz="0" w:space="0" w:color="auto"/>
        <w:bottom w:val="none" w:sz="0" w:space="0" w:color="auto"/>
        <w:right w:val="none" w:sz="0" w:space="0" w:color="auto"/>
      </w:divBdr>
    </w:div>
    <w:div w:id="1529222968">
      <w:bodyDiv w:val="1"/>
      <w:marLeft w:val="0"/>
      <w:marRight w:val="0"/>
      <w:marTop w:val="0"/>
      <w:marBottom w:val="0"/>
      <w:divBdr>
        <w:top w:val="none" w:sz="0" w:space="0" w:color="auto"/>
        <w:left w:val="none" w:sz="0" w:space="0" w:color="auto"/>
        <w:bottom w:val="none" w:sz="0" w:space="0" w:color="auto"/>
        <w:right w:val="none" w:sz="0" w:space="0" w:color="auto"/>
      </w:divBdr>
    </w:div>
    <w:div w:id="1530870699">
      <w:bodyDiv w:val="1"/>
      <w:marLeft w:val="0"/>
      <w:marRight w:val="0"/>
      <w:marTop w:val="0"/>
      <w:marBottom w:val="0"/>
      <w:divBdr>
        <w:top w:val="none" w:sz="0" w:space="0" w:color="auto"/>
        <w:left w:val="none" w:sz="0" w:space="0" w:color="auto"/>
        <w:bottom w:val="none" w:sz="0" w:space="0" w:color="auto"/>
        <w:right w:val="none" w:sz="0" w:space="0" w:color="auto"/>
      </w:divBdr>
    </w:div>
    <w:div w:id="1534735014">
      <w:bodyDiv w:val="1"/>
      <w:marLeft w:val="0"/>
      <w:marRight w:val="0"/>
      <w:marTop w:val="0"/>
      <w:marBottom w:val="0"/>
      <w:divBdr>
        <w:top w:val="none" w:sz="0" w:space="0" w:color="auto"/>
        <w:left w:val="none" w:sz="0" w:space="0" w:color="auto"/>
        <w:bottom w:val="none" w:sz="0" w:space="0" w:color="auto"/>
        <w:right w:val="none" w:sz="0" w:space="0" w:color="auto"/>
      </w:divBdr>
    </w:div>
    <w:div w:id="1538198315">
      <w:bodyDiv w:val="1"/>
      <w:marLeft w:val="0"/>
      <w:marRight w:val="0"/>
      <w:marTop w:val="0"/>
      <w:marBottom w:val="0"/>
      <w:divBdr>
        <w:top w:val="none" w:sz="0" w:space="0" w:color="auto"/>
        <w:left w:val="none" w:sz="0" w:space="0" w:color="auto"/>
        <w:bottom w:val="none" w:sz="0" w:space="0" w:color="auto"/>
        <w:right w:val="none" w:sz="0" w:space="0" w:color="auto"/>
      </w:divBdr>
    </w:div>
    <w:div w:id="1540242725">
      <w:bodyDiv w:val="1"/>
      <w:marLeft w:val="0"/>
      <w:marRight w:val="0"/>
      <w:marTop w:val="0"/>
      <w:marBottom w:val="0"/>
      <w:divBdr>
        <w:top w:val="none" w:sz="0" w:space="0" w:color="auto"/>
        <w:left w:val="none" w:sz="0" w:space="0" w:color="auto"/>
        <w:bottom w:val="none" w:sz="0" w:space="0" w:color="auto"/>
        <w:right w:val="none" w:sz="0" w:space="0" w:color="auto"/>
      </w:divBdr>
    </w:div>
    <w:div w:id="1540436744">
      <w:bodyDiv w:val="1"/>
      <w:marLeft w:val="0"/>
      <w:marRight w:val="0"/>
      <w:marTop w:val="0"/>
      <w:marBottom w:val="0"/>
      <w:divBdr>
        <w:top w:val="none" w:sz="0" w:space="0" w:color="auto"/>
        <w:left w:val="none" w:sz="0" w:space="0" w:color="auto"/>
        <w:bottom w:val="none" w:sz="0" w:space="0" w:color="auto"/>
        <w:right w:val="none" w:sz="0" w:space="0" w:color="auto"/>
      </w:divBdr>
    </w:div>
    <w:div w:id="1540701475">
      <w:bodyDiv w:val="1"/>
      <w:marLeft w:val="0"/>
      <w:marRight w:val="0"/>
      <w:marTop w:val="0"/>
      <w:marBottom w:val="0"/>
      <w:divBdr>
        <w:top w:val="none" w:sz="0" w:space="0" w:color="auto"/>
        <w:left w:val="none" w:sz="0" w:space="0" w:color="auto"/>
        <w:bottom w:val="none" w:sz="0" w:space="0" w:color="auto"/>
        <w:right w:val="none" w:sz="0" w:space="0" w:color="auto"/>
      </w:divBdr>
    </w:div>
    <w:div w:id="1541167927">
      <w:bodyDiv w:val="1"/>
      <w:marLeft w:val="0"/>
      <w:marRight w:val="0"/>
      <w:marTop w:val="0"/>
      <w:marBottom w:val="0"/>
      <w:divBdr>
        <w:top w:val="none" w:sz="0" w:space="0" w:color="auto"/>
        <w:left w:val="none" w:sz="0" w:space="0" w:color="auto"/>
        <w:bottom w:val="none" w:sz="0" w:space="0" w:color="auto"/>
        <w:right w:val="none" w:sz="0" w:space="0" w:color="auto"/>
      </w:divBdr>
    </w:div>
    <w:div w:id="1542017166">
      <w:bodyDiv w:val="1"/>
      <w:marLeft w:val="0"/>
      <w:marRight w:val="0"/>
      <w:marTop w:val="0"/>
      <w:marBottom w:val="0"/>
      <w:divBdr>
        <w:top w:val="none" w:sz="0" w:space="0" w:color="auto"/>
        <w:left w:val="none" w:sz="0" w:space="0" w:color="auto"/>
        <w:bottom w:val="none" w:sz="0" w:space="0" w:color="auto"/>
        <w:right w:val="none" w:sz="0" w:space="0" w:color="auto"/>
      </w:divBdr>
    </w:div>
    <w:div w:id="1544975937">
      <w:bodyDiv w:val="1"/>
      <w:marLeft w:val="0"/>
      <w:marRight w:val="0"/>
      <w:marTop w:val="0"/>
      <w:marBottom w:val="0"/>
      <w:divBdr>
        <w:top w:val="none" w:sz="0" w:space="0" w:color="auto"/>
        <w:left w:val="none" w:sz="0" w:space="0" w:color="auto"/>
        <w:bottom w:val="none" w:sz="0" w:space="0" w:color="auto"/>
        <w:right w:val="none" w:sz="0" w:space="0" w:color="auto"/>
      </w:divBdr>
    </w:div>
    <w:div w:id="1545017476">
      <w:bodyDiv w:val="1"/>
      <w:marLeft w:val="0"/>
      <w:marRight w:val="0"/>
      <w:marTop w:val="0"/>
      <w:marBottom w:val="0"/>
      <w:divBdr>
        <w:top w:val="none" w:sz="0" w:space="0" w:color="auto"/>
        <w:left w:val="none" w:sz="0" w:space="0" w:color="auto"/>
        <w:bottom w:val="none" w:sz="0" w:space="0" w:color="auto"/>
        <w:right w:val="none" w:sz="0" w:space="0" w:color="auto"/>
      </w:divBdr>
    </w:div>
    <w:div w:id="1545630499">
      <w:bodyDiv w:val="1"/>
      <w:marLeft w:val="0"/>
      <w:marRight w:val="0"/>
      <w:marTop w:val="0"/>
      <w:marBottom w:val="0"/>
      <w:divBdr>
        <w:top w:val="none" w:sz="0" w:space="0" w:color="auto"/>
        <w:left w:val="none" w:sz="0" w:space="0" w:color="auto"/>
        <w:bottom w:val="none" w:sz="0" w:space="0" w:color="auto"/>
        <w:right w:val="none" w:sz="0" w:space="0" w:color="auto"/>
      </w:divBdr>
    </w:div>
    <w:div w:id="1547335177">
      <w:bodyDiv w:val="1"/>
      <w:marLeft w:val="0"/>
      <w:marRight w:val="0"/>
      <w:marTop w:val="0"/>
      <w:marBottom w:val="0"/>
      <w:divBdr>
        <w:top w:val="none" w:sz="0" w:space="0" w:color="auto"/>
        <w:left w:val="none" w:sz="0" w:space="0" w:color="auto"/>
        <w:bottom w:val="none" w:sz="0" w:space="0" w:color="auto"/>
        <w:right w:val="none" w:sz="0" w:space="0" w:color="auto"/>
      </w:divBdr>
    </w:div>
    <w:div w:id="1548176801">
      <w:bodyDiv w:val="1"/>
      <w:marLeft w:val="0"/>
      <w:marRight w:val="0"/>
      <w:marTop w:val="0"/>
      <w:marBottom w:val="0"/>
      <w:divBdr>
        <w:top w:val="none" w:sz="0" w:space="0" w:color="auto"/>
        <w:left w:val="none" w:sz="0" w:space="0" w:color="auto"/>
        <w:bottom w:val="none" w:sz="0" w:space="0" w:color="auto"/>
        <w:right w:val="none" w:sz="0" w:space="0" w:color="auto"/>
      </w:divBdr>
    </w:div>
    <w:div w:id="1551334079">
      <w:bodyDiv w:val="1"/>
      <w:marLeft w:val="0"/>
      <w:marRight w:val="0"/>
      <w:marTop w:val="0"/>
      <w:marBottom w:val="0"/>
      <w:divBdr>
        <w:top w:val="none" w:sz="0" w:space="0" w:color="auto"/>
        <w:left w:val="none" w:sz="0" w:space="0" w:color="auto"/>
        <w:bottom w:val="none" w:sz="0" w:space="0" w:color="auto"/>
        <w:right w:val="none" w:sz="0" w:space="0" w:color="auto"/>
      </w:divBdr>
    </w:div>
    <w:div w:id="1551572833">
      <w:bodyDiv w:val="1"/>
      <w:marLeft w:val="0"/>
      <w:marRight w:val="0"/>
      <w:marTop w:val="0"/>
      <w:marBottom w:val="0"/>
      <w:divBdr>
        <w:top w:val="none" w:sz="0" w:space="0" w:color="auto"/>
        <w:left w:val="none" w:sz="0" w:space="0" w:color="auto"/>
        <w:bottom w:val="none" w:sz="0" w:space="0" w:color="auto"/>
        <w:right w:val="none" w:sz="0" w:space="0" w:color="auto"/>
      </w:divBdr>
    </w:div>
    <w:div w:id="1553299613">
      <w:bodyDiv w:val="1"/>
      <w:marLeft w:val="0"/>
      <w:marRight w:val="0"/>
      <w:marTop w:val="0"/>
      <w:marBottom w:val="0"/>
      <w:divBdr>
        <w:top w:val="none" w:sz="0" w:space="0" w:color="auto"/>
        <w:left w:val="none" w:sz="0" w:space="0" w:color="auto"/>
        <w:bottom w:val="none" w:sz="0" w:space="0" w:color="auto"/>
        <w:right w:val="none" w:sz="0" w:space="0" w:color="auto"/>
      </w:divBdr>
    </w:div>
    <w:div w:id="1553618165">
      <w:bodyDiv w:val="1"/>
      <w:marLeft w:val="0"/>
      <w:marRight w:val="0"/>
      <w:marTop w:val="0"/>
      <w:marBottom w:val="0"/>
      <w:divBdr>
        <w:top w:val="none" w:sz="0" w:space="0" w:color="auto"/>
        <w:left w:val="none" w:sz="0" w:space="0" w:color="auto"/>
        <w:bottom w:val="none" w:sz="0" w:space="0" w:color="auto"/>
        <w:right w:val="none" w:sz="0" w:space="0" w:color="auto"/>
      </w:divBdr>
    </w:div>
    <w:div w:id="1558777818">
      <w:bodyDiv w:val="1"/>
      <w:marLeft w:val="0"/>
      <w:marRight w:val="0"/>
      <w:marTop w:val="0"/>
      <w:marBottom w:val="0"/>
      <w:divBdr>
        <w:top w:val="none" w:sz="0" w:space="0" w:color="auto"/>
        <w:left w:val="none" w:sz="0" w:space="0" w:color="auto"/>
        <w:bottom w:val="none" w:sz="0" w:space="0" w:color="auto"/>
        <w:right w:val="none" w:sz="0" w:space="0" w:color="auto"/>
      </w:divBdr>
    </w:div>
    <w:div w:id="1559123126">
      <w:bodyDiv w:val="1"/>
      <w:marLeft w:val="0"/>
      <w:marRight w:val="0"/>
      <w:marTop w:val="0"/>
      <w:marBottom w:val="0"/>
      <w:divBdr>
        <w:top w:val="none" w:sz="0" w:space="0" w:color="auto"/>
        <w:left w:val="none" w:sz="0" w:space="0" w:color="auto"/>
        <w:bottom w:val="none" w:sz="0" w:space="0" w:color="auto"/>
        <w:right w:val="none" w:sz="0" w:space="0" w:color="auto"/>
      </w:divBdr>
    </w:div>
    <w:div w:id="1559592510">
      <w:bodyDiv w:val="1"/>
      <w:marLeft w:val="0"/>
      <w:marRight w:val="0"/>
      <w:marTop w:val="0"/>
      <w:marBottom w:val="0"/>
      <w:divBdr>
        <w:top w:val="none" w:sz="0" w:space="0" w:color="auto"/>
        <w:left w:val="none" w:sz="0" w:space="0" w:color="auto"/>
        <w:bottom w:val="none" w:sz="0" w:space="0" w:color="auto"/>
        <w:right w:val="none" w:sz="0" w:space="0" w:color="auto"/>
      </w:divBdr>
    </w:div>
    <w:div w:id="1561820998">
      <w:bodyDiv w:val="1"/>
      <w:marLeft w:val="0"/>
      <w:marRight w:val="0"/>
      <w:marTop w:val="0"/>
      <w:marBottom w:val="0"/>
      <w:divBdr>
        <w:top w:val="none" w:sz="0" w:space="0" w:color="auto"/>
        <w:left w:val="none" w:sz="0" w:space="0" w:color="auto"/>
        <w:bottom w:val="none" w:sz="0" w:space="0" w:color="auto"/>
        <w:right w:val="none" w:sz="0" w:space="0" w:color="auto"/>
      </w:divBdr>
    </w:div>
    <w:div w:id="1561869104">
      <w:bodyDiv w:val="1"/>
      <w:marLeft w:val="0"/>
      <w:marRight w:val="0"/>
      <w:marTop w:val="0"/>
      <w:marBottom w:val="0"/>
      <w:divBdr>
        <w:top w:val="none" w:sz="0" w:space="0" w:color="auto"/>
        <w:left w:val="none" w:sz="0" w:space="0" w:color="auto"/>
        <w:bottom w:val="none" w:sz="0" w:space="0" w:color="auto"/>
        <w:right w:val="none" w:sz="0" w:space="0" w:color="auto"/>
      </w:divBdr>
    </w:div>
    <w:div w:id="1562213580">
      <w:bodyDiv w:val="1"/>
      <w:marLeft w:val="0"/>
      <w:marRight w:val="0"/>
      <w:marTop w:val="0"/>
      <w:marBottom w:val="0"/>
      <w:divBdr>
        <w:top w:val="none" w:sz="0" w:space="0" w:color="auto"/>
        <w:left w:val="none" w:sz="0" w:space="0" w:color="auto"/>
        <w:bottom w:val="none" w:sz="0" w:space="0" w:color="auto"/>
        <w:right w:val="none" w:sz="0" w:space="0" w:color="auto"/>
      </w:divBdr>
    </w:div>
    <w:div w:id="1563832705">
      <w:bodyDiv w:val="1"/>
      <w:marLeft w:val="0"/>
      <w:marRight w:val="0"/>
      <w:marTop w:val="0"/>
      <w:marBottom w:val="0"/>
      <w:divBdr>
        <w:top w:val="none" w:sz="0" w:space="0" w:color="auto"/>
        <w:left w:val="none" w:sz="0" w:space="0" w:color="auto"/>
        <w:bottom w:val="none" w:sz="0" w:space="0" w:color="auto"/>
        <w:right w:val="none" w:sz="0" w:space="0" w:color="auto"/>
      </w:divBdr>
    </w:div>
    <w:div w:id="1564565764">
      <w:bodyDiv w:val="1"/>
      <w:marLeft w:val="0"/>
      <w:marRight w:val="0"/>
      <w:marTop w:val="0"/>
      <w:marBottom w:val="0"/>
      <w:divBdr>
        <w:top w:val="none" w:sz="0" w:space="0" w:color="auto"/>
        <w:left w:val="none" w:sz="0" w:space="0" w:color="auto"/>
        <w:bottom w:val="none" w:sz="0" w:space="0" w:color="auto"/>
        <w:right w:val="none" w:sz="0" w:space="0" w:color="auto"/>
      </w:divBdr>
    </w:div>
    <w:div w:id="1565219501">
      <w:bodyDiv w:val="1"/>
      <w:marLeft w:val="0"/>
      <w:marRight w:val="0"/>
      <w:marTop w:val="0"/>
      <w:marBottom w:val="0"/>
      <w:divBdr>
        <w:top w:val="none" w:sz="0" w:space="0" w:color="auto"/>
        <w:left w:val="none" w:sz="0" w:space="0" w:color="auto"/>
        <w:bottom w:val="none" w:sz="0" w:space="0" w:color="auto"/>
        <w:right w:val="none" w:sz="0" w:space="0" w:color="auto"/>
      </w:divBdr>
    </w:div>
    <w:div w:id="1566060673">
      <w:bodyDiv w:val="1"/>
      <w:marLeft w:val="0"/>
      <w:marRight w:val="0"/>
      <w:marTop w:val="0"/>
      <w:marBottom w:val="0"/>
      <w:divBdr>
        <w:top w:val="none" w:sz="0" w:space="0" w:color="auto"/>
        <w:left w:val="none" w:sz="0" w:space="0" w:color="auto"/>
        <w:bottom w:val="none" w:sz="0" w:space="0" w:color="auto"/>
        <w:right w:val="none" w:sz="0" w:space="0" w:color="auto"/>
      </w:divBdr>
    </w:div>
    <w:div w:id="1566141009">
      <w:bodyDiv w:val="1"/>
      <w:marLeft w:val="0"/>
      <w:marRight w:val="0"/>
      <w:marTop w:val="0"/>
      <w:marBottom w:val="0"/>
      <w:divBdr>
        <w:top w:val="none" w:sz="0" w:space="0" w:color="auto"/>
        <w:left w:val="none" w:sz="0" w:space="0" w:color="auto"/>
        <w:bottom w:val="none" w:sz="0" w:space="0" w:color="auto"/>
        <w:right w:val="none" w:sz="0" w:space="0" w:color="auto"/>
      </w:divBdr>
    </w:div>
    <w:div w:id="1567836564">
      <w:bodyDiv w:val="1"/>
      <w:marLeft w:val="0"/>
      <w:marRight w:val="0"/>
      <w:marTop w:val="0"/>
      <w:marBottom w:val="0"/>
      <w:divBdr>
        <w:top w:val="none" w:sz="0" w:space="0" w:color="auto"/>
        <w:left w:val="none" w:sz="0" w:space="0" w:color="auto"/>
        <w:bottom w:val="none" w:sz="0" w:space="0" w:color="auto"/>
        <w:right w:val="none" w:sz="0" w:space="0" w:color="auto"/>
      </w:divBdr>
    </w:div>
    <w:div w:id="1568567955">
      <w:bodyDiv w:val="1"/>
      <w:marLeft w:val="0"/>
      <w:marRight w:val="0"/>
      <w:marTop w:val="0"/>
      <w:marBottom w:val="0"/>
      <w:divBdr>
        <w:top w:val="none" w:sz="0" w:space="0" w:color="auto"/>
        <w:left w:val="none" w:sz="0" w:space="0" w:color="auto"/>
        <w:bottom w:val="none" w:sz="0" w:space="0" w:color="auto"/>
        <w:right w:val="none" w:sz="0" w:space="0" w:color="auto"/>
      </w:divBdr>
    </w:div>
    <w:div w:id="1568609788">
      <w:bodyDiv w:val="1"/>
      <w:marLeft w:val="0"/>
      <w:marRight w:val="0"/>
      <w:marTop w:val="0"/>
      <w:marBottom w:val="0"/>
      <w:divBdr>
        <w:top w:val="none" w:sz="0" w:space="0" w:color="auto"/>
        <w:left w:val="none" w:sz="0" w:space="0" w:color="auto"/>
        <w:bottom w:val="none" w:sz="0" w:space="0" w:color="auto"/>
        <w:right w:val="none" w:sz="0" w:space="0" w:color="auto"/>
      </w:divBdr>
    </w:div>
    <w:div w:id="1569460429">
      <w:bodyDiv w:val="1"/>
      <w:marLeft w:val="0"/>
      <w:marRight w:val="0"/>
      <w:marTop w:val="0"/>
      <w:marBottom w:val="0"/>
      <w:divBdr>
        <w:top w:val="none" w:sz="0" w:space="0" w:color="auto"/>
        <w:left w:val="none" w:sz="0" w:space="0" w:color="auto"/>
        <w:bottom w:val="none" w:sz="0" w:space="0" w:color="auto"/>
        <w:right w:val="none" w:sz="0" w:space="0" w:color="auto"/>
      </w:divBdr>
    </w:div>
    <w:div w:id="1570725829">
      <w:bodyDiv w:val="1"/>
      <w:marLeft w:val="0"/>
      <w:marRight w:val="0"/>
      <w:marTop w:val="0"/>
      <w:marBottom w:val="0"/>
      <w:divBdr>
        <w:top w:val="none" w:sz="0" w:space="0" w:color="auto"/>
        <w:left w:val="none" w:sz="0" w:space="0" w:color="auto"/>
        <w:bottom w:val="none" w:sz="0" w:space="0" w:color="auto"/>
        <w:right w:val="none" w:sz="0" w:space="0" w:color="auto"/>
      </w:divBdr>
    </w:div>
    <w:div w:id="1574504319">
      <w:bodyDiv w:val="1"/>
      <w:marLeft w:val="0"/>
      <w:marRight w:val="0"/>
      <w:marTop w:val="0"/>
      <w:marBottom w:val="0"/>
      <w:divBdr>
        <w:top w:val="none" w:sz="0" w:space="0" w:color="auto"/>
        <w:left w:val="none" w:sz="0" w:space="0" w:color="auto"/>
        <w:bottom w:val="none" w:sz="0" w:space="0" w:color="auto"/>
        <w:right w:val="none" w:sz="0" w:space="0" w:color="auto"/>
      </w:divBdr>
    </w:div>
    <w:div w:id="1574587041">
      <w:bodyDiv w:val="1"/>
      <w:marLeft w:val="0"/>
      <w:marRight w:val="0"/>
      <w:marTop w:val="0"/>
      <w:marBottom w:val="0"/>
      <w:divBdr>
        <w:top w:val="none" w:sz="0" w:space="0" w:color="auto"/>
        <w:left w:val="none" w:sz="0" w:space="0" w:color="auto"/>
        <w:bottom w:val="none" w:sz="0" w:space="0" w:color="auto"/>
        <w:right w:val="none" w:sz="0" w:space="0" w:color="auto"/>
      </w:divBdr>
    </w:div>
    <w:div w:id="1575435001">
      <w:bodyDiv w:val="1"/>
      <w:marLeft w:val="0"/>
      <w:marRight w:val="0"/>
      <w:marTop w:val="0"/>
      <w:marBottom w:val="0"/>
      <w:divBdr>
        <w:top w:val="none" w:sz="0" w:space="0" w:color="auto"/>
        <w:left w:val="none" w:sz="0" w:space="0" w:color="auto"/>
        <w:bottom w:val="none" w:sz="0" w:space="0" w:color="auto"/>
        <w:right w:val="none" w:sz="0" w:space="0" w:color="auto"/>
      </w:divBdr>
    </w:div>
    <w:div w:id="1575821786">
      <w:bodyDiv w:val="1"/>
      <w:marLeft w:val="0"/>
      <w:marRight w:val="0"/>
      <w:marTop w:val="0"/>
      <w:marBottom w:val="0"/>
      <w:divBdr>
        <w:top w:val="none" w:sz="0" w:space="0" w:color="auto"/>
        <w:left w:val="none" w:sz="0" w:space="0" w:color="auto"/>
        <w:bottom w:val="none" w:sz="0" w:space="0" w:color="auto"/>
        <w:right w:val="none" w:sz="0" w:space="0" w:color="auto"/>
      </w:divBdr>
    </w:div>
    <w:div w:id="1579095069">
      <w:bodyDiv w:val="1"/>
      <w:marLeft w:val="0"/>
      <w:marRight w:val="0"/>
      <w:marTop w:val="0"/>
      <w:marBottom w:val="0"/>
      <w:divBdr>
        <w:top w:val="none" w:sz="0" w:space="0" w:color="auto"/>
        <w:left w:val="none" w:sz="0" w:space="0" w:color="auto"/>
        <w:bottom w:val="none" w:sz="0" w:space="0" w:color="auto"/>
        <w:right w:val="none" w:sz="0" w:space="0" w:color="auto"/>
      </w:divBdr>
    </w:div>
    <w:div w:id="1582252237">
      <w:bodyDiv w:val="1"/>
      <w:marLeft w:val="0"/>
      <w:marRight w:val="0"/>
      <w:marTop w:val="0"/>
      <w:marBottom w:val="0"/>
      <w:divBdr>
        <w:top w:val="none" w:sz="0" w:space="0" w:color="auto"/>
        <w:left w:val="none" w:sz="0" w:space="0" w:color="auto"/>
        <w:bottom w:val="none" w:sz="0" w:space="0" w:color="auto"/>
        <w:right w:val="none" w:sz="0" w:space="0" w:color="auto"/>
      </w:divBdr>
    </w:div>
    <w:div w:id="1583290968">
      <w:bodyDiv w:val="1"/>
      <w:marLeft w:val="0"/>
      <w:marRight w:val="0"/>
      <w:marTop w:val="0"/>
      <w:marBottom w:val="0"/>
      <w:divBdr>
        <w:top w:val="none" w:sz="0" w:space="0" w:color="auto"/>
        <w:left w:val="none" w:sz="0" w:space="0" w:color="auto"/>
        <w:bottom w:val="none" w:sz="0" w:space="0" w:color="auto"/>
        <w:right w:val="none" w:sz="0" w:space="0" w:color="auto"/>
      </w:divBdr>
    </w:div>
    <w:div w:id="1584408606">
      <w:bodyDiv w:val="1"/>
      <w:marLeft w:val="0"/>
      <w:marRight w:val="0"/>
      <w:marTop w:val="0"/>
      <w:marBottom w:val="0"/>
      <w:divBdr>
        <w:top w:val="none" w:sz="0" w:space="0" w:color="auto"/>
        <w:left w:val="none" w:sz="0" w:space="0" w:color="auto"/>
        <w:bottom w:val="none" w:sz="0" w:space="0" w:color="auto"/>
        <w:right w:val="none" w:sz="0" w:space="0" w:color="auto"/>
      </w:divBdr>
    </w:div>
    <w:div w:id="1584991376">
      <w:bodyDiv w:val="1"/>
      <w:marLeft w:val="0"/>
      <w:marRight w:val="0"/>
      <w:marTop w:val="0"/>
      <w:marBottom w:val="0"/>
      <w:divBdr>
        <w:top w:val="none" w:sz="0" w:space="0" w:color="auto"/>
        <w:left w:val="none" w:sz="0" w:space="0" w:color="auto"/>
        <w:bottom w:val="none" w:sz="0" w:space="0" w:color="auto"/>
        <w:right w:val="none" w:sz="0" w:space="0" w:color="auto"/>
      </w:divBdr>
    </w:div>
    <w:div w:id="1584992136">
      <w:bodyDiv w:val="1"/>
      <w:marLeft w:val="0"/>
      <w:marRight w:val="0"/>
      <w:marTop w:val="0"/>
      <w:marBottom w:val="0"/>
      <w:divBdr>
        <w:top w:val="none" w:sz="0" w:space="0" w:color="auto"/>
        <w:left w:val="none" w:sz="0" w:space="0" w:color="auto"/>
        <w:bottom w:val="none" w:sz="0" w:space="0" w:color="auto"/>
        <w:right w:val="none" w:sz="0" w:space="0" w:color="auto"/>
      </w:divBdr>
    </w:div>
    <w:div w:id="1585610035">
      <w:bodyDiv w:val="1"/>
      <w:marLeft w:val="0"/>
      <w:marRight w:val="0"/>
      <w:marTop w:val="0"/>
      <w:marBottom w:val="0"/>
      <w:divBdr>
        <w:top w:val="none" w:sz="0" w:space="0" w:color="auto"/>
        <w:left w:val="none" w:sz="0" w:space="0" w:color="auto"/>
        <w:bottom w:val="none" w:sz="0" w:space="0" w:color="auto"/>
        <w:right w:val="none" w:sz="0" w:space="0" w:color="auto"/>
      </w:divBdr>
    </w:div>
    <w:div w:id="1589070971">
      <w:bodyDiv w:val="1"/>
      <w:marLeft w:val="0"/>
      <w:marRight w:val="0"/>
      <w:marTop w:val="0"/>
      <w:marBottom w:val="0"/>
      <w:divBdr>
        <w:top w:val="none" w:sz="0" w:space="0" w:color="auto"/>
        <w:left w:val="none" w:sz="0" w:space="0" w:color="auto"/>
        <w:bottom w:val="none" w:sz="0" w:space="0" w:color="auto"/>
        <w:right w:val="none" w:sz="0" w:space="0" w:color="auto"/>
      </w:divBdr>
    </w:div>
    <w:div w:id="1589381822">
      <w:bodyDiv w:val="1"/>
      <w:marLeft w:val="0"/>
      <w:marRight w:val="0"/>
      <w:marTop w:val="0"/>
      <w:marBottom w:val="0"/>
      <w:divBdr>
        <w:top w:val="none" w:sz="0" w:space="0" w:color="auto"/>
        <w:left w:val="none" w:sz="0" w:space="0" w:color="auto"/>
        <w:bottom w:val="none" w:sz="0" w:space="0" w:color="auto"/>
        <w:right w:val="none" w:sz="0" w:space="0" w:color="auto"/>
      </w:divBdr>
    </w:div>
    <w:div w:id="1590039386">
      <w:bodyDiv w:val="1"/>
      <w:marLeft w:val="0"/>
      <w:marRight w:val="0"/>
      <w:marTop w:val="0"/>
      <w:marBottom w:val="0"/>
      <w:divBdr>
        <w:top w:val="none" w:sz="0" w:space="0" w:color="auto"/>
        <w:left w:val="none" w:sz="0" w:space="0" w:color="auto"/>
        <w:bottom w:val="none" w:sz="0" w:space="0" w:color="auto"/>
        <w:right w:val="none" w:sz="0" w:space="0" w:color="auto"/>
      </w:divBdr>
    </w:div>
    <w:div w:id="1590262938">
      <w:bodyDiv w:val="1"/>
      <w:marLeft w:val="0"/>
      <w:marRight w:val="0"/>
      <w:marTop w:val="0"/>
      <w:marBottom w:val="0"/>
      <w:divBdr>
        <w:top w:val="none" w:sz="0" w:space="0" w:color="auto"/>
        <w:left w:val="none" w:sz="0" w:space="0" w:color="auto"/>
        <w:bottom w:val="none" w:sz="0" w:space="0" w:color="auto"/>
        <w:right w:val="none" w:sz="0" w:space="0" w:color="auto"/>
      </w:divBdr>
    </w:div>
    <w:div w:id="1590965631">
      <w:bodyDiv w:val="1"/>
      <w:marLeft w:val="0"/>
      <w:marRight w:val="0"/>
      <w:marTop w:val="0"/>
      <w:marBottom w:val="0"/>
      <w:divBdr>
        <w:top w:val="none" w:sz="0" w:space="0" w:color="auto"/>
        <w:left w:val="none" w:sz="0" w:space="0" w:color="auto"/>
        <w:bottom w:val="none" w:sz="0" w:space="0" w:color="auto"/>
        <w:right w:val="none" w:sz="0" w:space="0" w:color="auto"/>
      </w:divBdr>
    </w:div>
    <w:div w:id="1593926044">
      <w:bodyDiv w:val="1"/>
      <w:marLeft w:val="0"/>
      <w:marRight w:val="0"/>
      <w:marTop w:val="0"/>
      <w:marBottom w:val="0"/>
      <w:divBdr>
        <w:top w:val="none" w:sz="0" w:space="0" w:color="auto"/>
        <w:left w:val="none" w:sz="0" w:space="0" w:color="auto"/>
        <w:bottom w:val="none" w:sz="0" w:space="0" w:color="auto"/>
        <w:right w:val="none" w:sz="0" w:space="0" w:color="auto"/>
      </w:divBdr>
    </w:div>
    <w:div w:id="1594703121">
      <w:bodyDiv w:val="1"/>
      <w:marLeft w:val="0"/>
      <w:marRight w:val="0"/>
      <w:marTop w:val="0"/>
      <w:marBottom w:val="0"/>
      <w:divBdr>
        <w:top w:val="none" w:sz="0" w:space="0" w:color="auto"/>
        <w:left w:val="none" w:sz="0" w:space="0" w:color="auto"/>
        <w:bottom w:val="none" w:sz="0" w:space="0" w:color="auto"/>
        <w:right w:val="none" w:sz="0" w:space="0" w:color="auto"/>
      </w:divBdr>
    </w:div>
    <w:div w:id="1594969936">
      <w:bodyDiv w:val="1"/>
      <w:marLeft w:val="0"/>
      <w:marRight w:val="0"/>
      <w:marTop w:val="0"/>
      <w:marBottom w:val="0"/>
      <w:divBdr>
        <w:top w:val="none" w:sz="0" w:space="0" w:color="auto"/>
        <w:left w:val="none" w:sz="0" w:space="0" w:color="auto"/>
        <w:bottom w:val="none" w:sz="0" w:space="0" w:color="auto"/>
        <w:right w:val="none" w:sz="0" w:space="0" w:color="auto"/>
      </w:divBdr>
    </w:div>
    <w:div w:id="1595892566">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599023709">
      <w:bodyDiv w:val="1"/>
      <w:marLeft w:val="0"/>
      <w:marRight w:val="0"/>
      <w:marTop w:val="0"/>
      <w:marBottom w:val="0"/>
      <w:divBdr>
        <w:top w:val="none" w:sz="0" w:space="0" w:color="auto"/>
        <w:left w:val="none" w:sz="0" w:space="0" w:color="auto"/>
        <w:bottom w:val="none" w:sz="0" w:space="0" w:color="auto"/>
        <w:right w:val="none" w:sz="0" w:space="0" w:color="auto"/>
      </w:divBdr>
    </w:div>
    <w:div w:id="1600722134">
      <w:bodyDiv w:val="1"/>
      <w:marLeft w:val="0"/>
      <w:marRight w:val="0"/>
      <w:marTop w:val="0"/>
      <w:marBottom w:val="0"/>
      <w:divBdr>
        <w:top w:val="none" w:sz="0" w:space="0" w:color="auto"/>
        <w:left w:val="none" w:sz="0" w:space="0" w:color="auto"/>
        <w:bottom w:val="none" w:sz="0" w:space="0" w:color="auto"/>
        <w:right w:val="none" w:sz="0" w:space="0" w:color="auto"/>
      </w:divBdr>
    </w:div>
    <w:div w:id="1601064412">
      <w:bodyDiv w:val="1"/>
      <w:marLeft w:val="0"/>
      <w:marRight w:val="0"/>
      <w:marTop w:val="0"/>
      <w:marBottom w:val="0"/>
      <w:divBdr>
        <w:top w:val="none" w:sz="0" w:space="0" w:color="auto"/>
        <w:left w:val="none" w:sz="0" w:space="0" w:color="auto"/>
        <w:bottom w:val="none" w:sz="0" w:space="0" w:color="auto"/>
        <w:right w:val="none" w:sz="0" w:space="0" w:color="auto"/>
      </w:divBdr>
    </w:div>
    <w:div w:id="1602107343">
      <w:bodyDiv w:val="1"/>
      <w:marLeft w:val="0"/>
      <w:marRight w:val="0"/>
      <w:marTop w:val="0"/>
      <w:marBottom w:val="0"/>
      <w:divBdr>
        <w:top w:val="none" w:sz="0" w:space="0" w:color="auto"/>
        <w:left w:val="none" w:sz="0" w:space="0" w:color="auto"/>
        <w:bottom w:val="none" w:sz="0" w:space="0" w:color="auto"/>
        <w:right w:val="none" w:sz="0" w:space="0" w:color="auto"/>
      </w:divBdr>
    </w:div>
    <w:div w:id="1603802506">
      <w:bodyDiv w:val="1"/>
      <w:marLeft w:val="0"/>
      <w:marRight w:val="0"/>
      <w:marTop w:val="0"/>
      <w:marBottom w:val="0"/>
      <w:divBdr>
        <w:top w:val="none" w:sz="0" w:space="0" w:color="auto"/>
        <w:left w:val="none" w:sz="0" w:space="0" w:color="auto"/>
        <w:bottom w:val="none" w:sz="0" w:space="0" w:color="auto"/>
        <w:right w:val="none" w:sz="0" w:space="0" w:color="auto"/>
      </w:divBdr>
    </w:div>
    <w:div w:id="1604611521">
      <w:bodyDiv w:val="1"/>
      <w:marLeft w:val="0"/>
      <w:marRight w:val="0"/>
      <w:marTop w:val="0"/>
      <w:marBottom w:val="0"/>
      <w:divBdr>
        <w:top w:val="none" w:sz="0" w:space="0" w:color="auto"/>
        <w:left w:val="none" w:sz="0" w:space="0" w:color="auto"/>
        <w:bottom w:val="none" w:sz="0" w:space="0" w:color="auto"/>
        <w:right w:val="none" w:sz="0" w:space="0" w:color="auto"/>
      </w:divBdr>
    </w:div>
    <w:div w:id="1605376830">
      <w:bodyDiv w:val="1"/>
      <w:marLeft w:val="0"/>
      <w:marRight w:val="0"/>
      <w:marTop w:val="0"/>
      <w:marBottom w:val="0"/>
      <w:divBdr>
        <w:top w:val="none" w:sz="0" w:space="0" w:color="auto"/>
        <w:left w:val="none" w:sz="0" w:space="0" w:color="auto"/>
        <w:bottom w:val="none" w:sz="0" w:space="0" w:color="auto"/>
        <w:right w:val="none" w:sz="0" w:space="0" w:color="auto"/>
      </w:divBdr>
    </w:div>
    <w:div w:id="1607421291">
      <w:bodyDiv w:val="1"/>
      <w:marLeft w:val="0"/>
      <w:marRight w:val="0"/>
      <w:marTop w:val="0"/>
      <w:marBottom w:val="0"/>
      <w:divBdr>
        <w:top w:val="none" w:sz="0" w:space="0" w:color="auto"/>
        <w:left w:val="none" w:sz="0" w:space="0" w:color="auto"/>
        <w:bottom w:val="none" w:sz="0" w:space="0" w:color="auto"/>
        <w:right w:val="none" w:sz="0" w:space="0" w:color="auto"/>
      </w:divBdr>
    </w:div>
    <w:div w:id="1609580526">
      <w:bodyDiv w:val="1"/>
      <w:marLeft w:val="0"/>
      <w:marRight w:val="0"/>
      <w:marTop w:val="0"/>
      <w:marBottom w:val="0"/>
      <w:divBdr>
        <w:top w:val="none" w:sz="0" w:space="0" w:color="auto"/>
        <w:left w:val="none" w:sz="0" w:space="0" w:color="auto"/>
        <w:bottom w:val="none" w:sz="0" w:space="0" w:color="auto"/>
        <w:right w:val="none" w:sz="0" w:space="0" w:color="auto"/>
      </w:divBdr>
    </w:div>
    <w:div w:id="1609704544">
      <w:bodyDiv w:val="1"/>
      <w:marLeft w:val="0"/>
      <w:marRight w:val="0"/>
      <w:marTop w:val="0"/>
      <w:marBottom w:val="0"/>
      <w:divBdr>
        <w:top w:val="none" w:sz="0" w:space="0" w:color="auto"/>
        <w:left w:val="none" w:sz="0" w:space="0" w:color="auto"/>
        <w:bottom w:val="none" w:sz="0" w:space="0" w:color="auto"/>
        <w:right w:val="none" w:sz="0" w:space="0" w:color="auto"/>
      </w:divBdr>
    </w:div>
    <w:div w:id="1612786126">
      <w:bodyDiv w:val="1"/>
      <w:marLeft w:val="0"/>
      <w:marRight w:val="0"/>
      <w:marTop w:val="0"/>
      <w:marBottom w:val="0"/>
      <w:divBdr>
        <w:top w:val="none" w:sz="0" w:space="0" w:color="auto"/>
        <w:left w:val="none" w:sz="0" w:space="0" w:color="auto"/>
        <w:bottom w:val="none" w:sz="0" w:space="0" w:color="auto"/>
        <w:right w:val="none" w:sz="0" w:space="0" w:color="auto"/>
      </w:divBdr>
    </w:div>
    <w:div w:id="1614508339">
      <w:bodyDiv w:val="1"/>
      <w:marLeft w:val="0"/>
      <w:marRight w:val="0"/>
      <w:marTop w:val="0"/>
      <w:marBottom w:val="0"/>
      <w:divBdr>
        <w:top w:val="none" w:sz="0" w:space="0" w:color="auto"/>
        <w:left w:val="none" w:sz="0" w:space="0" w:color="auto"/>
        <w:bottom w:val="none" w:sz="0" w:space="0" w:color="auto"/>
        <w:right w:val="none" w:sz="0" w:space="0" w:color="auto"/>
      </w:divBdr>
    </w:div>
    <w:div w:id="1615138904">
      <w:bodyDiv w:val="1"/>
      <w:marLeft w:val="0"/>
      <w:marRight w:val="0"/>
      <w:marTop w:val="0"/>
      <w:marBottom w:val="0"/>
      <w:divBdr>
        <w:top w:val="none" w:sz="0" w:space="0" w:color="auto"/>
        <w:left w:val="none" w:sz="0" w:space="0" w:color="auto"/>
        <w:bottom w:val="none" w:sz="0" w:space="0" w:color="auto"/>
        <w:right w:val="none" w:sz="0" w:space="0" w:color="auto"/>
      </w:divBdr>
    </w:div>
    <w:div w:id="1615864800">
      <w:bodyDiv w:val="1"/>
      <w:marLeft w:val="0"/>
      <w:marRight w:val="0"/>
      <w:marTop w:val="0"/>
      <w:marBottom w:val="0"/>
      <w:divBdr>
        <w:top w:val="none" w:sz="0" w:space="0" w:color="auto"/>
        <w:left w:val="none" w:sz="0" w:space="0" w:color="auto"/>
        <w:bottom w:val="none" w:sz="0" w:space="0" w:color="auto"/>
        <w:right w:val="none" w:sz="0" w:space="0" w:color="auto"/>
      </w:divBdr>
    </w:div>
    <w:div w:id="1619070243">
      <w:bodyDiv w:val="1"/>
      <w:marLeft w:val="0"/>
      <w:marRight w:val="0"/>
      <w:marTop w:val="0"/>
      <w:marBottom w:val="0"/>
      <w:divBdr>
        <w:top w:val="none" w:sz="0" w:space="0" w:color="auto"/>
        <w:left w:val="none" w:sz="0" w:space="0" w:color="auto"/>
        <w:bottom w:val="none" w:sz="0" w:space="0" w:color="auto"/>
        <w:right w:val="none" w:sz="0" w:space="0" w:color="auto"/>
      </w:divBdr>
    </w:div>
    <w:div w:id="1619488214">
      <w:bodyDiv w:val="1"/>
      <w:marLeft w:val="0"/>
      <w:marRight w:val="0"/>
      <w:marTop w:val="0"/>
      <w:marBottom w:val="0"/>
      <w:divBdr>
        <w:top w:val="none" w:sz="0" w:space="0" w:color="auto"/>
        <w:left w:val="none" w:sz="0" w:space="0" w:color="auto"/>
        <w:bottom w:val="none" w:sz="0" w:space="0" w:color="auto"/>
        <w:right w:val="none" w:sz="0" w:space="0" w:color="auto"/>
      </w:divBdr>
    </w:div>
    <w:div w:id="1620716934">
      <w:bodyDiv w:val="1"/>
      <w:marLeft w:val="0"/>
      <w:marRight w:val="0"/>
      <w:marTop w:val="0"/>
      <w:marBottom w:val="0"/>
      <w:divBdr>
        <w:top w:val="none" w:sz="0" w:space="0" w:color="auto"/>
        <w:left w:val="none" w:sz="0" w:space="0" w:color="auto"/>
        <w:bottom w:val="none" w:sz="0" w:space="0" w:color="auto"/>
        <w:right w:val="none" w:sz="0" w:space="0" w:color="auto"/>
      </w:divBdr>
    </w:div>
    <w:div w:id="1621298192">
      <w:bodyDiv w:val="1"/>
      <w:marLeft w:val="0"/>
      <w:marRight w:val="0"/>
      <w:marTop w:val="0"/>
      <w:marBottom w:val="0"/>
      <w:divBdr>
        <w:top w:val="none" w:sz="0" w:space="0" w:color="auto"/>
        <w:left w:val="none" w:sz="0" w:space="0" w:color="auto"/>
        <w:bottom w:val="none" w:sz="0" w:space="0" w:color="auto"/>
        <w:right w:val="none" w:sz="0" w:space="0" w:color="auto"/>
      </w:divBdr>
    </w:div>
    <w:div w:id="1622108534">
      <w:bodyDiv w:val="1"/>
      <w:marLeft w:val="0"/>
      <w:marRight w:val="0"/>
      <w:marTop w:val="0"/>
      <w:marBottom w:val="0"/>
      <w:divBdr>
        <w:top w:val="none" w:sz="0" w:space="0" w:color="auto"/>
        <w:left w:val="none" w:sz="0" w:space="0" w:color="auto"/>
        <w:bottom w:val="none" w:sz="0" w:space="0" w:color="auto"/>
        <w:right w:val="none" w:sz="0" w:space="0" w:color="auto"/>
      </w:divBdr>
    </w:div>
    <w:div w:id="1622880824">
      <w:bodyDiv w:val="1"/>
      <w:marLeft w:val="0"/>
      <w:marRight w:val="0"/>
      <w:marTop w:val="0"/>
      <w:marBottom w:val="0"/>
      <w:divBdr>
        <w:top w:val="none" w:sz="0" w:space="0" w:color="auto"/>
        <w:left w:val="none" w:sz="0" w:space="0" w:color="auto"/>
        <w:bottom w:val="none" w:sz="0" w:space="0" w:color="auto"/>
        <w:right w:val="none" w:sz="0" w:space="0" w:color="auto"/>
      </w:divBdr>
    </w:div>
    <w:div w:id="1624386788">
      <w:bodyDiv w:val="1"/>
      <w:marLeft w:val="0"/>
      <w:marRight w:val="0"/>
      <w:marTop w:val="0"/>
      <w:marBottom w:val="0"/>
      <w:divBdr>
        <w:top w:val="none" w:sz="0" w:space="0" w:color="auto"/>
        <w:left w:val="none" w:sz="0" w:space="0" w:color="auto"/>
        <w:bottom w:val="none" w:sz="0" w:space="0" w:color="auto"/>
        <w:right w:val="none" w:sz="0" w:space="0" w:color="auto"/>
      </w:divBdr>
    </w:div>
    <w:div w:id="1624967732">
      <w:bodyDiv w:val="1"/>
      <w:marLeft w:val="0"/>
      <w:marRight w:val="0"/>
      <w:marTop w:val="0"/>
      <w:marBottom w:val="0"/>
      <w:divBdr>
        <w:top w:val="none" w:sz="0" w:space="0" w:color="auto"/>
        <w:left w:val="none" w:sz="0" w:space="0" w:color="auto"/>
        <w:bottom w:val="none" w:sz="0" w:space="0" w:color="auto"/>
        <w:right w:val="none" w:sz="0" w:space="0" w:color="auto"/>
      </w:divBdr>
    </w:div>
    <w:div w:id="1625232486">
      <w:bodyDiv w:val="1"/>
      <w:marLeft w:val="0"/>
      <w:marRight w:val="0"/>
      <w:marTop w:val="0"/>
      <w:marBottom w:val="0"/>
      <w:divBdr>
        <w:top w:val="none" w:sz="0" w:space="0" w:color="auto"/>
        <w:left w:val="none" w:sz="0" w:space="0" w:color="auto"/>
        <w:bottom w:val="none" w:sz="0" w:space="0" w:color="auto"/>
        <w:right w:val="none" w:sz="0" w:space="0" w:color="auto"/>
      </w:divBdr>
    </w:div>
    <w:div w:id="1625307051">
      <w:bodyDiv w:val="1"/>
      <w:marLeft w:val="0"/>
      <w:marRight w:val="0"/>
      <w:marTop w:val="0"/>
      <w:marBottom w:val="0"/>
      <w:divBdr>
        <w:top w:val="none" w:sz="0" w:space="0" w:color="auto"/>
        <w:left w:val="none" w:sz="0" w:space="0" w:color="auto"/>
        <w:bottom w:val="none" w:sz="0" w:space="0" w:color="auto"/>
        <w:right w:val="none" w:sz="0" w:space="0" w:color="auto"/>
      </w:divBdr>
    </w:div>
    <w:div w:id="1626811964">
      <w:bodyDiv w:val="1"/>
      <w:marLeft w:val="0"/>
      <w:marRight w:val="0"/>
      <w:marTop w:val="0"/>
      <w:marBottom w:val="0"/>
      <w:divBdr>
        <w:top w:val="none" w:sz="0" w:space="0" w:color="auto"/>
        <w:left w:val="none" w:sz="0" w:space="0" w:color="auto"/>
        <w:bottom w:val="none" w:sz="0" w:space="0" w:color="auto"/>
        <w:right w:val="none" w:sz="0" w:space="0" w:color="auto"/>
      </w:divBdr>
    </w:div>
    <w:div w:id="1626814166">
      <w:bodyDiv w:val="1"/>
      <w:marLeft w:val="0"/>
      <w:marRight w:val="0"/>
      <w:marTop w:val="0"/>
      <w:marBottom w:val="0"/>
      <w:divBdr>
        <w:top w:val="none" w:sz="0" w:space="0" w:color="auto"/>
        <w:left w:val="none" w:sz="0" w:space="0" w:color="auto"/>
        <w:bottom w:val="none" w:sz="0" w:space="0" w:color="auto"/>
        <w:right w:val="none" w:sz="0" w:space="0" w:color="auto"/>
      </w:divBdr>
    </w:div>
    <w:div w:id="1628778975">
      <w:bodyDiv w:val="1"/>
      <w:marLeft w:val="0"/>
      <w:marRight w:val="0"/>
      <w:marTop w:val="0"/>
      <w:marBottom w:val="0"/>
      <w:divBdr>
        <w:top w:val="none" w:sz="0" w:space="0" w:color="auto"/>
        <w:left w:val="none" w:sz="0" w:space="0" w:color="auto"/>
        <w:bottom w:val="none" w:sz="0" w:space="0" w:color="auto"/>
        <w:right w:val="none" w:sz="0" w:space="0" w:color="auto"/>
      </w:divBdr>
    </w:div>
    <w:div w:id="1629504949">
      <w:bodyDiv w:val="1"/>
      <w:marLeft w:val="0"/>
      <w:marRight w:val="0"/>
      <w:marTop w:val="0"/>
      <w:marBottom w:val="0"/>
      <w:divBdr>
        <w:top w:val="none" w:sz="0" w:space="0" w:color="auto"/>
        <w:left w:val="none" w:sz="0" w:space="0" w:color="auto"/>
        <w:bottom w:val="none" w:sz="0" w:space="0" w:color="auto"/>
        <w:right w:val="none" w:sz="0" w:space="0" w:color="auto"/>
      </w:divBdr>
    </w:div>
    <w:div w:id="1630625335">
      <w:bodyDiv w:val="1"/>
      <w:marLeft w:val="0"/>
      <w:marRight w:val="0"/>
      <w:marTop w:val="0"/>
      <w:marBottom w:val="0"/>
      <w:divBdr>
        <w:top w:val="none" w:sz="0" w:space="0" w:color="auto"/>
        <w:left w:val="none" w:sz="0" w:space="0" w:color="auto"/>
        <w:bottom w:val="none" w:sz="0" w:space="0" w:color="auto"/>
        <w:right w:val="none" w:sz="0" w:space="0" w:color="auto"/>
      </w:divBdr>
    </w:div>
    <w:div w:id="1632588791">
      <w:bodyDiv w:val="1"/>
      <w:marLeft w:val="0"/>
      <w:marRight w:val="0"/>
      <w:marTop w:val="0"/>
      <w:marBottom w:val="0"/>
      <w:divBdr>
        <w:top w:val="none" w:sz="0" w:space="0" w:color="auto"/>
        <w:left w:val="none" w:sz="0" w:space="0" w:color="auto"/>
        <w:bottom w:val="none" w:sz="0" w:space="0" w:color="auto"/>
        <w:right w:val="none" w:sz="0" w:space="0" w:color="auto"/>
      </w:divBdr>
    </w:div>
    <w:div w:id="1632662534">
      <w:bodyDiv w:val="1"/>
      <w:marLeft w:val="0"/>
      <w:marRight w:val="0"/>
      <w:marTop w:val="0"/>
      <w:marBottom w:val="0"/>
      <w:divBdr>
        <w:top w:val="none" w:sz="0" w:space="0" w:color="auto"/>
        <w:left w:val="none" w:sz="0" w:space="0" w:color="auto"/>
        <w:bottom w:val="none" w:sz="0" w:space="0" w:color="auto"/>
        <w:right w:val="none" w:sz="0" w:space="0" w:color="auto"/>
      </w:divBdr>
    </w:div>
    <w:div w:id="1634172873">
      <w:bodyDiv w:val="1"/>
      <w:marLeft w:val="0"/>
      <w:marRight w:val="0"/>
      <w:marTop w:val="0"/>
      <w:marBottom w:val="0"/>
      <w:divBdr>
        <w:top w:val="none" w:sz="0" w:space="0" w:color="auto"/>
        <w:left w:val="none" w:sz="0" w:space="0" w:color="auto"/>
        <w:bottom w:val="none" w:sz="0" w:space="0" w:color="auto"/>
        <w:right w:val="none" w:sz="0" w:space="0" w:color="auto"/>
      </w:divBdr>
    </w:div>
    <w:div w:id="1635482856">
      <w:bodyDiv w:val="1"/>
      <w:marLeft w:val="0"/>
      <w:marRight w:val="0"/>
      <w:marTop w:val="0"/>
      <w:marBottom w:val="0"/>
      <w:divBdr>
        <w:top w:val="none" w:sz="0" w:space="0" w:color="auto"/>
        <w:left w:val="none" w:sz="0" w:space="0" w:color="auto"/>
        <w:bottom w:val="none" w:sz="0" w:space="0" w:color="auto"/>
        <w:right w:val="none" w:sz="0" w:space="0" w:color="auto"/>
      </w:divBdr>
    </w:div>
    <w:div w:id="1638490974">
      <w:bodyDiv w:val="1"/>
      <w:marLeft w:val="0"/>
      <w:marRight w:val="0"/>
      <w:marTop w:val="0"/>
      <w:marBottom w:val="0"/>
      <w:divBdr>
        <w:top w:val="none" w:sz="0" w:space="0" w:color="auto"/>
        <w:left w:val="none" w:sz="0" w:space="0" w:color="auto"/>
        <w:bottom w:val="none" w:sz="0" w:space="0" w:color="auto"/>
        <w:right w:val="none" w:sz="0" w:space="0" w:color="auto"/>
      </w:divBdr>
    </w:div>
    <w:div w:id="1639843761">
      <w:bodyDiv w:val="1"/>
      <w:marLeft w:val="0"/>
      <w:marRight w:val="0"/>
      <w:marTop w:val="0"/>
      <w:marBottom w:val="0"/>
      <w:divBdr>
        <w:top w:val="none" w:sz="0" w:space="0" w:color="auto"/>
        <w:left w:val="none" w:sz="0" w:space="0" w:color="auto"/>
        <w:bottom w:val="none" w:sz="0" w:space="0" w:color="auto"/>
        <w:right w:val="none" w:sz="0" w:space="0" w:color="auto"/>
      </w:divBdr>
    </w:div>
    <w:div w:id="1642271553">
      <w:bodyDiv w:val="1"/>
      <w:marLeft w:val="0"/>
      <w:marRight w:val="0"/>
      <w:marTop w:val="0"/>
      <w:marBottom w:val="0"/>
      <w:divBdr>
        <w:top w:val="none" w:sz="0" w:space="0" w:color="auto"/>
        <w:left w:val="none" w:sz="0" w:space="0" w:color="auto"/>
        <w:bottom w:val="none" w:sz="0" w:space="0" w:color="auto"/>
        <w:right w:val="none" w:sz="0" w:space="0" w:color="auto"/>
      </w:divBdr>
    </w:div>
    <w:div w:id="1642534062">
      <w:bodyDiv w:val="1"/>
      <w:marLeft w:val="0"/>
      <w:marRight w:val="0"/>
      <w:marTop w:val="0"/>
      <w:marBottom w:val="0"/>
      <w:divBdr>
        <w:top w:val="none" w:sz="0" w:space="0" w:color="auto"/>
        <w:left w:val="none" w:sz="0" w:space="0" w:color="auto"/>
        <w:bottom w:val="none" w:sz="0" w:space="0" w:color="auto"/>
        <w:right w:val="none" w:sz="0" w:space="0" w:color="auto"/>
      </w:divBdr>
    </w:div>
    <w:div w:id="1643533304">
      <w:bodyDiv w:val="1"/>
      <w:marLeft w:val="0"/>
      <w:marRight w:val="0"/>
      <w:marTop w:val="0"/>
      <w:marBottom w:val="0"/>
      <w:divBdr>
        <w:top w:val="none" w:sz="0" w:space="0" w:color="auto"/>
        <w:left w:val="none" w:sz="0" w:space="0" w:color="auto"/>
        <w:bottom w:val="none" w:sz="0" w:space="0" w:color="auto"/>
        <w:right w:val="none" w:sz="0" w:space="0" w:color="auto"/>
      </w:divBdr>
    </w:div>
    <w:div w:id="1643846792">
      <w:bodyDiv w:val="1"/>
      <w:marLeft w:val="0"/>
      <w:marRight w:val="0"/>
      <w:marTop w:val="0"/>
      <w:marBottom w:val="0"/>
      <w:divBdr>
        <w:top w:val="none" w:sz="0" w:space="0" w:color="auto"/>
        <w:left w:val="none" w:sz="0" w:space="0" w:color="auto"/>
        <w:bottom w:val="none" w:sz="0" w:space="0" w:color="auto"/>
        <w:right w:val="none" w:sz="0" w:space="0" w:color="auto"/>
      </w:divBdr>
    </w:div>
    <w:div w:id="1644038909">
      <w:bodyDiv w:val="1"/>
      <w:marLeft w:val="0"/>
      <w:marRight w:val="0"/>
      <w:marTop w:val="0"/>
      <w:marBottom w:val="0"/>
      <w:divBdr>
        <w:top w:val="none" w:sz="0" w:space="0" w:color="auto"/>
        <w:left w:val="none" w:sz="0" w:space="0" w:color="auto"/>
        <w:bottom w:val="none" w:sz="0" w:space="0" w:color="auto"/>
        <w:right w:val="none" w:sz="0" w:space="0" w:color="auto"/>
      </w:divBdr>
    </w:div>
    <w:div w:id="1644581760">
      <w:bodyDiv w:val="1"/>
      <w:marLeft w:val="0"/>
      <w:marRight w:val="0"/>
      <w:marTop w:val="0"/>
      <w:marBottom w:val="0"/>
      <w:divBdr>
        <w:top w:val="none" w:sz="0" w:space="0" w:color="auto"/>
        <w:left w:val="none" w:sz="0" w:space="0" w:color="auto"/>
        <w:bottom w:val="none" w:sz="0" w:space="0" w:color="auto"/>
        <w:right w:val="none" w:sz="0" w:space="0" w:color="auto"/>
      </w:divBdr>
    </w:div>
    <w:div w:id="1645086497">
      <w:bodyDiv w:val="1"/>
      <w:marLeft w:val="0"/>
      <w:marRight w:val="0"/>
      <w:marTop w:val="0"/>
      <w:marBottom w:val="0"/>
      <w:divBdr>
        <w:top w:val="none" w:sz="0" w:space="0" w:color="auto"/>
        <w:left w:val="none" w:sz="0" w:space="0" w:color="auto"/>
        <w:bottom w:val="none" w:sz="0" w:space="0" w:color="auto"/>
        <w:right w:val="none" w:sz="0" w:space="0" w:color="auto"/>
      </w:divBdr>
    </w:div>
    <w:div w:id="1645623011">
      <w:bodyDiv w:val="1"/>
      <w:marLeft w:val="0"/>
      <w:marRight w:val="0"/>
      <w:marTop w:val="0"/>
      <w:marBottom w:val="0"/>
      <w:divBdr>
        <w:top w:val="none" w:sz="0" w:space="0" w:color="auto"/>
        <w:left w:val="none" w:sz="0" w:space="0" w:color="auto"/>
        <w:bottom w:val="none" w:sz="0" w:space="0" w:color="auto"/>
        <w:right w:val="none" w:sz="0" w:space="0" w:color="auto"/>
      </w:divBdr>
    </w:div>
    <w:div w:id="1647126747">
      <w:bodyDiv w:val="1"/>
      <w:marLeft w:val="0"/>
      <w:marRight w:val="0"/>
      <w:marTop w:val="0"/>
      <w:marBottom w:val="0"/>
      <w:divBdr>
        <w:top w:val="none" w:sz="0" w:space="0" w:color="auto"/>
        <w:left w:val="none" w:sz="0" w:space="0" w:color="auto"/>
        <w:bottom w:val="none" w:sz="0" w:space="0" w:color="auto"/>
        <w:right w:val="none" w:sz="0" w:space="0" w:color="auto"/>
      </w:divBdr>
    </w:div>
    <w:div w:id="1647203044">
      <w:bodyDiv w:val="1"/>
      <w:marLeft w:val="0"/>
      <w:marRight w:val="0"/>
      <w:marTop w:val="0"/>
      <w:marBottom w:val="0"/>
      <w:divBdr>
        <w:top w:val="none" w:sz="0" w:space="0" w:color="auto"/>
        <w:left w:val="none" w:sz="0" w:space="0" w:color="auto"/>
        <w:bottom w:val="none" w:sz="0" w:space="0" w:color="auto"/>
        <w:right w:val="none" w:sz="0" w:space="0" w:color="auto"/>
      </w:divBdr>
    </w:div>
    <w:div w:id="1650284128">
      <w:bodyDiv w:val="1"/>
      <w:marLeft w:val="0"/>
      <w:marRight w:val="0"/>
      <w:marTop w:val="0"/>
      <w:marBottom w:val="0"/>
      <w:divBdr>
        <w:top w:val="none" w:sz="0" w:space="0" w:color="auto"/>
        <w:left w:val="none" w:sz="0" w:space="0" w:color="auto"/>
        <w:bottom w:val="none" w:sz="0" w:space="0" w:color="auto"/>
        <w:right w:val="none" w:sz="0" w:space="0" w:color="auto"/>
      </w:divBdr>
    </w:div>
    <w:div w:id="1653099878">
      <w:bodyDiv w:val="1"/>
      <w:marLeft w:val="0"/>
      <w:marRight w:val="0"/>
      <w:marTop w:val="0"/>
      <w:marBottom w:val="0"/>
      <w:divBdr>
        <w:top w:val="none" w:sz="0" w:space="0" w:color="auto"/>
        <w:left w:val="none" w:sz="0" w:space="0" w:color="auto"/>
        <w:bottom w:val="none" w:sz="0" w:space="0" w:color="auto"/>
        <w:right w:val="none" w:sz="0" w:space="0" w:color="auto"/>
      </w:divBdr>
    </w:div>
    <w:div w:id="1654068466">
      <w:bodyDiv w:val="1"/>
      <w:marLeft w:val="0"/>
      <w:marRight w:val="0"/>
      <w:marTop w:val="0"/>
      <w:marBottom w:val="0"/>
      <w:divBdr>
        <w:top w:val="none" w:sz="0" w:space="0" w:color="auto"/>
        <w:left w:val="none" w:sz="0" w:space="0" w:color="auto"/>
        <w:bottom w:val="none" w:sz="0" w:space="0" w:color="auto"/>
        <w:right w:val="none" w:sz="0" w:space="0" w:color="auto"/>
      </w:divBdr>
    </w:div>
    <w:div w:id="1656763302">
      <w:bodyDiv w:val="1"/>
      <w:marLeft w:val="0"/>
      <w:marRight w:val="0"/>
      <w:marTop w:val="0"/>
      <w:marBottom w:val="0"/>
      <w:divBdr>
        <w:top w:val="none" w:sz="0" w:space="0" w:color="auto"/>
        <w:left w:val="none" w:sz="0" w:space="0" w:color="auto"/>
        <w:bottom w:val="none" w:sz="0" w:space="0" w:color="auto"/>
        <w:right w:val="none" w:sz="0" w:space="0" w:color="auto"/>
      </w:divBdr>
    </w:div>
    <w:div w:id="1657218833">
      <w:bodyDiv w:val="1"/>
      <w:marLeft w:val="0"/>
      <w:marRight w:val="0"/>
      <w:marTop w:val="0"/>
      <w:marBottom w:val="0"/>
      <w:divBdr>
        <w:top w:val="none" w:sz="0" w:space="0" w:color="auto"/>
        <w:left w:val="none" w:sz="0" w:space="0" w:color="auto"/>
        <w:bottom w:val="none" w:sz="0" w:space="0" w:color="auto"/>
        <w:right w:val="none" w:sz="0" w:space="0" w:color="auto"/>
      </w:divBdr>
    </w:div>
    <w:div w:id="1658218280">
      <w:bodyDiv w:val="1"/>
      <w:marLeft w:val="0"/>
      <w:marRight w:val="0"/>
      <w:marTop w:val="0"/>
      <w:marBottom w:val="0"/>
      <w:divBdr>
        <w:top w:val="none" w:sz="0" w:space="0" w:color="auto"/>
        <w:left w:val="none" w:sz="0" w:space="0" w:color="auto"/>
        <w:bottom w:val="none" w:sz="0" w:space="0" w:color="auto"/>
        <w:right w:val="none" w:sz="0" w:space="0" w:color="auto"/>
      </w:divBdr>
    </w:div>
    <w:div w:id="1658413784">
      <w:bodyDiv w:val="1"/>
      <w:marLeft w:val="0"/>
      <w:marRight w:val="0"/>
      <w:marTop w:val="0"/>
      <w:marBottom w:val="0"/>
      <w:divBdr>
        <w:top w:val="none" w:sz="0" w:space="0" w:color="auto"/>
        <w:left w:val="none" w:sz="0" w:space="0" w:color="auto"/>
        <w:bottom w:val="none" w:sz="0" w:space="0" w:color="auto"/>
        <w:right w:val="none" w:sz="0" w:space="0" w:color="auto"/>
      </w:divBdr>
    </w:div>
    <w:div w:id="1660228874">
      <w:bodyDiv w:val="1"/>
      <w:marLeft w:val="0"/>
      <w:marRight w:val="0"/>
      <w:marTop w:val="0"/>
      <w:marBottom w:val="0"/>
      <w:divBdr>
        <w:top w:val="none" w:sz="0" w:space="0" w:color="auto"/>
        <w:left w:val="none" w:sz="0" w:space="0" w:color="auto"/>
        <w:bottom w:val="none" w:sz="0" w:space="0" w:color="auto"/>
        <w:right w:val="none" w:sz="0" w:space="0" w:color="auto"/>
      </w:divBdr>
    </w:div>
    <w:div w:id="1661497392">
      <w:bodyDiv w:val="1"/>
      <w:marLeft w:val="0"/>
      <w:marRight w:val="0"/>
      <w:marTop w:val="0"/>
      <w:marBottom w:val="0"/>
      <w:divBdr>
        <w:top w:val="none" w:sz="0" w:space="0" w:color="auto"/>
        <w:left w:val="none" w:sz="0" w:space="0" w:color="auto"/>
        <w:bottom w:val="none" w:sz="0" w:space="0" w:color="auto"/>
        <w:right w:val="none" w:sz="0" w:space="0" w:color="auto"/>
      </w:divBdr>
    </w:div>
    <w:div w:id="1662465480">
      <w:bodyDiv w:val="1"/>
      <w:marLeft w:val="0"/>
      <w:marRight w:val="0"/>
      <w:marTop w:val="0"/>
      <w:marBottom w:val="0"/>
      <w:divBdr>
        <w:top w:val="none" w:sz="0" w:space="0" w:color="auto"/>
        <w:left w:val="none" w:sz="0" w:space="0" w:color="auto"/>
        <w:bottom w:val="none" w:sz="0" w:space="0" w:color="auto"/>
        <w:right w:val="none" w:sz="0" w:space="0" w:color="auto"/>
      </w:divBdr>
    </w:div>
    <w:div w:id="1665083368">
      <w:bodyDiv w:val="1"/>
      <w:marLeft w:val="0"/>
      <w:marRight w:val="0"/>
      <w:marTop w:val="0"/>
      <w:marBottom w:val="0"/>
      <w:divBdr>
        <w:top w:val="none" w:sz="0" w:space="0" w:color="auto"/>
        <w:left w:val="none" w:sz="0" w:space="0" w:color="auto"/>
        <w:bottom w:val="none" w:sz="0" w:space="0" w:color="auto"/>
        <w:right w:val="none" w:sz="0" w:space="0" w:color="auto"/>
      </w:divBdr>
    </w:div>
    <w:div w:id="1666935969">
      <w:bodyDiv w:val="1"/>
      <w:marLeft w:val="0"/>
      <w:marRight w:val="0"/>
      <w:marTop w:val="0"/>
      <w:marBottom w:val="0"/>
      <w:divBdr>
        <w:top w:val="none" w:sz="0" w:space="0" w:color="auto"/>
        <w:left w:val="none" w:sz="0" w:space="0" w:color="auto"/>
        <w:bottom w:val="none" w:sz="0" w:space="0" w:color="auto"/>
        <w:right w:val="none" w:sz="0" w:space="0" w:color="auto"/>
      </w:divBdr>
    </w:div>
    <w:div w:id="1667130679">
      <w:bodyDiv w:val="1"/>
      <w:marLeft w:val="0"/>
      <w:marRight w:val="0"/>
      <w:marTop w:val="0"/>
      <w:marBottom w:val="0"/>
      <w:divBdr>
        <w:top w:val="none" w:sz="0" w:space="0" w:color="auto"/>
        <w:left w:val="none" w:sz="0" w:space="0" w:color="auto"/>
        <w:bottom w:val="none" w:sz="0" w:space="0" w:color="auto"/>
        <w:right w:val="none" w:sz="0" w:space="0" w:color="auto"/>
      </w:divBdr>
    </w:div>
    <w:div w:id="1667592936">
      <w:bodyDiv w:val="1"/>
      <w:marLeft w:val="0"/>
      <w:marRight w:val="0"/>
      <w:marTop w:val="0"/>
      <w:marBottom w:val="0"/>
      <w:divBdr>
        <w:top w:val="none" w:sz="0" w:space="0" w:color="auto"/>
        <w:left w:val="none" w:sz="0" w:space="0" w:color="auto"/>
        <w:bottom w:val="none" w:sz="0" w:space="0" w:color="auto"/>
        <w:right w:val="none" w:sz="0" w:space="0" w:color="auto"/>
      </w:divBdr>
    </w:div>
    <w:div w:id="1670451019">
      <w:bodyDiv w:val="1"/>
      <w:marLeft w:val="0"/>
      <w:marRight w:val="0"/>
      <w:marTop w:val="0"/>
      <w:marBottom w:val="0"/>
      <w:divBdr>
        <w:top w:val="none" w:sz="0" w:space="0" w:color="auto"/>
        <w:left w:val="none" w:sz="0" w:space="0" w:color="auto"/>
        <w:bottom w:val="none" w:sz="0" w:space="0" w:color="auto"/>
        <w:right w:val="none" w:sz="0" w:space="0" w:color="auto"/>
      </w:divBdr>
    </w:div>
    <w:div w:id="1670674763">
      <w:bodyDiv w:val="1"/>
      <w:marLeft w:val="0"/>
      <w:marRight w:val="0"/>
      <w:marTop w:val="0"/>
      <w:marBottom w:val="0"/>
      <w:divBdr>
        <w:top w:val="none" w:sz="0" w:space="0" w:color="auto"/>
        <w:left w:val="none" w:sz="0" w:space="0" w:color="auto"/>
        <w:bottom w:val="none" w:sz="0" w:space="0" w:color="auto"/>
        <w:right w:val="none" w:sz="0" w:space="0" w:color="auto"/>
      </w:divBdr>
    </w:div>
    <w:div w:id="1671443058">
      <w:bodyDiv w:val="1"/>
      <w:marLeft w:val="0"/>
      <w:marRight w:val="0"/>
      <w:marTop w:val="0"/>
      <w:marBottom w:val="0"/>
      <w:divBdr>
        <w:top w:val="none" w:sz="0" w:space="0" w:color="auto"/>
        <w:left w:val="none" w:sz="0" w:space="0" w:color="auto"/>
        <w:bottom w:val="none" w:sz="0" w:space="0" w:color="auto"/>
        <w:right w:val="none" w:sz="0" w:space="0" w:color="auto"/>
      </w:divBdr>
    </w:div>
    <w:div w:id="1671716290">
      <w:bodyDiv w:val="1"/>
      <w:marLeft w:val="0"/>
      <w:marRight w:val="0"/>
      <w:marTop w:val="0"/>
      <w:marBottom w:val="0"/>
      <w:divBdr>
        <w:top w:val="none" w:sz="0" w:space="0" w:color="auto"/>
        <w:left w:val="none" w:sz="0" w:space="0" w:color="auto"/>
        <w:bottom w:val="none" w:sz="0" w:space="0" w:color="auto"/>
        <w:right w:val="none" w:sz="0" w:space="0" w:color="auto"/>
      </w:divBdr>
    </w:div>
    <w:div w:id="1674455867">
      <w:bodyDiv w:val="1"/>
      <w:marLeft w:val="0"/>
      <w:marRight w:val="0"/>
      <w:marTop w:val="0"/>
      <w:marBottom w:val="0"/>
      <w:divBdr>
        <w:top w:val="none" w:sz="0" w:space="0" w:color="auto"/>
        <w:left w:val="none" w:sz="0" w:space="0" w:color="auto"/>
        <w:bottom w:val="none" w:sz="0" w:space="0" w:color="auto"/>
        <w:right w:val="none" w:sz="0" w:space="0" w:color="auto"/>
      </w:divBdr>
    </w:div>
    <w:div w:id="1679044877">
      <w:bodyDiv w:val="1"/>
      <w:marLeft w:val="0"/>
      <w:marRight w:val="0"/>
      <w:marTop w:val="0"/>
      <w:marBottom w:val="0"/>
      <w:divBdr>
        <w:top w:val="none" w:sz="0" w:space="0" w:color="auto"/>
        <w:left w:val="none" w:sz="0" w:space="0" w:color="auto"/>
        <w:bottom w:val="none" w:sz="0" w:space="0" w:color="auto"/>
        <w:right w:val="none" w:sz="0" w:space="0" w:color="auto"/>
      </w:divBdr>
    </w:div>
    <w:div w:id="1679385849">
      <w:bodyDiv w:val="1"/>
      <w:marLeft w:val="0"/>
      <w:marRight w:val="0"/>
      <w:marTop w:val="0"/>
      <w:marBottom w:val="0"/>
      <w:divBdr>
        <w:top w:val="none" w:sz="0" w:space="0" w:color="auto"/>
        <w:left w:val="none" w:sz="0" w:space="0" w:color="auto"/>
        <w:bottom w:val="none" w:sz="0" w:space="0" w:color="auto"/>
        <w:right w:val="none" w:sz="0" w:space="0" w:color="auto"/>
      </w:divBdr>
    </w:div>
    <w:div w:id="1679648189">
      <w:bodyDiv w:val="1"/>
      <w:marLeft w:val="0"/>
      <w:marRight w:val="0"/>
      <w:marTop w:val="0"/>
      <w:marBottom w:val="0"/>
      <w:divBdr>
        <w:top w:val="none" w:sz="0" w:space="0" w:color="auto"/>
        <w:left w:val="none" w:sz="0" w:space="0" w:color="auto"/>
        <w:bottom w:val="none" w:sz="0" w:space="0" w:color="auto"/>
        <w:right w:val="none" w:sz="0" w:space="0" w:color="auto"/>
      </w:divBdr>
    </w:div>
    <w:div w:id="1679697837">
      <w:bodyDiv w:val="1"/>
      <w:marLeft w:val="0"/>
      <w:marRight w:val="0"/>
      <w:marTop w:val="0"/>
      <w:marBottom w:val="0"/>
      <w:divBdr>
        <w:top w:val="none" w:sz="0" w:space="0" w:color="auto"/>
        <w:left w:val="none" w:sz="0" w:space="0" w:color="auto"/>
        <w:bottom w:val="none" w:sz="0" w:space="0" w:color="auto"/>
        <w:right w:val="none" w:sz="0" w:space="0" w:color="auto"/>
      </w:divBdr>
    </w:div>
    <w:div w:id="1679769478">
      <w:bodyDiv w:val="1"/>
      <w:marLeft w:val="0"/>
      <w:marRight w:val="0"/>
      <w:marTop w:val="0"/>
      <w:marBottom w:val="0"/>
      <w:divBdr>
        <w:top w:val="none" w:sz="0" w:space="0" w:color="auto"/>
        <w:left w:val="none" w:sz="0" w:space="0" w:color="auto"/>
        <w:bottom w:val="none" w:sz="0" w:space="0" w:color="auto"/>
        <w:right w:val="none" w:sz="0" w:space="0" w:color="auto"/>
      </w:divBdr>
    </w:div>
    <w:div w:id="1680082757">
      <w:bodyDiv w:val="1"/>
      <w:marLeft w:val="0"/>
      <w:marRight w:val="0"/>
      <w:marTop w:val="0"/>
      <w:marBottom w:val="0"/>
      <w:divBdr>
        <w:top w:val="none" w:sz="0" w:space="0" w:color="auto"/>
        <w:left w:val="none" w:sz="0" w:space="0" w:color="auto"/>
        <w:bottom w:val="none" w:sz="0" w:space="0" w:color="auto"/>
        <w:right w:val="none" w:sz="0" w:space="0" w:color="auto"/>
      </w:divBdr>
    </w:div>
    <w:div w:id="1681270568">
      <w:bodyDiv w:val="1"/>
      <w:marLeft w:val="0"/>
      <w:marRight w:val="0"/>
      <w:marTop w:val="0"/>
      <w:marBottom w:val="0"/>
      <w:divBdr>
        <w:top w:val="none" w:sz="0" w:space="0" w:color="auto"/>
        <w:left w:val="none" w:sz="0" w:space="0" w:color="auto"/>
        <w:bottom w:val="none" w:sz="0" w:space="0" w:color="auto"/>
        <w:right w:val="none" w:sz="0" w:space="0" w:color="auto"/>
      </w:divBdr>
    </w:div>
    <w:div w:id="1682078250">
      <w:bodyDiv w:val="1"/>
      <w:marLeft w:val="0"/>
      <w:marRight w:val="0"/>
      <w:marTop w:val="0"/>
      <w:marBottom w:val="0"/>
      <w:divBdr>
        <w:top w:val="none" w:sz="0" w:space="0" w:color="auto"/>
        <w:left w:val="none" w:sz="0" w:space="0" w:color="auto"/>
        <w:bottom w:val="none" w:sz="0" w:space="0" w:color="auto"/>
        <w:right w:val="none" w:sz="0" w:space="0" w:color="auto"/>
      </w:divBdr>
    </w:div>
    <w:div w:id="1685011857">
      <w:bodyDiv w:val="1"/>
      <w:marLeft w:val="0"/>
      <w:marRight w:val="0"/>
      <w:marTop w:val="0"/>
      <w:marBottom w:val="0"/>
      <w:divBdr>
        <w:top w:val="none" w:sz="0" w:space="0" w:color="auto"/>
        <w:left w:val="none" w:sz="0" w:space="0" w:color="auto"/>
        <w:bottom w:val="none" w:sz="0" w:space="0" w:color="auto"/>
        <w:right w:val="none" w:sz="0" w:space="0" w:color="auto"/>
      </w:divBdr>
    </w:div>
    <w:div w:id="1686208273">
      <w:bodyDiv w:val="1"/>
      <w:marLeft w:val="0"/>
      <w:marRight w:val="0"/>
      <w:marTop w:val="0"/>
      <w:marBottom w:val="0"/>
      <w:divBdr>
        <w:top w:val="none" w:sz="0" w:space="0" w:color="auto"/>
        <w:left w:val="none" w:sz="0" w:space="0" w:color="auto"/>
        <w:bottom w:val="none" w:sz="0" w:space="0" w:color="auto"/>
        <w:right w:val="none" w:sz="0" w:space="0" w:color="auto"/>
      </w:divBdr>
    </w:div>
    <w:div w:id="1686443649">
      <w:bodyDiv w:val="1"/>
      <w:marLeft w:val="0"/>
      <w:marRight w:val="0"/>
      <w:marTop w:val="0"/>
      <w:marBottom w:val="0"/>
      <w:divBdr>
        <w:top w:val="none" w:sz="0" w:space="0" w:color="auto"/>
        <w:left w:val="none" w:sz="0" w:space="0" w:color="auto"/>
        <w:bottom w:val="none" w:sz="0" w:space="0" w:color="auto"/>
        <w:right w:val="none" w:sz="0" w:space="0" w:color="auto"/>
      </w:divBdr>
    </w:div>
    <w:div w:id="1686982744">
      <w:bodyDiv w:val="1"/>
      <w:marLeft w:val="0"/>
      <w:marRight w:val="0"/>
      <w:marTop w:val="0"/>
      <w:marBottom w:val="0"/>
      <w:divBdr>
        <w:top w:val="none" w:sz="0" w:space="0" w:color="auto"/>
        <w:left w:val="none" w:sz="0" w:space="0" w:color="auto"/>
        <w:bottom w:val="none" w:sz="0" w:space="0" w:color="auto"/>
        <w:right w:val="none" w:sz="0" w:space="0" w:color="auto"/>
      </w:divBdr>
    </w:div>
    <w:div w:id="1688602244">
      <w:bodyDiv w:val="1"/>
      <w:marLeft w:val="0"/>
      <w:marRight w:val="0"/>
      <w:marTop w:val="0"/>
      <w:marBottom w:val="0"/>
      <w:divBdr>
        <w:top w:val="none" w:sz="0" w:space="0" w:color="auto"/>
        <w:left w:val="none" w:sz="0" w:space="0" w:color="auto"/>
        <w:bottom w:val="none" w:sz="0" w:space="0" w:color="auto"/>
        <w:right w:val="none" w:sz="0" w:space="0" w:color="auto"/>
      </w:divBdr>
    </w:div>
    <w:div w:id="1689409965">
      <w:bodyDiv w:val="1"/>
      <w:marLeft w:val="0"/>
      <w:marRight w:val="0"/>
      <w:marTop w:val="0"/>
      <w:marBottom w:val="0"/>
      <w:divBdr>
        <w:top w:val="none" w:sz="0" w:space="0" w:color="auto"/>
        <w:left w:val="none" w:sz="0" w:space="0" w:color="auto"/>
        <w:bottom w:val="none" w:sz="0" w:space="0" w:color="auto"/>
        <w:right w:val="none" w:sz="0" w:space="0" w:color="auto"/>
      </w:divBdr>
    </w:div>
    <w:div w:id="1689985694">
      <w:bodyDiv w:val="1"/>
      <w:marLeft w:val="0"/>
      <w:marRight w:val="0"/>
      <w:marTop w:val="0"/>
      <w:marBottom w:val="0"/>
      <w:divBdr>
        <w:top w:val="none" w:sz="0" w:space="0" w:color="auto"/>
        <w:left w:val="none" w:sz="0" w:space="0" w:color="auto"/>
        <w:bottom w:val="none" w:sz="0" w:space="0" w:color="auto"/>
        <w:right w:val="none" w:sz="0" w:space="0" w:color="auto"/>
      </w:divBdr>
    </w:div>
    <w:div w:id="1690377184">
      <w:bodyDiv w:val="1"/>
      <w:marLeft w:val="0"/>
      <w:marRight w:val="0"/>
      <w:marTop w:val="0"/>
      <w:marBottom w:val="0"/>
      <w:divBdr>
        <w:top w:val="none" w:sz="0" w:space="0" w:color="auto"/>
        <w:left w:val="none" w:sz="0" w:space="0" w:color="auto"/>
        <w:bottom w:val="none" w:sz="0" w:space="0" w:color="auto"/>
        <w:right w:val="none" w:sz="0" w:space="0" w:color="auto"/>
      </w:divBdr>
    </w:div>
    <w:div w:id="1691101450">
      <w:bodyDiv w:val="1"/>
      <w:marLeft w:val="0"/>
      <w:marRight w:val="0"/>
      <w:marTop w:val="0"/>
      <w:marBottom w:val="0"/>
      <w:divBdr>
        <w:top w:val="none" w:sz="0" w:space="0" w:color="auto"/>
        <w:left w:val="none" w:sz="0" w:space="0" w:color="auto"/>
        <w:bottom w:val="none" w:sz="0" w:space="0" w:color="auto"/>
        <w:right w:val="none" w:sz="0" w:space="0" w:color="auto"/>
      </w:divBdr>
    </w:div>
    <w:div w:id="1692223935">
      <w:bodyDiv w:val="1"/>
      <w:marLeft w:val="0"/>
      <w:marRight w:val="0"/>
      <w:marTop w:val="0"/>
      <w:marBottom w:val="0"/>
      <w:divBdr>
        <w:top w:val="none" w:sz="0" w:space="0" w:color="auto"/>
        <w:left w:val="none" w:sz="0" w:space="0" w:color="auto"/>
        <w:bottom w:val="none" w:sz="0" w:space="0" w:color="auto"/>
        <w:right w:val="none" w:sz="0" w:space="0" w:color="auto"/>
      </w:divBdr>
    </w:div>
    <w:div w:id="1692949041">
      <w:bodyDiv w:val="1"/>
      <w:marLeft w:val="0"/>
      <w:marRight w:val="0"/>
      <w:marTop w:val="0"/>
      <w:marBottom w:val="0"/>
      <w:divBdr>
        <w:top w:val="none" w:sz="0" w:space="0" w:color="auto"/>
        <w:left w:val="none" w:sz="0" w:space="0" w:color="auto"/>
        <w:bottom w:val="none" w:sz="0" w:space="0" w:color="auto"/>
        <w:right w:val="none" w:sz="0" w:space="0" w:color="auto"/>
      </w:divBdr>
    </w:div>
    <w:div w:id="1693532367">
      <w:bodyDiv w:val="1"/>
      <w:marLeft w:val="0"/>
      <w:marRight w:val="0"/>
      <w:marTop w:val="0"/>
      <w:marBottom w:val="0"/>
      <w:divBdr>
        <w:top w:val="none" w:sz="0" w:space="0" w:color="auto"/>
        <w:left w:val="none" w:sz="0" w:space="0" w:color="auto"/>
        <w:bottom w:val="none" w:sz="0" w:space="0" w:color="auto"/>
        <w:right w:val="none" w:sz="0" w:space="0" w:color="auto"/>
      </w:divBdr>
    </w:div>
    <w:div w:id="1693798212">
      <w:bodyDiv w:val="1"/>
      <w:marLeft w:val="0"/>
      <w:marRight w:val="0"/>
      <w:marTop w:val="0"/>
      <w:marBottom w:val="0"/>
      <w:divBdr>
        <w:top w:val="none" w:sz="0" w:space="0" w:color="auto"/>
        <w:left w:val="none" w:sz="0" w:space="0" w:color="auto"/>
        <w:bottom w:val="none" w:sz="0" w:space="0" w:color="auto"/>
        <w:right w:val="none" w:sz="0" w:space="0" w:color="auto"/>
      </w:divBdr>
    </w:div>
    <w:div w:id="1694113923">
      <w:bodyDiv w:val="1"/>
      <w:marLeft w:val="0"/>
      <w:marRight w:val="0"/>
      <w:marTop w:val="0"/>
      <w:marBottom w:val="0"/>
      <w:divBdr>
        <w:top w:val="none" w:sz="0" w:space="0" w:color="auto"/>
        <w:left w:val="none" w:sz="0" w:space="0" w:color="auto"/>
        <w:bottom w:val="none" w:sz="0" w:space="0" w:color="auto"/>
        <w:right w:val="none" w:sz="0" w:space="0" w:color="auto"/>
      </w:divBdr>
    </w:div>
    <w:div w:id="1694458165">
      <w:bodyDiv w:val="1"/>
      <w:marLeft w:val="0"/>
      <w:marRight w:val="0"/>
      <w:marTop w:val="0"/>
      <w:marBottom w:val="0"/>
      <w:divBdr>
        <w:top w:val="none" w:sz="0" w:space="0" w:color="auto"/>
        <w:left w:val="none" w:sz="0" w:space="0" w:color="auto"/>
        <w:bottom w:val="none" w:sz="0" w:space="0" w:color="auto"/>
        <w:right w:val="none" w:sz="0" w:space="0" w:color="auto"/>
      </w:divBdr>
    </w:div>
    <w:div w:id="1695417949">
      <w:bodyDiv w:val="1"/>
      <w:marLeft w:val="0"/>
      <w:marRight w:val="0"/>
      <w:marTop w:val="0"/>
      <w:marBottom w:val="0"/>
      <w:divBdr>
        <w:top w:val="none" w:sz="0" w:space="0" w:color="auto"/>
        <w:left w:val="none" w:sz="0" w:space="0" w:color="auto"/>
        <w:bottom w:val="none" w:sz="0" w:space="0" w:color="auto"/>
        <w:right w:val="none" w:sz="0" w:space="0" w:color="auto"/>
      </w:divBdr>
    </w:div>
    <w:div w:id="1696692036">
      <w:bodyDiv w:val="1"/>
      <w:marLeft w:val="0"/>
      <w:marRight w:val="0"/>
      <w:marTop w:val="0"/>
      <w:marBottom w:val="0"/>
      <w:divBdr>
        <w:top w:val="none" w:sz="0" w:space="0" w:color="auto"/>
        <w:left w:val="none" w:sz="0" w:space="0" w:color="auto"/>
        <w:bottom w:val="none" w:sz="0" w:space="0" w:color="auto"/>
        <w:right w:val="none" w:sz="0" w:space="0" w:color="auto"/>
      </w:divBdr>
    </w:div>
    <w:div w:id="1697390236">
      <w:bodyDiv w:val="1"/>
      <w:marLeft w:val="0"/>
      <w:marRight w:val="0"/>
      <w:marTop w:val="0"/>
      <w:marBottom w:val="0"/>
      <w:divBdr>
        <w:top w:val="none" w:sz="0" w:space="0" w:color="auto"/>
        <w:left w:val="none" w:sz="0" w:space="0" w:color="auto"/>
        <w:bottom w:val="none" w:sz="0" w:space="0" w:color="auto"/>
        <w:right w:val="none" w:sz="0" w:space="0" w:color="auto"/>
      </w:divBdr>
    </w:div>
    <w:div w:id="1698583999">
      <w:bodyDiv w:val="1"/>
      <w:marLeft w:val="0"/>
      <w:marRight w:val="0"/>
      <w:marTop w:val="0"/>
      <w:marBottom w:val="0"/>
      <w:divBdr>
        <w:top w:val="none" w:sz="0" w:space="0" w:color="auto"/>
        <w:left w:val="none" w:sz="0" w:space="0" w:color="auto"/>
        <w:bottom w:val="none" w:sz="0" w:space="0" w:color="auto"/>
        <w:right w:val="none" w:sz="0" w:space="0" w:color="auto"/>
      </w:divBdr>
    </w:div>
    <w:div w:id="1698773634">
      <w:bodyDiv w:val="1"/>
      <w:marLeft w:val="0"/>
      <w:marRight w:val="0"/>
      <w:marTop w:val="0"/>
      <w:marBottom w:val="0"/>
      <w:divBdr>
        <w:top w:val="none" w:sz="0" w:space="0" w:color="auto"/>
        <w:left w:val="none" w:sz="0" w:space="0" w:color="auto"/>
        <w:bottom w:val="none" w:sz="0" w:space="0" w:color="auto"/>
        <w:right w:val="none" w:sz="0" w:space="0" w:color="auto"/>
      </w:divBdr>
    </w:div>
    <w:div w:id="1699163385">
      <w:bodyDiv w:val="1"/>
      <w:marLeft w:val="0"/>
      <w:marRight w:val="0"/>
      <w:marTop w:val="0"/>
      <w:marBottom w:val="0"/>
      <w:divBdr>
        <w:top w:val="none" w:sz="0" w:space="0" w:color="auto"/>
        <w:left w:val="none" w:sz="0" w:space="0" w:color="auto"/>
        <w:bottom w:val="none" w:sz="0" w:space="0" w:color="auto"/>
        <w:right w:val="none" w:sz="0" w:space="0" w:color="auto"/>
      </w:divBdr>
    </w:div>
    <w:div w:id="1700160584">
      <w:bodyDiv w:val="1"/>
      <w:marLeft w:val="0"/>
      <w:marRight w:val="0"/>
      <w:marTop w:val="0"/>
      <w:marBottom w:val="0"/>
      <w:divBdr>
        <w:top w:val="none" w:sz="0" w:space="0" w:color="auto"/>
        <w:left w:val="none" w:sz="0" w:space="0" w:color="auto"/>
        <w:bottom w:val="none" w:sz="0" w:space="0" w:color="auto"/>
        <w:right w:val="none" w:sz="0" w:space="0" w:color="auto"/>
      </w:divBdr>
    </w:div>
    <w:div w:id="1700666131">
      <w:bodyDiv w:val="1"/>
      <w:marLeft w:val="0"/>
      <w:marRight w:val="0"/>
      <w:marTop w:val="0"/>
      <w:marBottom w:val="0"/>
      <w:divBdr>
        <w:top w:val="none" w:sz="0" w:space="0" w:color="auto"/>
        <w:left w:val="none" w:sz="0" w:space="0" w:color="auto"/>
        <w:bottom w:val="none" w:sz="0" w:space="0" w:color="auto"/>
        <w:right w:val="none" w:sz="0" w:space="0" w:color="auto"/>
      </w:divBdr>
    </w:div>
    <w:div w:id="1701932107">
      <w:bodyDiv w:val="1"/>
      <w:marLeft w:val="0"/>
      <w:marRight w:val="0"/>
      <w:marTop w:val="0"/>
      <w:marBottom w:val="0"/>
      <w:divBdr>
        <w:top w:val="none" w:sz="0" w:space="0" w:color="auto"/>
        <w:left w:val="none" w:sz="0" w:space="0" w:color="auto"/>
        <w:bottom w:val="none" w:sz="0" w:space="0" w:color="auto"/>
        <w:right w:val="none" w:sz="0" w:space="0" w:color="auto"/>
      </w:divBdr>
    </w:div>
    <w:div w:id="1703480487">
      <w:bodyDiv w:val="1"/>
      <w:marLeft w:val="0"/>
      <w:marRight w:val="0"/>
      <w:marTop w:val="0"/>
      <w:marBottom w:val="0"/>
      <w:divBdr>
        <w:top w:val="none" w:sz="0" w:space="0" w:color="auto"/>
        <w:left w:val="none" w:sz="0" w:space="0" w:color="auto"/>
        <w:bottom w:val="none" w:sz="0" w:space="0" w:color="auto"/>
        <w:right w:val="none" w:sz="0" w:space="0" w:color="auto"/>
      </w:divBdr>
    </w:div>
    <w:div w:id="1705325604">
      <w:bodyDiv w:val="1"/>
      <w:marLeft w:val="0"/>
      <w:marRight w:val="0"/>
      <w:marTop w:val="0"/>
      <w:marBottom w:val="0"/>
      <w:divBdr>
        <w:top w:val="none" w:sz="0" w:space="0" w:color="auto"/>
        <w:left w:val="none" w:sz="0" w:space="0" w:color="auto"/>
        <w:bottom w:val="none" w:sz="0" w:space="0" w:color="auto"/>
        <w:right w:val="none" w:sz="0" w:space="0" w:color="auto"/>
      </w:divBdr>
    </w:div>
    <w:div w:id="1705864323">
      <w:bodyDiv w:val="1"/>
      <w:marLeft w:val="0"/>
      <w:marRight w:val="0"/>
      <w:marTop w:val="0"/>
      <w:marBottom w:val="0"/>
      <w:divBdr>
        <w:top w:val="none" w:sz="0" w:space="0" w:color="auto"/>
        <w:left w:val="none" w:sz="0" w:space="0" w:color="auto"/>
        <w:bottom w:val="none" w:sz="0" w:space="0" w:color="auto"/>
        <w:right w:val="none" w:sz="0" w:space="0" w:color="auto"/>
      </w:divBdr>
    </w:div>
    <w:div w:id="1706055839">
      <w:bodyDiv w:val="1"/>
      <w:marLeft w:val="0"/>
      <w:marRight w:val="0"/>
      <w:marTop w:val="0"/>
      <w:marBottom w:val="0"/>
      <w:divBdr>
        <w:top w:val="none" w:sz="0" w:space="0" w:color="auto"/>
        <w:left w:val="none" w:sz="0" w:space="0" w:color="auto"/>
        <w:bottom w:val="none" w:sz="0" w:space="0" w:color="auto"/>
        <w:right w:val="none" w:sz="0" w:space="0" w:color="auto"/>
      </w:divBdr>
    </w:div>
    <w:div w:id="1707100867">
      <w:bodyDiv w:val="1"/>
      <w:marLeft w:val="0"/>
      <w:marRight w:val="0"/>
      <w:marTop w:val="0"/>
      <w:marBottom w:val="0"/>
      <w:divBdr>
        <w:top w:val="none" w:sz="0" w:space="0" w:color="auto"/>
        <w:left w:val="none" w:sz="0" w:space="0" w:color="auto"/>
        <w:bottom w:val="none" w:sz="0" w:space="0" w:color="auto"/>
        <w:right w:val="none" w:sz="0" w:space="0" w:color="auto"/>
      </w:divBdr>
    </w:div>
    <w:div w:id="1707212852">
      <w:bodyDiv w:val="1"/>
      <w:marLeft w:val="0"/>
      <w:marRight w:val="0"/>
      <w:marTop w:val="0"/>
      <w:marBottom w:val="0"/>
      <w:divBdr>
        <w:top w:val="none" w:sz="0" w:space="0" w:color="auto"/>
        <w:left w:val="none" w:sz="0" w:space="0" w:color="auto"/>
        <w:bottom w:val="none" w:sz="0" w:space="0" w:color="auto"/>
        <w:right w:val="none" w:sz="0" w:space="0" w:color="auto"/>
      </w:divBdr>
    </w:div>
    <w:div w:id="1710373102">
      <w:bodyDiv w:val="1"/>
      <w:marLeft w:val="0"/>
      <w:marRight w:val="0"/>
      <w:marTop w:val="0"/>
      <w:marBottom w:val="0"/>
      <w:divBdr>
        <w:top w:val="none" w:sz="0" w:space="0" w:color="auto"/>
        <w:left w:val="none" w:sz="0" w:space="0" w:color="auto"/>
        <w:bottom w:val="none" w:sz="0" w:space="0" w:color="auto"/>
        <w:right w:val="none" w:sz="0" w:space="0" w:color="auto"/>
      </w:divBdr>
    </w:div>
    <w:div w:id="1710645722">
      <w:bodyDiv w:val="1"/>
      <w:marLeft w:val="0"/>
      <w:marRight w:val="0"/>
      <w:marTop w:val="0"/>
      <w:marBottom w:val="0"/>
      <w:divBdr>
        <w:top w:val="none" w:sz="0" w:space="0" w:color="auto"/>
        <w:left w:val="none" w:sz="0" w:space="0" w:color="auto"/>
        <w:bottom w:val="none" w:sz="0" w:space="0" w:color="auto"/>
        <w:right w:val="none" w:sz="0" w:space="0" w:color="auto"/>
      </w:divBdr>
    </w:div>
    <w:div w:id="1711026231">
      <w:bodyDiv w:val="1"/>
      <w:marLeft w:val="0"/>
      <w:marRight w:val="0"/>
      <w:marTop w:val="0"/>
      <w:marBottom w:val="0"/>
      <w:divBdr>
        <w:top w:val="none" w:sz="0" w:space="0" w:color="auto"/>
        <w:left w:val="none" w:sz="0" w:space="0" w:color="auto"/>
        <w:bottom w:val="none" w:sz="0" w:space="0" w:color="auto"/>
        <w:right w:val="none" w:sz="0" w:space="0" w:color="auto"/>
      </w:divBdr>
    </w:div>
    <w:div w:id="1711805879">
      <w:bodyDiv w:val="1"/>
      <w:marLeft w:val="0"/>
      <w:marRight w:val="0"/>
      <w:marTop w:val="0"/>
      <w:marBottom w:val="0"/>
      <w:divBdr>
        <w:top w:val="none" w:sz="0" w:space="0" w:color="auto"/>
        <w:left w:val="none" w:sz="0" w:space="0" w:color="auto"/>
        <w:bottom w:val="none" w:sz="0" w:space="0" w:color="auto"/>
        <w:right w:val="none" w:sz="0" w:space="0" w:color="auto"/>
      </w:divBdr>
    </w:div>
    <w:div w:id="1711880692">
      <w:bodyDiv w:val="1"/>
      <w:marLeft w:val="0"/>
      <w:marRight w:val="0"/>
      <w:marTop w:val="0"/>
      <w:marBottom w:val="0"/>
      <w:divBdr>
        <w:top w:val="none" w:sz="0" w:space="0" w:color="auto"/>
        <w:left w:val="none" w:sz="0" w:space="0" w:color="auto"/>
        <w:bottom w:val="none" w:sz="0" w:space="0" w:color="auto"/>
        <w:right w:val="none" w:sz="0" w:space="0" w:color="auto"/>
      </w:divBdr>
    </w:div>
    <w:div w:id="1712415096">
      <w:bodyDiv w:val="1"/>
      <w:marLeft w:val="0"/>
      <w:marRight w:val="0"/>
      <w:marTop w:val="0"/>
      <w:marBottom w:val="0"/>
      <w:divBdr>
        <w:top w:val="none" w:sz="0" w:space="0" w:color="auto"/>
        <w:left w:val="none" w:sz="0" w:space="0" w:color="auto"/>
        <w:bottom w:val="none" w:sz="0" w:space="0" w:color="auto"/>
        <w:right w:val="none" w:sz="0" w:space="0" w:color="auto"/>
      </w:divBdr>
    </w:div>
    <w:div w:id="1713533360">
      <w:bodyDiv w:val="1"/>
      <w:marLeft w:val="0"/>
      <w:marRight w:val="0"/>
      <w:marTop w:val="0"/>
      <w:marBottom w:val="0"/>
      <w:divBdr>
        <w:top w:val="none" w:sz="0" w:space="0" w:color="auto"/>
        <w:left w:val="none" w:sz="0" w:space="0" w:color="auto"/>
        <w:bottom w:val="none" w:sz="0" w:space="0" w:color="auto"/>
        <w:right w:val="none" w:sz="0" w:space="0" w:color="auto"/>
      </w:divBdr>
    </w:div>
    <w:div w:id="1714188227">
      <w:bodyDiv w:val="1"/>
      <w:marLeft w:val="0"/>
      <w:marRight w:val="0"/>
      <w:marTop w:val="0"/>
      <w:marBottom w:val="0"/>
      <w:divBdr>
        <w:top w:val="none" w:sz="0" w:space="0" w:color="auto"/>
        <w:left w:val="none" w:sz="0" w:space="0" w:color="auto"/>
        <w:bottom w:val="none" w:sz="0" w:space="0" w:color="auto"/>
        <w:right w:val="none" w:sz="0" w:space="0" w:color="auto"/>
      </w:divBdr>
    </w:div>
    <w:div w:id="1714424817">
      <w:bodyDiv w:val="1"/>
      <w:marLeft w:val="0"/>
      <w:marRight w:val="0"/>
      <w:marTop w:val="0"/>
      <w:marBottom w:val="0"/>
      <w:divBdr>
        <w:top w:val="none" w:sz="0" w:space="0" w:color="auto"/>
        <w:left w:val="none" w:sz="0" w:space="0" w:color="auto"/>
        <w:bottom w:val="none" w:sz="0" w:space="0" w:color="auto"/>
        <w:right w:val="none" w:sz="0" w:space="0" w:color="auto"/>
      </w:divBdr>
    </w:div>
    <w:div w:id="1715275274">
      <w:bodyDiv w:val="1"/>
      <w:marLeft w:val="0"/>
      <w:marRight w:val="0"/>
      <w:marTop w:val="0"/>
      <w:marBottom w:val="0"/>
      <w:divBdr>
        <w:top w:val="none" w:sz="0" w:space="0" w:color="auto"/>
        <w:left w:val="none" w:sz="0" w:space="0" w:color="auto"/>
        <w:bottom w:val="none" w:sz="0" w:space="0" w:color="auto"/>
        <w:right w:val="none" w:sz="0" w:space="0" w:color="auto"/>
      </w:divBdr>
    </w:div>
    <w:div w:id="1715931220">
      <w:bodyDiv w:val="1"/>
      <w:marLeft w:val="0"/>
      <w:marRight w:val="0"/>
      <w:marTop w:val="0"/>
      <w:marBottom w:val="0"/>
      <w:divBdr>
        <w:top w:val="none" w:sz="0" w:space="0" w:color="auto"/>
        <w:left w:val="none" w:sz="0" w:space="0" w:color="auto"/>
        <w:bottom w:val="none" w:sz="0" w:space="0" w:color="auto"/>
        <w:right w:val="none" w:sz="0" w:space="0" w:color="auto"/>
      </w:divBdr>
    </w:div>
    <w:div w:id="1716344231">
      <w:bodyDiv w:val="1"/>
      <w:marLeft w:val="0"/>
      <w:marRight w:val="0"/>
      <w:marTop w:val="0"/>
      <w:marBottom w:val="0"/>
      <w:divBdr>
        <w:top w:val="none" w:sz="0" w:space="0" w:color="auto"/>
        <w:left w:val="none" w:sz="0" w:space="0" w:color="auto"/>
        <w:bottom w:val="none" w:sz="0" w:space="0" w:color="auto"/>
        <w:right w:val="none" w:sz="0" w:space="0" w:color="auto"/>
      </w:divBdr>
      <w:divsChild>
        <w:div w:id="409356302">
          <w:marLeft w:val="1973"/>
          <w:marRight w:val="0"/>
          <w:marTop w:val="120"/>
          <w:marBottom w:val="120"/>
          <w:divBdr>
            <w:top w:val="none" w:sz="0" w:space="0" w:color="auto"/>
            <w:left w:val="none" w:sz="0" w:space="0" w:color="auto"/>
            <w:bottom w:val="none" w:sz="0" w:space="0" w:color="auto"/>
            <w:right w:val="none" w:sz="0" w:space="0" w:color="auto"/>
          </w:divBdr>
        </w:div>
        <w:div w:id="537548401">
          <w:marLeft w:val="547"/>
          <w:marRight w:val="0"/>
          <w:marTop w:val="120"/>
          <w:marBottom w:val="120"/>
          <w:divBdr>
            <w:top w:val="none" w:sz="0" w:space="0" w:color="auto"/>
            <w:left w:val="none" w:sz="0" w:space="0" w:color="auto"/>
            <w:bottom w:val="none" w:sz="0" w:space="0" w:color="auto"/>
            <w:right w:val="none" w:sz="0" w:space="0" w:color="auto"/>
          </w:divBdr>
        </w:div>
        <w:div w:id="627659832">
          <w:marLeft w:val="1973"/>
          <w:marRight w:val="0"/>
          <w:marTop w:val="120"/>
          <w:marBottom w:val="120"/>
          <w:divBdr>
            <w:top w:val="none" w:sz="0" w:space="0" w:color="auto"/>
            <w:left w:val="none" w:sz="0" w:space="0" w:color="auto"/>
            <w:bottom w:val="none" w:sz="0" w:space="0" w:color="auto"/>
            <w:right w:val="none" w:sz="0" w:space="0" w:color="auto"/>
          </w:divBdr>
        </w:div>
        <w:div w:id="702704520">
          <w:marLeft w:val="1973"/>
          <w:marRight w:val="0"/>
          <w:marTop w:val="120"/>
          <w:marBottom w:val="120"/>
          <w:divBdr>
            <w:top w:val="none" w:sz="0" w:space="0" w:color="auto"/>
            <w:left w:val="none" w:sz="0" w:space="0" w:color="auto"/>
            <w:bottom w:val="none" w:sz="0" w:space="0" w:color="auto"/>
            <w:right w:val="none" w:sz="0" w:space="0" w:color="auto"/>
          </w:divBdr>
        </w:div>
        <w:div w:id="735200293">
          <w:marLeft w:val="1973"/>
          <w:marRight w:val="0"/>
          <w:marTop w:val="120"/>
          <w:marBottom w:val="120"/>
          <w:divBdr>
            <w:top w:val="none" w:sz="0" w:space="0" w:color="auto"/>
            <w:left w:val="none" w:sz="0" w:space="0" w:color="auto"/>
            <w:bottom w:val="none" w:sz="0" w:space="0" w:color="auto"/>
            <w:right w:val="none" w:sz="0" w:space="0" w:color="auto"/>
          </w:divBdr>
        </w:div>
        <w:div w:id="1066338377">
          <w:marLeft w:val="1973"/>
          <w:marRight w:val="0"/>
          <w:marTop w:val="120"/>
          <w:marBottom w:val="120"/>
          <w:divBdr>
            <w:top w:val="none" w:sz="0" w:space="0" w:color="auto"/>
            <w:left w:val="none" w:sz="0" w:space="0" w:color="auto"/>
            <w:bottom w:val="none" w:sz="0" w:space="0" w:color="auto"/>
            <w:right w:val="none" w:sz="0" w:space="0" w:color="auto"/>
          </w:divBdr>
        </w:div>
        <w:div w:id="1351688737">
          <w:marLeft w:val="1973"/>
          <w:marRight w:val="0"/>
          <w:marTop w:val="120"/>
          <w:marBottom w:val="120"/>
          <w:divBdr>
            <w:top w:val="none" w:sz="0" w:space="0" w:color="auto"/>
            <w:left w:val="none" w:sz="0" w:space="0" w:color="auto"/>
            <w:bottom w:val="none" w:sz="0" w:space="0" w:color="auto"/>
            <w:right w:val="none" w:sz="0" w:space="0" w:color="auto"/>
          </w:divBdr>
        </w:div>
        <w:div w:id="1694650554">
          <w:marLeft w:val="1973"/>
          <w:marRight w:val="0"/>
          <w:marTop w:val="120"/>
          <w:marBottom w:val="120"/>
          <w:divBdr>
            <w:top w:val="none" w:sz="0" w:space="0" w:color="auto"/>
            <w:left w:val="none" w:sz="0" w:space="0" w:color="auto"/>
            <w:bottom w:val="none" w:sz="0" w:space="0" w:color="auto"/>
            <w:right w:val="none" w:sz="0" w:space="0" w:color="auto"/>
          </w:divBdr>
        </w:div>
        <w:div w:id="1866794742">
          <w:marLeft w:val="1973"/>
          <w:marRight w:val="0"/>
          <w:marTop w:val="120"/>
          <w:marBottom w:val="120"/>
          <w:divBdr>
            <w:top w:val="none" w:sz="0" w:space="0" w:color="auto"/>
            <w:left w:val="none" w:sz="0" w:space="0" w:color="auto"/>
            <w:bottom w:val="none" w:sz="0" w:space="0" w:color="auto"/>
            <w:right w:val="none" w:sz="0" w:space="0" w:color="auto"/>
          </w:divBdr>
        </w:div>
      </w:divsChild>
    </w:div>
    <w:div w:id="1717581474">
      <w:bodyDiv w:val="1"/>
      <w:marLeft w:val="0"/>
      <w:marRight w:val="0"/>
      <w:marTop w:val="0"/>
      <w:marBottom w:val="0"/>
      <w:divBdr>
        <w:top w:val="none" w:sz="0" w:space="0" w:color="auto"/>
        <w:left w:val="none" w:sz="0" w:space="0" w:color="auto"/>
        <w:bottom w:val="none" w:sz="0" w:space="0" w:color="auto"/>
        <w:right w:val="none" w:sz="0" w:space="0" w:color="auto"/>
      </w:divBdr>
    </w:div>
    <w:div w:id="1717966748">
      <w:bodyDiv w:val="1"/>
      <w:marLeft w:val="0"/>
      <w:marRight w:val="0"/>
      <w:marTop w:val="0"/>
      <w:marBottom w:val="0"/>
      <w:divBdr>
        <w:top w:val="none" w:sz="0" w:space="0" w:color="auto"/>
        <w:left w:val="none" w:sz="0" w:space="0" w:color="auto"/>
        <w:bottom w:val="none" w:sz="0" w:space="0" w:color="auto"/>
        <w:right w:val="none" w:sz="0" w:space="0" w:color="auto"/>
      </w:divBdr>
    </w:div>
    <w:div w:id="1718626910">
      <w:bodyDiv w:val="1"/>
      <w:marLeft w:val="0"/>
      <w:marRight w:val="0"/>
      <w:marTop w:val="0"/>
      <w:marBottom w:val="0"/>
      <w:divBdr>
        <w:top w:val="none" w:sz="0" w:space="0" w:color="auto"/>
        <w:left w:val="none" w:sz="0" w:space="0" w:color="auto"/>
        <w:bottom w:val="none" w:sz="0" w:space="0" w:color="auto"/>
        <w:right w:val="none" w:sz="0" w:space="0" w:color="auto"/>
      </w:divBdr>
    </w:div>
    <w:div w:id="1718964497">
      <w:bodyDiv w:val="1"/>
      <w:marLeft w:val="0"/>
      <w:marRight w:val="0"/>
      <w:marTop w:val="0"/>
      <w:marBottom w:val="0"/>
      <w:divBdr>
        <w:top w:val="none" w:sz="0" w:space="0" w:color="auto"/>
        <w:left w:val="none" w:sz="0" w:space="0" w:color="auto"/>
        <w:bottom w:val="none" w:sz="0" w:space="0" w:color="auto"/>
        <w:right w:val="none" w:sz="0" w:space="0" w:color="auto"/>
      </w:divBdr>
    </w:div>
    <w:div w:id="1720744427">
      <w:bodyDiv w:val="1"/>
      <w:marLeft w:val="0"/>
      <w:marRight w:val="0"/>
      <w:marTop w:val="0"/>
      <w:marBottom w:val="0"/>
      <w:divBdr>
        <w:top w:val="none" w:sz="0" w:space="0" w:color="auto"/>
        <w:left w:val="none" w:sz="0" w:space="0" w:color="auto"/>
        <w:bottom w:val="none" w:sz="0" w:space="0" w:color="auto"/>
        <w:right w:val="none" w:sz="0" w:space="0" w:color="auto"/>
      </w:divBdr>
    </w:div>
    <w:div w:id="1721126341">
      <w:bodyDiv w:val="1"/>
      <w:marLeft w:val="0"/>
      <w:marRight w:val="0"/>
      <w:marTop w:val="0"/>
      <w:marBottom w:val="0"/>
      <w:divBdr>
        <w:top w:val="none" w:sz="0" w:space="0" w:color="auto"/>
        <w:left w:val="none" w:sz="0" w:space="0" w:color="auto"/>
        <w:bottom w:val="none" w:sz="0" w:space="0" w:color="auto"/>
        <w:right w:val="none" w:sz="0" w:space="0" w:color="auto"/>
      </w:divBdr>
    </w:div>
    <w:div w:id="1721900599">
      <w:bodyDiv w:val="1"/>
      <w:marLeft w:val="0"/>
      <w:marRight w:val="0"/>
      <w:marTop w:val="0"/>
      <w:marBottom w:val="0"/>
      <w:divBdr>
        <w:top w:val="none" w:sz="0" w:space="0" w:color="auto"/>
        <w:left w:val="none" w:sz="0" w:space="0" w:color="auto"/>
        <w:bottom w:val="none" w:sz="0" w:space="0" w:color="auto"/>
        <w:right w:val="none" w:sz="0" w:space="0" w:color="auto"/>
      </w:divBdr>
    </w:div>
    <w:div w:id="1721979538">
      <w:bodyDiv w:val="1"/>
      <w:marLeft w:val="0"/>
      <w:marRight w:val="0"/>
      <w:marTop w:val="0"/>
      <w:marBottom w:val="0"/>
      <w:divBdr>
        <w:top w:val="none" w:sz="0" w:space="0" w:color="auto"/>
        <w:left w:val="none" w:sz="0" w:space="0" w:color="auto"/>
        <w:bottom w:val="none" w:sz="0" w:space="0" w:color="auto"/>
        <w:right w:val="none" w:sz="0" w:space="0" w:color="auto"/>
      </w:divBdr>
    </w:div>
    <w:div w:id="1723407241">
      <w:bodyDiv w:val="1"/>
      <w:marLeft w:val="0"/>
      <w:marRight w:val="0"/>
      <w:marTop w:val="0"/>
      <w:marBottom w:val="0"/>
      <w:divBdr>
        <w:top w:val="none" w:sz="0" w:space="0" w:color="auto"/>
        <w:left w:val="none" w:sz="0" w:space="0" w:color="auto"/>
        <w:bottom w:val="none" w:sz="0" w:space="0" w:color="auto"/>
        <w:right w:val="none" w:sz="0" w:space="0" w:color="auto"/>
      </w:divBdr>
    </w:div>
    <w:div w:id="1725324955">
      <w:bodyDiv w:val="1"/>
      <w:marLeft w:val="0"/>
      <w:marRight w:val="0"/>
      <w:marTop w:val="0"/>
      <w:marBottom w:val="0"/>
      <w:divBdr>
        <w:top w:val="none" w:sz="0" w:space="0" w:color="auto"/>
        <w:left w:val="none" w:sz="0" w:space="0" w:color="auto"/>
        <w:bottom w:val="none" w:sz="0" w:space="0" w:color="auto"/>
        <w:right w:val="none" w:sz="0" w:space="0" w:color="auto"/>
      </w:divBdr>
    </w:div>
    <w:div w:id="1726485362">
      <w:bodyDiv w:val="1"/>
      <w:marLeft w:val="0"/>
      <w:marRight w:val="0"/>
      <w:marTop w:val="0"/>
      <w:marBottom w:val="0"/>
      <w:divBdr>
        <w:top w:val="none" w:sz="0" w:space="0" w:color="auto"/>
        <w:left w:val="none" w:sz="0" w:space="0" w:color="auto"/>
        <w:bottom w:val="none" w:sz="0" w:space="0" w:color="auto"/>
        <w:right w:val="none" w:sz="0" w:space="0" w:color="auto"/>
      </w:divBdr>
    </w:div>
    <w:div w:id="1728992791">
      <w:bodyDiv w:val="1"/>
      <w:marLeft w:val="0"/>
      <w:marRight w:val="0"/>
      <w:marTop w:val="0"/>
      <w:marBottom w:val="0"/>
      <w:divBdr>
        <w:top w:val="none" w:sz="0" w:space="0" w:color="auto"/>
        <w:left w:val="none" w:sz="0" w:space="0" w:color="auto"/>
        <w:bottom w:val="none" w:sz="0" w:space="0" w:color="auto"/>
        <w:right w:val="none" w:sz="0" w:space="0" w:color="auto"/>
      </w:divBdr>
    </w:div>
    <w:div w:id="1729181592">
      <w:bodyDiv w:val="1"/>
      <w:marLeft w:val="0"/>
      <w:marRight w:val="0"/>
      <w:marTop w:val="0"/>
      <w:marBottom w:val="0"/>
      <w:divBdr>
        <w:top w:val="none" w:sz="0" w:space="0" w:color="auto"/>
        <w:left w:val="none" w:sz="0" w:space="0" w:color="auto"/>
        <w:bottom w:val="none" w:sz="0" w:space="0" w:color="auto"/>
        <w:right w:val="none" w:sz="0" w:space="0" w:color="auto"/>
      </w:divBdr>
    </w:div>
    <w:div w:id="1729573052">
      <w:bodyDiv w:val="1"/>
      <w:marLeft w:val="0"/>
      <w:marRight w:val="0"/>
      <w:marTop w:val="0"/>
      <w:marBottom w:val="0"/>
      <w:divBdr>
        <w:top w:val="none" w:sz="0" w:space="0" w:color="auto"/>
        <w:left w:val="none" w:sz="0" w:space="0" w:color="auto"/>
        <w:bottom w:val="none" w:sz="0" w:space="0" w:color="auto"/>
        <w:right w:val="none" w:sz="0" w:space="0" w:color="auto"/>
      </w:divBdr>
    </w:div>
    <w:div w:id="1730611029">
      <w:bodyDiv w:val="1"/>
      <w:marLeft w:val="0"/>
      <w:marRight w:val="0"/>
      <w:marTop w:val="0"/>
      <w:marBottom w:val="0"/>
      <w:divBdr>
        <w:top w:val="none" w:sz="0" w:space="0" w:color="auto"/>
        <w:left w:val="none" w:sz="0" w:space="0" w:color="auto"/>
        <w:bottom w:val="none" w:sz="0" w:space="0" w:color="auto"/>
        <w:right w:val="none" w:sz="0" w:space="0" w:color="auto"/>
      </w:divBdr>
    </w:div>
    <w:div w:id="1731271174">
      <w:bodyDiv w:val="1"/>
      <w:marLeft w:val="0"/>
      <w:marRight w:val="0"/>
      <w:marTop w:val="0"/>
      <w:marBottom w:val="0"/>
      <w:divBdr>
        <w:top w:val="none" w:sz="0" w:space="0" w:color="auto"/>
        <w:left w:val="none" w:sz="0" w:space="0" w:color="auto"/>
        <w:bottom w:val="none" w:sz="0" w:space="0" w:color="auto"/>
        <w:right w:val="none" w:sz="0" w:space="0" w:color="auto"/>
      </w:divBdr>
    </w:div>
    <w:div w:id="1731730606">
      <w:bodyDiv w:val="1"/>
      <w:marLeft w:val="0"/>
      <w:marRight w:val="0"/>
      <w:marTop w:val="0"/>
      <w:marBottom w:val="0"/>
      <w:divBdr>
        <w:top w:val="none" w:sz="0" w:space="0" w:color="auto"/>
        <w:left w:val="none" w:sz="0" w:space="0" w:color="auto"/>
        <w:bottom w:val="none" w:sz="0" w:space="0" w:color="auto"/>
        <w:right w:val="none" w:sz="0" w:space="0" w:color="auto"/>
      </w:divBdr>
    </w:div>
    <w:div w:id="1733966997">
      <w:bodyDiv w:val="1"/>
      <w:marLeft w:val="0"/>
      <w:marRight w:val="0"/>
      <w:marTop w:val="0"/>
      <w:marBottom w:val="0"/>
      <w:divBdr>
        <w:top w:val="none" w:sz="0" w:space="0" w:color="auto"/>
        <w:left w:val="none" w:sz="0" w:space="0" w:color="auto"/>
        <w:bottom w:val="none" w:sz="0" w:space="0" w:color="auto"/>
        <w:right w:val="none" w:sz="0" w:space="0" w:color="auto"/>
      </w:divBdr>
    </w:div>
    <w:div w:id="1736661998">
      <w:bodyDiv w:val="1"/>
      <w:marLeft w:val="0"/>
      <w:marRight w:val="0"/>
      <w:marTop w:val="0"/>
      <w:marBottom w:val="0"/>
      <w:divBdr>
        <w:top w:val="none" w:sz="0" w:space="0" w:color="auto"/>
        <w:left w:val="none" w:sz="0" w:space="0" w:color="auto"/>
        <w:bottom w:val="none" w:sz="0" w:space="0" w:color="auto"/>
        <w:right w:val="none" w:sz="0" w:space="0" w:color="auto"/>
      </w:divBdr>
    </w:div>
    <w:div w:id="1737123861">
      <w:bodyDiv w:val="1"/>
      <w:marLeft w:val="0"/>
      <w:marRight w:val="0"/>
      <w:marTop w:val="0"/>
      <w:marBottom w:val="0"/>
      <w:divBdr>
        <w:top w:val="none" w:sz="0" w:space="0" w:color="auto"/>
        <w:left w:val="none" w:sz="0" w:space="0" w:color="auto"/>
        <w:bottom w:val="none" w:sz="0" w:space="0" w:color="auto"/>
        <w:right w:val="none" w:sz="0" w:space="0" w:color="auto"/>
      </w:divBdr>
    </w:div>
    <w:div w:id="1740178044">
      <w:bodyDiv w:val="1"/>
      <w:marLeft w:val="0"/>
      <w:marRight w:val="0"/>
      <w:marTop w:val="0"/>
      <w:marBottom w:val="0"/>
      <w:divBdr>
        <w:top w:val="none" w:sz="0" w:space="0" w:color="auto"/>
        <w:left w:val="none" w:sz="0" w:space="0" w:color="auto"/>
        <w:bottom w:val="none" w:sz="0" w:space="0" w:color="auto"/>
        <w:right w:val="none" w:sz="0" w:space="0" w:color="auto"/>
      </w:divBdr>
    </w:div>
    <w:div w:id="1741174986">
      <w:bodyDiv w:val="1"/>
      <w:marLeft w:val="0"/>
      <w:marRight w:val="0"/>
      <w:marTop w:val="0"/>
      <w:marBottom w:val="0"/>
      <w:divBdr>
        <w:top w:val="none" w:sz="0" w:space="0" w:color="auto"/>
        <w:left w:val="none" w:sz="0" w:space="0" w:color="auto"/>
        <w:bottom w:val="none" w:sz="0" w:space="0" w:color="auto"/>
        <w:right w:val="none" w:sz="0" w:space="0" w:color="auto"/>
      </w:divBdr>
    </w:div>
    <w:div w:id="1742412671">
      <w:bodyDiv w:val="1"/>
      <w:marLeft w:val="0"/>
      <w:marRight w:val="0"/>
      <w:marTop w:val="0"/>
      <w:marBottom w:val="0"/>
      <w:divBdr>
        <w:top w:val="none" w:sz="0" w:space="0" w:color="auto"/>
        <w:left w:val="none" w:sz="0" w:space="0" w:color="auto"/>
        <w:bottom w:val="none" w:sz="0" w:space="0" w:color="auto"/>
        <w:right w:val="none" w:sz="0" w:space="0" w:color="auto"/>
      </w:divBdr>
    </w:div>
    <w:div w:id="1742679904">
      <w:bodyDiv w:val="1"/>
      <w:marLeft w:val="0"/>
      <w:marRight w:val="0"/>
      <w:marTop w:val="0"/>
      <w:marBottom w:val="0"/>
      <w:divBdr>
        <w:top w:val="none" w:sz="0" w:space="0" w:color="auto"/>
        <w:left w:val="none" w:sz="0" w:space="0" w:color="auto"/>
        <w:bottom w:val="none" w:sz="0" w:space="0" w:color="auto"/>
        <w:right w:val="none" w:sz="0" w:space="0" w:color="auto"/>
      </w:divBdr>
    </w:div>
    <w:div w:id="1743065520">
      <w:bodyDiv w:val="1"/>
      <w:marLeft w:val="0"/>
      <w:marRight w:val="0"/>
      <w:marTop w:val="0"/>
      <w:marBottom w:val="0"/>
      <w:divBdr>
        <w:top w:val="none" w:sz="0" w:space="0" w:color="auto"/>
        <w:left w:val="none" w:sz="0" w:space="0" w:color="auto"/>
        <w:bottom w:val="none" w:sz="0" w:space="0" w:color="auto"/>
        <w:right w:val="none" w:sz="0" w:space="0" w:color="auto"/>
      </w:divBdr>
    </w:div>
    <w:div w:id="1743793872">
      <w:bodyDiv w:val="1"/>
      <w:marLeft w:val="0"/>
      <w:marRight w:val="0"/>
      <w:marTop w:val="0"/>
      <w:marBottom w:val="0"/>
      <w:divBdr>
        <w:top w:val="none" w:sz="0" w:space="0" w:color="auto"/>
        <w:left w:val="none" w:sz="0" w:space="0" w:color="auto"/>
        <w:bottom w:val="none" w:sz="0" w:space="0" w:color="auto"/>
        <w:right w:val="none" w:sz="0" w:space="0" w:color="auto"/>
      </w:divBdr>
    </w:div>
    <w:div w:id="1745839436">
      <w:bodyDiv w:val="1"/>
      <w:marLeft w:val="0"/>
      <w:marRight w:val="0"/>
      <w:marTop w:val="0"/>
      <w:marBottom w:val="0"/>
      <w:divBdr>
        <w:top w:val="none" w:sz="0" w:space="0" w:color="auto"/>
        <w:left w:val="none" w:sz="0" w:space="0" w:color="auto"/>
        <w:bottom w:val="none" w:sz="0" w:space="0" w:color="auto"/>
        <w:right w:val="none" w:sz="0" w:space="0" w:color="auto"/>
      </w:divBdr>
    </w:div>
    <w:div w:id="1745957456">
      <w:bodyDiv w:val="1"/>
      <w:marLeft w:val="0"/>
      <w:marRight w:val="0"/>
      <w:marTop w:val="0"/>
      <w:marBottom w:val="0"/>
      <w:divBdr>
        <w:top w:val="none" w:sz="0" w:space="0" w:color="auto"/>
        <w:left w:val="none" w:sz="0" w:space="0" w:color="auto"/>
        <w:bottom w:val="none" w:sz="0" w:space="0" w:color="auto"/>
        <w:right w:val="none" w:sz="0" w:space="0" w:color="auto"/>
      </w:divBdr>
    </w:div>
    <w:div w:id="1746221858">
      <w:bodyDiv w:val="1"/>
      <w:marLeft w:val="0"/>
      <w:marRight w:val="0"/>
      <w:marTop w:val="0"/>
      <w:marBottom w:val="0"/>
      <w:divBdr>
        <w:top w:val="none" w:sz="0" w:space="0" w:color="auto"/>
        <w:left w:val="none" w:sz="0" w:space="0" w:color="auto"/>
        <w:bottom w:val="none" w:sz="0" w:space="0" w:color="auto"/>
        <w:right w:val="none" w:sz="0" w:space="0" w:color="auto"/>
      </w:divBdr>
    </w:div>
    <w:div w:id="1747612559">
      <w:bodyDiv w:val="1"/>
      <w:marLeft w:val="0"/>
      <w:marRight w:val="0"/>
      <w:marTop w:val="0"/>
      <w:marBottom w:val="0"/>
      <w:divBdr>
        <w:top w:val="none" w:sz="0" w:space="0" w:color="auto"/>
        <w:left w:val="none" w:sz="0" w:space="0" w:color="auto"/>
        <w:bottom w:val="none" w:sz="0" w:space="0" w:color="auto"/>
        <w:right w:val="none" w:sz="0" w:space="0" w:color="auto"/>
      </w:divBdr>
    </w:div>
    <w:div w:id="1749500848">
      <w:bodyDiv w:val="1"/>
      <w:marLeft w:val="0"/>
      <w:marRight w:val="0"/>
      <w:marTop w:val="0"/>
      <w:marBottom w:val="0"/>
      <w:divBdr>
        <w:top w:val="none" w:sz="0" w:space="0" w:color="auto"/>
        <w:left w:val="none" w:sz="0" w:space="0" w:color="auto"/>
        <w:bottom w:val="none" w:sz="0" w:space="0" w:color="auto"/>
        <w:right w:val="none" w:sz="0" w:space="0" w:color="auto"/>
      </w:divBdr>
    </w:div>
    <w:div w:id="1750342047">
      <w:bodyDiv w:val="1"/>
      <w:marLeft w:val="0"/>
      <w:marRight w:val="0"/>
      <w:marTop w:val="0"/>
      <w:marBottom w:val="0"/>
      <w:divBdr>
        <w:top w:val="none" w:sz="0" w:space="0" w:color="auto"/>
        <w:left w:val="none" w:sz="0" w:space="0" w:color="auto"/>
        <w:bottom w:val="none" w:sz="0" w:space="0" w:color="auto"/>
        <w:right w:val="none" w:sz="0" w:space="0" w:color="auto"/>
      </w:divBdr>
    </w:div>
    <w:div w:id="1752268275">
      <w:bodyDiv w:val="1"/>
      <w:marLeft w:val="0"/>
      <w:marRight w:val="0"/>
      <w:marTop w:val="0"/>
      <w:marBottom w:val="0"/>
      <w:divBdr>
        <w:top w:val="none" w:sz="0" w:space="0" w:color="auto"/>
        <w:left w:val="none" w:sz="0" w:space="0" w:color="auto"/>
        <w:bottom w:val="none" w:sz="0" w:space="0" w:color="auto"/>
        <w:right w:val="none" w:sz="0" w:space="0" w:color="auto"/>
      </w:divBdr>
    </w:div>
    <w:div w:id="1753047790">
      <w:bodyDiv w:val="1"/>
      <w:marLeft w:val="0"/>
      <w:marRight w:val="0"/>
      <w:marTop w:val="0"/>
      <w:marBottom w:val="0"/>
      <w:divBdr>
        <w:top w:val="none" w:sz="0" w:space="0" w:color="auto"/>
        <w:left w:val="none" w:sz="0" w:space="0" w:color="auto"/>
        <w:bottom w:val="none" w:sz="0" w:space="0" w:color="auto"/>
        <w:right w:val="none" w:sz="0" w:space="0" w:color="auto"/>
      </w:divBdr>
    </w:div>
    <w:div w:id="1753817772">
      <w:bodyDiv w:val="1"/>
      <w:marLeft w:val="0"/>
      <w:marRight w:val="0"/>
      <w:marTop w:val="0"/>
      <w:marBottom w:val="0"/>
      <w:divBdr>
        <w:top w:val="none" w:sz="0" w:space="0" w:color="auto"/>
        <w:left w:val="none" w:sz="0" w:space="0" w:color="auto"/>
        <w:bottom w:val="none" w:sz="0" w:space="0" w:color="auto"/>
        <w:right w:val="none" w:sz="0" w:space="0" w:color="auto"/>
      </w:divBdr>
    </w:div>
    <w:div w:id="1757089941">
      <w:bodyDiv w:val="1"/>
      <w:marLeft w:val="0"/>
      <w:marRight w:val="0"/>
      <w:marTop w:val="0"/>
      <w:marBottom w:val="0"/>
      <w:divBdr>
        <w:top w:val="none" w:sz="0" w:space="0" w:color="auto"/>
        <w:left w:val="none" w:sz="0" w:space="0" w:color="auto"/>
        <w:bottom w:val="none" w:sz="0" w:space="0" w:color="auto"/>
        <w:right w:val="none" w:sz="0" w:space="0" w:color="auto"/>
      </w:divBdr>
    </w:div>
    <w:div w:id="1759594438">
      <w:bodyDiv w:val="1"/>
      <w:marLeft w:val="0"/>
      <w:marRight w:val="0"/>
      <w:marTop w:val="0"/>
      <w:marBottom w:val="0"/>
      <w:divBdr>
        <w:top w:val="none" w:sz="0" w:space="0" w:color="auto"/>
        <w:left w:val="none" w:sz="0" w:space="0" w:color="auto"/>
        <w:bottom w:val="none" w:sz="0" w:space="0" w:color="auto"/>
        <w:right w:val="none" w:sz="0" w:space="0" w:color="auto"/>
      </w:divBdr>
    </w:div>
    <w:div w:id="1760521284">
      <w:bodyDiv w:val="1"/>
      <w:marLeft w:val="0"/>
      <w:marRight w:val="0"/>
      <w:marTop w:val="0"/>
      <w:marBottom w:val="0"/>
      <w:divBdr>
        <w:top w:val="none" w:sz="0" w:space="0" w:color="auto"/>
        <w:left w:val="none" w:sz="0" w:space="0" w:color="auto"/>
        <w:bottom w:val="none" w:sz="0" w:space="0" w:color="auto"/>
        <w:right w:val="none" w:sz="0" w:space="0" w:color="auto"/>
      </w:divBdr>
    </w:div>
    <w:div w:id="1760639212">
      <w:bodyDiv w:val="1"/>
      <w:marLeft w:val="0"/>
      <w:marRight w:val="0"/>
      <w:marTop w:val="0"/>
      <w:marBottom w:val="0"/>
      <w:divBdr>
        <w:top w:val="none" w:sz="0" w:space="0" w:color="auto"/>
        <w:left w:val="none" w:sz="0" w:space="0" w:color="auto"/>
        <w:bottom w:val="none" w:sz="0" w:space="0" w:color="auto"/>
        <w:right w:val="none" w:sz="0" w:space="0" w:color="auto"/>
      </w:divBdr>
    </w:div>
    <w:div w:id="1761099258">
      <w:bodyDiv w:val="1"/>
      <w:marLeft w:val="0"/>
      <w:marRight w:val="0"/>
      <w:marTop w:val="0"/>
      <w:marBottom w:val="0"/>
      <w:divBdr>
        <w:top w:val="none" w:sz="0" w:space="0" w:color="auto"/>
        <w:left w:val="none" w:sz="0" w:space="0" w:color="auto"/>
        <w:bottom w:val="none" w:sz="0" w:space="0" w:color="auto"/>
        <w:right w:val="none" w:sz="0" w:space="0" w:color="auto"/>
      </w:divBdr>
    </w:div>
    <w:div w:id="1763722943">
      <w:bodyDiv w:val="1"/>
      <w:marLeft w:val="0"/>
      <w:marRight w:val="0"/>
      <w:marTop w:val="0"/>
      <w:marBottom w:val="0"/>
      <w:divBdr>
        <w:top w:val="none" w:sz="0" w:space="0" w:color="auto"/>
        <w:left w:val="none" w:sz="0" w:space="0" w:color="auto"/>
        <w:bottom w:val="none" w:sz="0" w:space="0" w:color="auto"/>
        <w:right w:val="none" w:sz="0" w:space="0" w:color="auto"/>
      </w:divBdr>
    </w:div>
    <w:div w:id="1764184560">
      <w:bodyDiv w:val="1"/>
      <w:marLeft w:val="0"/>
      <w:marRight w:val="0"/>
      <w:marTop w:val="0"/>
      <w:marBottom w:val="0"/>
      <w:divBdr>
        <w:top w:val="none" w:sz="0" w:space="0" w:color="auto"/>
        <w:left w:val="none" w:sz="0" w:space="0" w:color="auto"/>
        <w:bottom w:val="none" w:sz="0" w:space="0" w:color="auto"/>
        <w:right w:val="none" w:sz="0" w:space="0" w:color="auto"/>
      </w:divBdr>
    </w:div>
    <w:div w:id="1768379312">
      <w:bodyDiv w:val="1"/>
      <w:marLeft w:val="0"/>
      <w:marRight w:val="0"/>
      <w:marTop w:val="0"/>
      <w:marBottom w:val="0"/>
      <w:divBdr>
        <w:top w:val="none" w:sz="0" w:space="0" w:color="auto"/>
        <w:left w:val="none" w:sz="0" w:space="0" w:color="auto"/>
        <w:bottom w:val="none" w:sz="0" w:space="0" w:color="auto"/>
        <w:right w:val="none" w:sz="0" w:space="0" w:color="auto"/>
      </w:divBdr>
    </w:div>
    <w:div w:id="1768453784">
      <w:bodyDiv w:val="1"/>
      <w:marLeft w:val="0"/>
      <w:marRight w:val="0"/>
      <w:marTop w:val="0"/>
      <w:marBottom w:val="0"/>
      <w:divBdr>
        <w:top w:val="none" w:sz="0" w:space="0" w:color="auto"/>
        <w:left w:val="none" w:sz="0" w:space="0" w:color="auto"/>
        <w:bottom w:val="none" w:sz="0" w:space="0" w:color="auto"/>
        <w:right w:val="none" w:sz="0" w:space="0" w:color="auto"/>
      </w:divBdr>
    </w:div>
    <w:div w:id="1769035732">
      <w:bodyDiv w:val="1"/>
      <w:marLeft w:val="0"/>
      <w:marRight w:val="0"/>
      <w:marTop w:val="0"/>
      <w:marBottom w:val="0"/>
      <w:divBdr>
        <w:top w:val="none" w:sz="0" w:space="0" w:color="auto"/>
        <w:left w:val="none" w:sz="0" w:space="0" w:color="auto"/>
        <w:bottom w:val="none" w:sz="0" w:space="0" w:color="auto"/>
        <w:right w:val="none" w:sz="0" w:space="0" w:color="auto"/>
      </w:divBdr>
    </w:div>
    <w:div w:id="1769497842">
      <w:bodyDiv w:val="1"/>
      <w:marLeft w:val="0"/>
      <w:marRight w:val="0"/>
      <w:marTop w:val="0"/>
      <w:marBottom w:val="0"/>
      <w:divBdr>
        <w:top w:val="none" w:sz="0" w:space="0" w:color="auto"/>
        <w:left w:val="none" w:sz="0" w:space="0" w:color="auto"/>
        <w:bottom w:val="none" w:sz="0" w:space="0" w:color="auto"/>
        <w:right w:val="none" w:sz="0" w:space="0" w:color="auto"/>
      </w:divBdr>
    </w:div>
    <w:div w:id="1769691017">
      <w:bodyDiv w:val="1"/>
      <w:marLeft w:val="0"/>
      <w:marRight w:val="0"/>
      <w:marTop w:val="0"/>
      <w:marBottom w:val="0"/>
      <w:divBdr>
        <w:top w:val="none" w:sz="0" w:space="0" w:color="auto"/>
        <w:left w:val="none" w:sz="0" w:space="0" w:color="auto"/>
        <w:bottom w:val="none" w:sz="0" w:space="0" w:color="auto"/>
        <w:right w:val="none" w:sz="0" w:space="0" w:color="auto"/>
      </w:divBdr>
    </w:div>
    <w:div w:id="1769959774">
      <w:bodyDiv w:val="1"/>
      <w:marLeft w:val="0"/>
      <w:marRight w:val="0"/>
      <w:marTop w:val="0"/>
      <w:marBottom w:val="0"/>
      <w:divBdr>
        <w:top w:val="none" w:sz="0" w:space="0" w:color="auto"/>
        <w:left w:val="none" w:sz="0" w:space="0" w:color="auto"/>
        <w:bottom w:val="none" w:sz="0" w:space="0" w:color="auto"/>
        <w:right w:val="none" w:sz="0" w:space="0" w:color="auto"/>
      </w:divBdr>
    </w:div>
    <w:div w:id="1771659686">
      <w:bodyDiv w:val="1"/>
      <w:marLeft w:val="0"/>
      <w:marRight w:val="0"/>
      <w:marTop w:val="0"/>
      <w:marBottom w:val="0"/>
      <w:divBdr>
        <w:top w:val="none" w:sz="0" w:space="0" w:color="auto"/>
        <w:left w:val="none" w:sz="0" w:space="0" w:color="auto"/>
        <w:bottom w:val="none" w:sz="0" w:space="0" w:color="auto"/>
        <w:right w:val="none" w:sz="0" w:space="0" w:color="auto"/>
      </w:divBdr>
    </w:div>
    <w:div w:id="1772704416">
      <w:bodyDiv w:val="1"/>
      <w:marLeft w:val="0"/>
      <w:marRight w:val="0"/>
      <w:marTop w:val="0"/>
      <w:marBottom w:val="0"/>
      <w:divBdr>
        <w:top w:val="none" w:sz="0" w:space="0" w:color="auto"/>
        <w:left w:val="none" w:sz="0" w:space="0" w:color="auto"/>
        <w:bottom w:val="none" w:sz="0" w:space="0" w:color="auto"/>
        <w:right w:val="none" w:sz="0" w:space="0" w:color="auto"/>
      </w:divBdr>
    </w:div>
    <w:div w:id="1772773344">
      <w:bodyDiv w:val="1"/>
      <w:marLeft w:val="0"/>
      <w:marRight w:val="0"/>
      <w:marTop w:val="0"/>
      <w:marBottom w:val="0"/>
      <w:divBdr>
        <w:top w:val="none" w:sz="0" w:space="0" w:color="auto"/>
        <w:left w:val="none" w:sz="0" w:space="0" w:color="auto"/>
        <w:bottom w:val="none" w:sz="0" w:space="0" w:color="auto"/>
        <w:right w:val="none" w:sz="0" w:space="0" w:color="auto"/>
      </w:divBdr>
    </w:div>
    <w:div w:id="1773160467">
      <w:bodyDiv w:val="1"/>
      <w:marLeft w:val="0"/>
      <w:marRight w:val="0"/>
      <w:marTop w:val="0"/>
      <w:marBottom w:val="0"/>
      <w:divBdr>
        <w:top w:val="none" w:sz="0" w:space="0" w:color="auto"/>
        <w:left w:val="none" w:sz="0" w:space="0" w:color="auto"/>
        <w:bottom w:val="none" w:sz="0" w:space="0" w:color="auto"/>
        <w:right w:val="none" w:sz="0" w:space="0" w:color="auto"/>
      </w:divBdr>
    </w:div>
    <w:div w:id="1773622500">
      <w:bodyDiv w:val="1"/>
      <w:marLeft w:val="0"/>
      <w:marRight w:val="0"/>
      <w:marTop w:val="0"/>
      <w:marBottom w:val="0"/>
      <w:divBdr>
        <w:top w:val="none" w:sz="0" w:space="0" w:color="auto"/>
        <w:left w:val="none" w:sz="0" w:space="0" w:color="auto"/>
        <w:bottom w:val="none" w:sz="0" w:space="0" w:color="auto"/>
        <w:right w:val="none" w:sz="0" w:space="0" w:color="auto"/>
      </w:divBdr>
    </w:div>
    <w:div w:id="1775175938">
      <w:bodyDiv w:val="1"/>
      <w:marLeft w:val="0"/>
      <w:marRight w:val="0"/>
      <w:marTop w:val="0"/>
      <w:marBottom w:val="0"/>
      <w:divBdr>
        <w:top w:val="none" w:sz="0" w:space="0" w:color="auto"/>
        <w:left w:val="none" w:sz="0" w:space="0" w:color="auto"/>
        <w:bottom w:val="none" w:sz="0" w:space="0" w:color="auto"/>
        <w:right w:val="none" w:sz="0" w:space="0" w:color="auto"/>
      </w:divBdr>
    </w:div>
    <w:div w:id="1775243945">
      <w:bodyDiv w:val="1"/>
      <w:marLeft w:val="0"/>
      <w:marRight w:val="0"/>
      <w:marTop w:val="0"/>
      <w:marBottom w:val="0"/>
      <w:divBdr>
        <w:top w:val="none" w:sz="0" w:space="0" w:color="auto"/>
        <w:left w:val="none" w:sz="0" w:space="0" w:color="auto"/>
        <w:bottom w:val="none" w:sz="0" w:space="0" w:color="auto"/>
        <w:right w:val="none" w:sz="0" w:space="0" w:color="auto"/>
      </w:divBdr>
    </w:div>
    <w:div w:id="1775633354">
      <w:bodyDiv w:val="1"/>
      <w:marLeft w:val="0"/>
      <w:marRight w:val="0"/>
      <w:marTop w:val="0"/>
      <w:marBottom w:val="0"/>
      <w:divBdr>
        <w:top w:val="none" w:sz="0" w:space="0" w:color="auto"/>
        <w:left w:val="none" w:sz="0" w:space="0" w:color="auto"/>
        <w:bottom w:val="none" w:sz="0" w:space="0" w:color="auto"/>
        <w:right w:val="none" w:sz="0" w:space="0" w:color="auto"/>
      </w:divBdr>
    </w:div>
    <w:div w:id="1775973758">
      <w:bodyDiv w:val="1"/>
      <w:marLeft w:val="0"/>
      <w:marRight w:val="0"/>
      <w:marTop w:val="0"/>
      <w:marBottom w:val="0"/>
      <w:divBdr>
        <w:top w:val="none" w:sz="0" w:space="0" w:color="auto"/>
        <w:left w:val="none" w:sz="0" w:space="0" w:color="auto"/>
        <w:bottom w:val="none" w:sz="0" w:space="0" w:color="auto"/>
        <w:right w:val="none" w:sz="0" w:space="0" w:color="auto"/>
      </w:divBdr>
    </w:div>
    <w:div w:id="1776242355">
      <w:bodyDiv w:val="1"/>
      <w:marLeft w:val="0"/>
      <w:marRight w:val="0"/>
      <w:marTop w:val="0"/>
      <w:marBottom w:val="0"/>
      <w:divBdr>
        <w:top w:val="none" w:sz="0" w:space="0" w:color="auto"/>
        <w:left w:val="none" w:sz="0" w:space="0" w:color="auto"/>
        <w:bottom w:val="none" w:sz="0" w:space="0" w:color="auto"/>
        <w:right w:val="none" w:sz="0" w:space="0" w:color="auto"/>
      </w:divBdr>
    </w:div>
    <w:div w:id="1777099251">
      <w:bodyDiv w:val="1"/>
      <w:marLeft w:val="0"/>
      <w:marRight w:val="0"/>
      <w:marTop w:val="0"/>
      <w:marBottom w:val="0"/>
      <w:divBdr>
        <w:top w:val="none" w:sz="0" w:space="0" w:color="auto"/>
        <w:left w:val="none" w:sz="0" w:space="0" w:color="auto"/>
        <w:bottom w:val="none" w:sz="0" w:space="0" w:color="auto"/>
        <w:right w:val="none" w:sz="0" w:space="0" w:color="auto"/>
      </w:divBdr>
    </w:div>
    <w:div w:id="1777628425">
      <w:bodyDiv w:val="1"/>
      <w:marLeft w:val="0"/>
      <w:marRight w:val="0"/>
      <w:marTop w:val="0"/>
      <w:marBottom w:val="0"/>
      <w:divBdr>
        <w:top w:val="none" w:sz="0" w:space="0" w:color="auto"/>
        <w:left w:val="none" w:sz="0" w:space="0" w:color="auto"/>
        <w:bottom w:val="none" w:sz="0" w:space="0" w:color="auto"/>
        <w:right w:val="none" w:sz="0" w:space="0" w:color="auto"/>
      </w:divBdr>
    </w:div>
    <w:div w:id="1779065389">
      <w:bodyDiv w:val="1"/>
      <w:marLeft w:val="0"/>
      <w:marRight w:val="0"/>
      <w:marTop w:val="0"/>
      <w:marBottom w:val="0"/>
      <w:divBdr>
        <w:top w:val="none" w:sz="0" w:space="0" w:color="auto"/>
        <w:left w:val="none" w:sz="0" w:space="0" w:color="auto"/>
        <w:bottom w:val="none" w:sz="0" w:space="0" w:color="auto"/>
        <w:right w:val="none" w:sz="0" w:space="0" w:color="auto"/>
      </w:divBdr>
    </w:div>
    <w:div w:id="1782721534">
      <w:bodyDiv w:val="1"/>
      <w:marLeft w:val="0"/>
      <w:marRight w:val="0"/>
      <w:marTop w:val="0"/>
      <w:marBottom w:val="0"/>
      <w:divBdr>
        <w:top w:val="none" w:sz="0" w:space="0" w:color="auto"/>
        <w:left w:val="none" w:sz="0" w:space="0" w:color="auto"/>
        <w:bottom w:val="none" w:sz="0" w:space="0" w:color="auto"/>
        <w:right w:val="none" w:sz="0" w:space="0" w:color="auto"/>
      </w:divBdr>
    </w:div>
    <w:div w:id="1785884916">
      <w:bodyDiv w:val="1"/>
      <w:marLeft w:val="0"/>
      <w:marRight w:val="0"/>
      <w:marTop w:val="0"/>
      <w:marBottom w:val="0"/>
      <w:divBdr>
        <w:top w:val="none" w:sz="0" w:space="0" w:color="auto"/>
        <w:left w:val="none" w:sz="0" w:space="0" w:color="auto"/>
        <w:bottom w:val="none" w:sz="0" w:space="0" w:color="auto"/>
        <w:right w:val="none" w:sz="0" w:space="0" w:color="auto"/>
      </w:divBdr>
    </w:div>
    <w:div w:id="1785997363">
      <w:bodyDiv w:val="1"/>
      <w:marLeft w:val="0"/>
      <w:marRight w:val="0"/>
      <w:marTop w:val="0"/>
      <w:marBottom w:val="0"/>
      <w:divBdr>
        <w:top w:val="none" w:sz="0" w:space="0" w:color="auto"/>
        <w:left w:val="none" w:sz="0" w:space="0" w:color="auto"/>
        <w:bottom w:val="none" w:sz="0" w:space="0" w:color="auto"/>
        <w:right w:val="none" w:sz="0" w:space="0" w:color="auto"/>
      </w:divBdr>
    </w:div>
    <w:div w:id="1786267274">
      <w:bodyDiv w:val="1"/>
      <w:marLeft w:val="0"/>
      <w:marRight w:val="0"/>
      <w:marTop w:val="0"/>
      <w:marBottom w:val="0"/>
      <w:divBdr>
        <w:top w:val="none" w:sz="0" w:space="0" w:color="auto"/>
        <w:left w:val="none" w:sz="0" w:space="0" w:color="auto"/>
        <w:bottom w:val="none" w:sz="0" w:space="0" w:color="auto"/>
        <w:right w:val="none" w:sz="0" w:space="0" w:color="auto"/>
      </w:divBdr>
    </w:div>
    <w:div w:id="1788354633">
      <w:bodyDiv w:val="1"/>
      <w:marLeft w:val="0"/>
      <w:marRight w:val="0"/>
      <w:marTop w:val="0"/>
      <w:marBottom w:val="0"/>
      <w:divBdr>
        <w:top w:val="none" w:sz="0" w:space="0" w:color="auto"/>
        <w:left w:val="none" w:sz="0" w:space="0" w:color="auto"/>
        <w:bottom w:val="none" w:sz="0" w:space="0" w:color="auto"/>
        <w:right w:val="none" w:sz="0" w:space="0" w:color="auto"/>
      </w:divBdr>
    </w:div>
    <w:div w:id="1791699441">
      <w:bodyDiv w:val="1"/>
      <w:marLeft w:val="0"/>
      <w:marRight w:val="0"/>
      <w:marTop w:val="0"/>
      <w:marBottom w:val="0"/>
      <w:divBdr>
        <w:top w:val="none" w:sz="0" w:space="0" w:color="auto"/>
        <w:left w:val="none" w:sz="0" w:space="0" w:color="auto"/>
        <w:bottom w:val="none" w:sz="0" w:space="0" w:color="auto"/>
        <w:right w:val="none" w:sz="0" w:space="0" w:color="auto"/>
      </w:divBdr>
    </w:div>
    <w:div w:id="1791972423">
      <w:bodyDiv w:val="1"/>
      <w:marLeft w:val="0"/>
      <w:marRight w:val="0"/>
      <w:marTop w:val="0"/>
      <w:marBottom w:val="0"/>
      <w:divBdr>
        <w:top w:val="none" w:sz="0" w:space="0" w:color="auto"/>
        <w:left w:val="none" w:sz="0" w:space="0" w:color="auto"/>
        <w:bottom w:val="none" w:sz="0" w:space="0" w:color="auto"/>
        <w:right w:val="none" w:sz="0" w:space="0" w:color="auto"/>
      </w:divBdr>
    </w:div>
    <w:div w:id="1792281809">
      <w:bodyDiv w:val="1"/>
      <w:marLeft w:val="0"/>
      <w:marRight w:val="0"/>
      <w:marTop w:val="0"/>
      <w:marBottom w:val="0"/>
      <w:divBdr>
        <w:top w:val="none" w:sz="0" w:space="0" w:color="auto"/>
        <w:left w:val="none" w:sz="0" w:space="0" w:color="auto"/>
        <w:bottom w:val="none" w:sz="0" w:space="0" w:color="auto"/>
        <w:right w:val="none" w:sz="0" w:space="0" w:color="auto"/>
      </w:divBdr>
    </w:div>
    <w:div w:id="1795323825">
      <w:bodyDiv w:val="1"/>
      <w:marLeft w:val="0"/>
      <w:marRight w:val="0"/>
      <w:marTop w:val="0"/>
      <w:marBottom w:val="0"/>
      <w:divBdr>
        <w:top w:val="none" w:sz="0" w:space="0" w:color="auto"/>
        <w:left w:val="none" w:sz="0" w:space="0" w:color="auto"/>
        <w:bottom w:val="none" w:sz="0" w:space="0" w:color="auto"/>
        <w:right w:val="none" w:sz="0" w:space="0" w:color="auto"/>
      </w:divBdr>
    </w:div>
    <w:div w:id="1796673158">
      <w:bodyDiv w:val="1"/>
      <w:marLeft w:val="0"/>
      <w:marRight w:val="0"/>
      <w:marTop w:val="0"/>
      <w:marBottom w:val="0"/>
      <w:divBdr>
        <w:top w:val="none" w:sz="0" w:space="0" w:color="auto"/>
        <w:left w:val="none" w:sz="0" w:space="0" w:color="auto"/>
        <w:bottom w:val="none" w:sz="0" w:space="0" w:color="auto"/>
        <w:right w:val="none" w:sz="0" w:space="0" w:color="auto"/>
      </w:divBdr>
    </w:div>
    <w:div w:id="1797479805">
      <w:bodyDiv w:val="1"/>
      <w:marLeft w:val="0"/>
      <w:marRight w:val="0"/>
      <w:marTop w:val="0"/>
      <w:marBottom w:val="0"/>
      <w:divBdr>
        <w:top w:val="none" w:sz="0" w:space="0" w:color="auto"/>
        <w:left w:val="none" w:sz="0" w:space="0" w:color="auto"/>
        <w:bottom w:val="none" w:sz="0" w:space="0" w:color="auto"/>
        <w:right w:val="none" w:sz="0" w:space="0" w:color="auto"/>
      </w:divBdr>
    </w:div>
    <w:div w:id="1798791489">
      <w:bodyDiv w:val="1"/>
      <w:marLeft w:val="0"/>
      <w:marRight w:val="0"/>
      <w:marTop w:val="0"/>
      <w:marBottom w:val="0"/>
      <w:divBdr>
        <w:top w:val="none" w:sz="0" w:space="0" w:color="auto"/>
        <w:left w:val="none" w:sz="0" w:space="0" w:color="auto"/>
        <w:bottom w:val="none" w:sz="0" w:space="0" w:color="auto"/>
        <w:right w:val="none" w:sz="0" w:space="0" w:color="auto"/>
      </w:divBdr>
    </w:div>
    <w:div w:id="1804424538">
      <w:bodyDiv w:val="1"/>
      <w:marLeft w:val="0"/>
      <w:marRight w:val="0"/>
      <w:marTop w:val="0"/>
      <w:marBottom w:val="0"/>
      <w:divBdr>
        <w:top w:val="none" w:sz="0" w:space="0" w:color="auto"/>
        <w:left w:val="none" w:sz="0" w:space="0" w:color="auto"/>
        <w:bottom w:val="none" w:sz="0" w:space="0" w:color="auto"/>
        <w:right w:val="none" w:sz="0" w:space="0" w:color="auto"/>
      </w:divBdr>
    </w:div>
    <w:div w:id="1806121370">
      <w:bodyDiv w:val="1"/>
      <w:marLeft w:val="0"/>
      <w:marRight w:val="0"/>
      <w:marTop w:val="0"/>
      <w:marBottom w:val="0"/>
      <w:divBdr>
        <w:top w:val="none" w:sz="0" w:space="0" w:color="auto"/>
        <w:left w:val="none" w:sz="0" w:space="0" w:color="auto"/>
        <w:bottom w:val="none" w:sz="0" w:space="0" w:color="auto"/>
        <w:right w:val="none" w:sz="0" w:space="0" w:color="auto"/>
      </w:divBdr>
    </w:div>
    <w:div w:id="1807045918">
      <w:bodyDiv w:val="1"/>
      <w:marLeft w:val="0"/>
      <w:marRight w:val="0"/>
      <w:marTop w:val="0"/>
      <w:marBottom w:val="0"/>
      <w:divBdr>
        <w:top w:val="none" w:sz="0" w:space="0" w:color="auto"/>
        <w:left w:val="none" w:sz="0" w:space="0" w:color="auto"/>
        <w:bottom w:val="none" w:sz="0" w:space="0" w:color="auto"/>
        <w:right w:val="none" w:sz="0" w:space="0" w:color="auto"/>
      </w:divBdr>
    </w:div>
    <w:div w:id="1809738443">
      <w:bodyDiv w:val="1"/>
      <w:marLeft w:val="0"/>
      <w:marRight w:val="0"/>
      <w:marTop w:val="0"/>
      <w:marBottom w:val="0"/>
      <w:divBdr>
        <w:top w:val="none" w:sz="0" w:space="0" w:color="auto"/>
        <w:left w:val="none" w:sz="0" w:space="0" w:color="auto"/>
        <w:bottom w:val="none" w:sz="0" w:space="0" w:color="auto"/>
        <w:right w:val="none" w:sz="0" w:space="0" w:color="auto"/>
      </w:divBdr>
    </w:div>
    <w:div w:id="1811702897">
      <w:bodyDiv w:val="1"/>
      <w:marLeft w:val="0"/>
      <w:marRight w:val="0"/>
      <w:marTop w:val="0"/>
      <w:marBottom w:val="0"/>
      <w:divBdr>
        <w:top w:val="none" w:sz="0" w:space="0" w:color="auto"/>
        <w:left w:val="none" w:sz="0" w:space="0" w:color="auto"/>
        <w:bottom w:val="none" w:sz="0" w:space="0" w:color="auto"/>
        <w:right w:val="none" w:sz="0" w:space="0" w:color="auto"/>
      </w:divBdr>
    </w:div>
    <w:div w:id="1812940997">
      <w:bodyDiv w:val="1"/>
      <w:marLeft w:val="0"/>
      <w:marRight w:val="0"/>
      <w:marTop w:val="0"/>
      <w:marBottom w:val="0"/>
      <w:divBdr>
        <w:top w:val="none" w:sz="0" w:space="0" w:color="auto"/>
        <w:left w:val="none" w:sz="0" w:space="0" w:color="auto"/>
        <w:bottom w:val="none" w:sz="0" w:space="0" w:color="auto"/>
        <w:right w:val="none" w:sz="0" w:space="0" w:color="auto"/>
      </w:divBdr>
    </w:div>
    <w:div w:id="1813398498">
      <w:bodyDiv w:val="1"/>
      <w:marLeft w:val="0"/>
      <w:marRight w:val="0"/>
      <w:marTop w:val="0"/>
      <w:marBottom w:val="0"/>
      <w:divBdr>
        <w:top w:val="none" w:sz="0" w:space="0" w:color="auto"/>
        <w:left w:val="none" w:sz="0" w:space="0" w:color="auto"/>
        <w:bottom w:val="none" w:sz="0" w:space="0" w:color="auto"/>
        <w:right w:val="none" w:sz="0" w:space="0" w:color="auto"/>
      </w:divBdr>
    </w:div>
    <w:div w:id="1816023994">
      <w:bodyDiv w:val="1"/>
      <w:marLeft w:val="0"/>
      <w:marRight w:val="0"/>
      <w:marTop w:val="0"/>
      <w:marBottom w:val="0"/>
      <w:divBdr>
        <w:top w:val="none" w:sz="0" w:space="0" w:color="auto"/>
        <w:left w:val="none" w:sz="0" w:space="0" w:color="auto"/>
        <w:bottom w:val="none" w:sz="0" w:space="0" w:color="auto"/>
        <w:right w:val="none" w:sz="0" w:space="0" w:color="auto"/>
      </w:divBdr>
    </w:div>
    <w:div w:id="1816608015">
      <w:bodyDiv w:val="1"/>
      <w:marLeft w:val="0"/>
      <w:marRight w:val="0"/>
      <w:marTop w:val="0"/>
      <w:marBottom w:val="0"/>
      <w:divBdr>
        <w:top w:val="none" w:sz="0" w:space="0" w:color="auto"/>
        <w:left w:val="none" w:sz="0" w:space="0" w:color="auto"/>
        <w:bottom w:val="none" w:sz="0" w:space="0" w:color="auto"/>
        <w:right w:val="none" w:sz="0" w:space="0" w:color="auto"/>
      </w:divBdr>
    </w:div>
    <w:div w:id="1818179377">
      <w:bodyDiv w:val="1"/>
      <w:marLeft w:val="0"/>
      <w:marRight w:val="0"/>
      <w:marTop w:val="0"/>
      <w:marBottom w:val="0"/>
      <w:divBdr>
        <w:top w:val="none" w:sz="0" w:space="0" w:color="auto"/>
        <w:left w:val="none" w:sz="0" w:space="0" w:color="auto"/>
        <w:bottom w:val="none" w:sz="0" w:space="0" w:color="auto"/>
        <w:right w:val="none" w:sz="0" w:space="0" w:color="auto"/>
      </w:divBdr>
    </w:div>
    <w:div w:id="1820000830">
      <w:bodyDiv w:val="1"/>
      <w:marLeft w:val="0"/>
      <w:marRight w:val="0"/>
      <w:marTop w:val="0"/>
      <w:marBottom w:val="0"/>
      <w:divBdr>
        <w:top w:val="none" w:sz="0" w:space="0" w:color="auto"/>
        <w:left w:val="none" w:sz="0" w:space="0" w:color="auto"/>
        <w:bottom w:val="none" w:sz="0" w:space="0" w:color="auto"/>
        <w:right w:val="none" w:sz="0" w:space="0" w:color="auto"/>
      </w:divBdr>
    </w:div>
    <w:div w:id="1820658540">
      <w:bodyDiv w:val="1"/>
      <w:marLeft w:val="0"/>
      <w:marRight w:val="0"/>
      <w:marTop w:val="0"/>
      <w:marBottom w:val="0"/>
      <w:divBdr>
        <w:top w:val="none" w:sz="0" w:space="0" w:color="auto"/>
        <w:left w:val="none" w:sz="0" w:space="0" w:color="auto"/>
        <w:bottom w:val="none" w:sz="0" w:space="0" w:color="auto"/>
        <w:right w:val="none" w:sz="0" w:space="0" w:color="auto"/>
      </w:divBdr>
    </w:div>
    <w:div w:id="1820926246">
      <w:bodyDiv w:val="1"/>
      <w:marLeft w:val="0"/>
      <w:marRight w:val="0"/>
      <w:marTop w:val="0"/>
      <w:marBottom w:val="0"/>
      <w:divBdr>
        <w:top w:val="none" w:sz="0" w:space="0" w:color="auto"/>
        <w:left w:val="none" w:sz="0" w:space="0" w:color="auto"/>
        <w:bottom w:val="none" w:sz="0" w:space="0" w:color="auto"/>
        <w:right w:val="none" w:sz="0" w:space="0" w:color="auto"/>
      </w:divBdr>
    </w:div>
    <w:div w:id="1822115410">
      <w:bodyDiv w:val="1"/>
      <w:marLeft w:val="0"/>
      <w:marRight w:val="0"/>
      <w:marTop w:val="0"/>
      <w:marBottom w:val="0"/>
      <w:divBdr>
        <w:top w:val="none" w:sz="0" w:space="0" w:color="auto"/>
        <w:left w:val="none" w:sz="0" w:space="0" w:color="auto"/>
        <w:bottom w:val="none" w:sz="0" w:space="0" w:color="auto"/>
        <w:right w:val="none" w:sz="0" w:space="0" w:color="auto"/>
      </w:divBdr>
    </w:div>
    <w:div w:id="1825051503">
      <w:bodyDiv w:val="1"/>
      <w:marLeft w:val="0"/>
      <w:marRight w:val="0"/>
      <w:marTop w:val="0"/>
      <w:marBottom w:val="0"/>
      <w:divBdr>
        <w:top w:val="none" w:sz="0" w:space="0" w:color="auto"/>
        <w:left w:val="none" w:sz="0" w:space="0" w:color="auto"/>
        <w:bottom w:val="none" w:sz="0" w:space="0" w:color="auto"/>
        <w:right w:val="none" w:sz="0" w:space="0" w:color="auto"/>
      </w:divBdr>
    </w:div>
    <w:div w:id="1825851245">
      <w:bodyDiv w:val="1"/>
      <w:marLeft w:val="0"/>
      <w:marRight w:val="0"/>
      <w:marTop w:val="0"/>
      <w:marBottom w:val="0"/>
      <w:divBdr>
        <w:top w:val="none" w:sz="0" w:space="0" w:color="auto"/>
        <w:left w:val="none" w:sz="0" w:space="0" w:color="auto"/>
        <w:bottom w:val="none" w:sz="0" w:space="0" w:color="auto"/>
        <w:right w:val="none" w:sz="0" w:space="0" w:color="auto"/>
      </w:divBdr>
    </w:div>
    <w:div w:id="1825856045">
      <w:bodyDiv w:val="1"/>
      <w:marLeft w:val="0"/>
      <w:marRight w:val="0"/>
      <w:marTop w:val="0"/>
      <w:marBottom w:val="0"/>
      <w:divBdr>
        <w:top w:val="none" w:sz="0" w:space="0" w:color="auto"/>
        <w:left w:val="none" w:sz="0" w:space="0" w:color="auto"/>
        <w:bottom w:val="none" w:sz="0" w:space="0" w:color="auto"/>
        <w:right w:val="none" w:sz="0" w:space="0" w:color="auto"/>
      </w:divBdr>
      <w:divsChild>
        <w:div w:id="617832305">
          <w:marLeft w:val="547"/>
          <w:marRight w:val="0"/>
          <w:marTop w:val="0"/>
          <w:marBottom w:val="0"/>
          <w:divBdr>
            <w:top w:val="none" w:sz="0" w:space="0" w:color="auto"/>
            <w:left w:val="none" w:sz="0" w:space="0" w:color="auto"/>
            <w:bottom w:val="none" w:sz="0" w:space="0" w:color="auto"/>
            <w:right w:val="none" w:sz="0" w:space="0" w:color="auto"/>
          </w:divBdr>
        </w:div>
        <w:div w:id="639043458">
          <w:marLeft w:val="547"/>
          <w:marRight w:val="0"/>
          <w:marTop w:val="0"/>
          <w:marBottom w:val="0"/>
          <w:divBdr>
            <w:top w:val="none" w:sz="0" w:space="0" w:color="auto"/>
            <w:left w:val="none" w:sz="0" w:space="0" w:color="auto"/>
            <w:bottom w:val="none" w:sz="0" w:space="0" w:color="auto"/>
            <w:right w:val="none" w:sz="0" w:space="0" w:color="auto"/>
          </w:divBdr>
        </w:div>
        <w:div w:id="1389912924">
          <w:marLeft w:val="547"/>
          <w:marRight w:val="0"/>
          <w:marTop w:val="0"/>
          <w:marBottom w:val="0"/>
          <w:divBdr>
            <w:top w:val="none" w:sz="0" w:space="0" w:color="auto"/>
            <w:left w:val="none" w:sz="0" w:space="0" w:color="auto"/>
            <w:bottom w:val="none" w:sz="0" w:space="0" w:color="auto"/>
            <w:right w:val="none" w:sz="0" w:space="0" w:color="auto"/>
          </w:divBdr>
        </w:div>
        <w:div w:id="1589272160">
          <w:marLeft w:val="547"/>
          <w:marRight w:val="0"/>
          <w:marTop w:val="0"/>
          <w:marBottom w:val="0"/>
          <w:divBdr>
            <w:top w:val="none" w:sz="0" w:space="0" w:color="auto"/>
            <w:left w:val="none" w:sz="0" w:space="0" w:color="auto"/>
            <w:bottom w:val="none" w:sz="0" w:space="0" w:color="auto"/>
            <w:right w:val="none" w:sz="0" w:space="0" w:color="auto"/>
          </w:divBdr>
        </w:div>
      </w:divsChild>
    </w:div>
    <w:div w:id="1827550106">
      <w:bodyDiv w:val="1"/>
      <w:marLeft w:val="0"/>
      <w:marRight w:val="0"/>
      <w:marTop w:val="0"/>
      <w:marBottom w:val="0"/>
      <w:divBdr>
        <w:top w:val="none" w:sz="0" w:space="0" w:color="auto"/>
        <w:left w:val="none" w:sz="0" w:space="0" w:color="auto"/>
        <w:bottom w:val="none" w:sz="0" w:space="0" w:color="auto"/>
        <w:right w:val="none" w:sz="0" w:space="0" w:color="auto"/>
      </w:divBdr>
    </w:div>
    <w:div w:id="1827668684">
      <w:bodyDiv w:val="1"/>
      <w:marLeft w:val="0"/>
      <w:marRight w:val="0"/>
      <w:marTop w:val="0"/>
      <w:marBottom w:val="0"/>
      <w:divBdr>
        <w:top w:val="none" w:sz="0" w:space="0" w:color="auto"/>
        <w:left w:val="none" w:sz="0" w:space="0" w:color="auto"/>
        <w:bottom w:val="none" w:sz="0" w:space="0" w:color="auto"/>
        <w:right w:val="none" w:sz="0" w:space="0" w:color="auto"/>
      </w:divBdr>
    </w:div>
    <w:div w:id="1827743357">
      <w:bodyDiv w:val="1"/>
      <w:marLeft w:val="0"/>
      <w:marRight w:val="0"/>
      <w:marTop w:val="0"/>
      <w:marBottom w:val="0"/>
      <w:divBdr>
        <w:top w:val="none" w:sz="0" w:space="0" w:color="auto"/>
        <w:left w:val="none" w:sz="0" w:space="0" w:color="auto"/>
        <w:bottom w:val="none" w:sz="0" w:space="0" w:color="auto"/>
        <w:right w:val="none" w:sz="0" w:space="0" w:color="auto"/>
      </w:divBdr>
    </w:div>
    <w:div w:id="1827941896">
      <w:bodyDiv w:val="1"/>
      <w:marLeft w:val="0"/>
      <w:marRight w:val="0"/>
      <w:marTop w:val="0"/>
      <w:marBottom w:val="0"/>
      <w:divBdr>
        <w:top w:val="none" w:sz="0" w:space="0" w:color="auto"/>
        <w:left w:val="none" w:sz="0" w:space="0" w:color="auto"/>
        <w:bottom w:val="none" w:sz="0" w:space="0" w:color="auto"/>
        <w:right w:val="none" w:sz="0" w:space="0" w:color="auto"/>
      </w:divBdr>
    </w:div>
    <w:div w:id="1833449941">
      <w:bodyDiv w:val="1"/>
      <w:marLeft w:val="0"/>
      <w:marRight w:val="0"/>
      <w:marTop w:val="0"/>
      <w:marBottom w:val="0"/>
      <w:divBdr>
        <w:top w:val="none" w:sz="0" w:space="0" w:color="auto"/>
        <w:left w:val="none" w:sz="0" w:space="0" w:color="auto"/>
        <w:bottom w:val="none" w:sz="0" w:space="0" w:color="auto"/>
        <w:right w:val="none" w:sz="0" w:space="0" w:color="auto"/>
      </w:divBdr>
    </w:div>
    <w:div w:id="1834879353">
      <w:bodyDiv w:val="1"/>
      <w:marLeft w:val="0"/>
      <w:marRight w:val="0"/>
      <w:marTop w:val="0"/>
      <w:marBottom w:val="0"/>
      <w:divBdr>
        <w:top w:val="none" w:sz="0" w:space="0" w:color="auto"/>
        <w:left w:val="none" w:sz="0" w:space="0" w:color="auto"/>
        <w:bottom w:val="none" w:sz="0" w:space="0" w:color="auto"/>
        <w:right w:val="none" w:sz="0" w:space="0" w:color="auto"/>
      </w:divBdr>
    </w:div>
    <w:div w:id="1834950683">
      <w:bodyDiv w:val="1"/>
      <w:marLeft w:val="0"/>
      <w:marRight w:val="0"/>
      <w:marTop w:val="0"/>
      <w:marBottom w:val="0"/>
      <w:divBdr>
        <w:top w:val="none" w:sz="0" w:space="0" w:color="auto"/>
        <w:left w:val="none" w:sz="0" w:space="0" w:color="auto"/>
        <w:bottom w:val="none" w:sz="0" w:space="0" w:color="auto"/>
        <w:right w:val="none" w:sz="0" w:space="0" w:color="auto"/>
      </w:divBdr>
    </w:div>
    <w:div w:id="1835417544">
      <w:bodyDiv w:val="1"/>
      <w:marLeft w:val="0"/>
      <w:marRight w:val="0"/>
      <w:marTop w:val="0"/>
      <w:marBottom w:val="0"/>
      <w:divBdr>
        <w:top w:val="none" w:sz="0" w:space="0" w:color="auto"/>
        <w:left w:val="none" w:sz="0" w:space="0" w:color="auto"/>
        <w:bottom w:val="none" w:sz="0" w:space="0" w:color="auto"/>
        <w:right w:val="none" w:sz="0" w:space="0" w:color="auto"/>
      </w:divBdr>
    </w:div>
    <w:div w:id="1836460541">
      <w:bodyDiv w:val="1"/>
      <w:marLeft w:val="0"/>
      <w:marRight w:val="0"/>
      <w:marTop w:val="0"/>
      <w:marBottom w:val="0"/>
      <w:divBdr>
        <w:top w:val="none" w:sz="0" w:space="0" w:color="auto"/>
        <w:left w:val="none" w:sz="0" w:space="0" w:color="auto"/>
        <w:bottom w:val="none" w:sz="0" w:space="0" w:color="auto"/>
        <w:right w:val="none" w:sz="0" w:space="0" w:color="auto"/>
      </w:divBdr>
    </w:div>
    <w:div w:id="1836652598">
      <w:bodyDiv w:val="1"/>
      <w:marLeft w:val="0"/>
      <w:marRight w:val="0"/>
      <w:marTop w:val="0"/>
      <w:marBottom w:val="0"/>
      <w:divBdr>
        <w:top w:val="none" w:sz="0" w:space="0" w:color="auto"/>
        <w:left w:val="none" w:sz="0" w:space="0" w:color="auto"/>
        <w:bottom w:val="none" w:sz="0" w:space="0" w:color="auto"/>
        <w:right w:val="none" w:sz="0" w:space="0" w:color="auto"/>
      </w:divBdr>
    </w:div>
    <w:div w:id="1838885026">
      <w:bodyDiv w:val="1"/>
      <w:marLeft w:val="0"/>
      <w:marRight w:val="0"/>
      <w:marTop w:val="0"/>
      <w:marBottom w:val="0"/>
      <w:divBdr>
        <w:top w:val="none" w:sz="0" w:space="0" w:color="auto"/>
        <w:left w:val="none" w:sz="0" w:space="0" w:color="auto"/>
        <w:bottom w:val="none" w:sz="0" w:space="0" w:color="auto"/>
        <w:right w:val="none" w:sz="0" w:space="0" w:color="auto"/>
      </w:divBdr>
    </w:div>
    <w:div w:id="1838960279">
      <w:bodyDiv w:val="1"/>
      <w:marLeft w:val="0"/>
      <w:marRight w:val="0"/>
      <w:marTop w:val="0"/>
      <w:marBottom w:val="0"/>
      <w:divBdr>
        <w:top w:val="none" w:sz="0" w:space="0" w:color="auto"/>
        <w:left w:val="none" w:sz="0" w:space="0" w:color="auto"/>
        <w:bottom w:val="none" w:sz="0" w:space="0" w:color="auto"/>
        <w:right w:val="none" w:sz="0" w:space="0" w:color="auto"/>
      </w:divBdr>
    </w:div>
    <w:div w:id="1840727949">
      <w:bodyDiv w:val="1"/>
      <w:marLeft w:val="0"/>
      <w:marRight w:val="0"/>
      <w:marTop w:val="0"/>
      <w:marBottom w:val="0"/>
      <w:divBdr>
        <w:top w:val="none" w:sz="0" w:space="0" w:color="auto"/>
        <w:left w:val="none" w:sz="0" w:space="0" w:color="auto"/>
        <w:bottom w:val="none" w:sz="0" w:space="0" w:color="auto"/>
        <w:right w:val="none" w:sz="0" w:space="0" w:color="auto"/>
      </w:divBdr>
    </w:div>
    <w:div w:id="1841196714">
      <w:bodyDiv w:val="1"/>
      <w:marLeft w:val="0"/>
      <w:marRight w:val="0"/>
      <w:marTop w:val="0"/>
      <w:marBottom w:val="0"/>
      <w:divBdr>
        <w:top w:val="none" w:sz="0" w:space="0" w:color="auto"/>
        <w:left w:val="none" w:sz="0" w:space="0" w:color="auto"/>
        <w:bottom w:val="none" w:sz="0" w:space="0" w:color="auto"/>
        <w:right w:val="none" w:sz="0" w:space="0" w:color="auto"/>
      </w:divBdr>
    </w:div>
    <w:div w:id="1845775747">
      <w:bodyDiv w:val="1"/>
      <w:marLeft w:val="0"/>
      <w:marRight w:val="0"/>
      <w:marTop w:val="0"/>
      <w:marBottom w:val="0"/>
      <w:divBdr>
        <w:top w:val="none" w:sz="0" w:space="0" w:color="auto"/>
        <w:left w:val="none" w:sz="0" w:space="0" w:color="auto"/>
        <w:bottom w:val="none" w:sz="0" w:space="0" w:color="auto"/>
        <w:right w:val="none" w:sz="0" w:space="0" w:color="auto"/>
      </w:divBdr>
    </w:div>
    <w:div w:id="1845851270">
      <w:bodyDiv w:val="1"/>
      <w:marLeft w:val="0"/>
      <w:marRight w:val="0"/>
      <w:marTop w:val="0"/>
      <w:marBottom w:val="0"/>
      <w:divBdr>
        <w:top w:val="none" w:sz="0" w:space="0" w:color="auto"/>
        <w:left w:val="none" w:sz="0" w:space="0" w:color="auto"/>
        <w:bottom w:val="none" w:sz="0" w:space="0" w:color="auto"/>
        <w:right w:val="none" w:sz="0" w:space="0" w:color="auto"/>
      </w:divBdr>
    </w:div>
    <w:div w:id="1846163126">
      <w:bodyDiv w:val="1"/>
      <w:marLeft w:val="0"/>
      <w:marRight w:val="0"/>
      <w:marTop w:val="0"/>
      <w:marBottom w:val="0"/>
      <w:divBdr>
        <w:top w:val="none" w:sz="0" w:space="0" w:color="auto"/>
        <w:left w:val="none" w:sz="0" w:space="0" w:color="auto"/>
        <w:bottom w:val="none" w:sz="0" w:space="0" w:color="auto"/>
        <w:right w:val="none" w:sz="0" w:space="0" w:color="auto"/>
      </w:divBdr>
    </w:div>
    <w:div w:id="1846360582">
      <w:bodyDiv w:val="1"/>
      <w:marLeft w:val="0"/>
      <w:marRight w:val="0"/>
      <w:marTop w:val="0"/>
      <w:marBottom w:val="0"/>
      <w:divBdr>
        <w:top w:val="none" w:sz="0" w:space="0" w:color="auto"/>
        <w:left w:val="none" w:sz="0" w:space="0" w:color="auto"/>
        <w:bottom w:val="none" w:sz="0" w:space="0" w:color="auto"/>
        <w:right w:val="none" w:sz="0" w:space="0" w:color="auto"/>
      </w:divBdr>
    </w:div>
    <w:div w:id="1848014850">
      <w:bodyDiv w:val="1"/>
      <w:marLeft w:val="0"/>
      <w:marRight w:val="0"/>
      <w:marTop w:val="0"/>
      <w:marBottom w:val="0"/>
      <w:divBdr>
        <w:top w:val="none" w:sz="0" w:space="0" w:color="auto"/>
        <w:left w:val="none" w:sz="0" w:space="0" w:color="auto"/>
        <w:bottom w:val="none" w:sz="0" w:space="0" w:color="auto"/>
        <w:right w:val="none" w:sz="0" w:space="0" w:color="auto"/>
      </w:divBdr>
    </w:div>
    <w:div w:id="1849714815">
      <w:bodyDiv w:val="1"/>
      <w:marLeft w:val="0"/>
      <w:marRight w:val="0"/>
      <w:marTop w:val="0"/>
      <w:marBottom w:val="0"/>
      <w:divBdr>
        <w:top w:val="none" w:sz="0" w:space="0" w:color="auto"/>
        <w:left w:val="none" w:sz="0" w:space="0" w:color="auto"/>
        <w:bottom w:val="none" w:sz="0" w:space="0" w:color="auto"/>
        <w:right w:val="none" w:sz="0" w:space="0" w:color="auto"/>
      </w:divBdr>
    </w:div>
    <w:div w:id="1849757099">
      <w:bodyDiv w:val="1"/>
      <w:marLeft w:val="0"/>
      <w:marRight w:val="0"/>
      <w:marTop w:val="0"/>
      <w:marBottom w:val="0"/>
      <w:divBdr>
        <w:top w:val="none" w:sz="0" w:space="0" w:color="auto"/>
        <w:left w:val="none" w:sz="0" w:space="0" w:color="auto"/>
        <w:bottom w:val="none" w:sz="0" w:space="0" w:color="auto"/>
        <w:right w:val="none" w:sz="0" w:space="0" w:color="auto"/>
      </w:divBdr>
    </w:div>
    <w:div w:id="1850607430">
      <w:bodyDiv w:val="1"/>
      <w:marLeft w:val="0"/>
      <w:marRight w:val="0"/>
      <w:marTop w:val="0"/>
      <w:marBottom w:val="0"/>
      <w:divBdr>
        <w:top w:val="none" w:sz="0" w:space="0" w:color="auto"/>
        <w:left w:val="none" w:sz="0" w:space="0" w:color="auto"/>
        <w:bottom w:val="none" w:sz="0" w:space="0" w:color="auto"/>
        <w:right w:val="none" w:sz="0" w:space="0" w:color="auto"/>
      </w:divBdr>
    </w:div>
    <w:div w:id="1852066386">
      <w:bodyDiv w:val="1"/>
      <w:marLeft w:val="0"/>
      <w:marRight w:val="0"/>
      <w:marTop w:val="0"/>
      <w:marBottom w:val="0"/>
      <w:divBdr>
        <w:top w:val="none" w:sz="0" w:space="0" w:color="auto"/>
        <w:left w:val="none" w:sz="0" w:space="0" w:color="auto"/>
        <w:bottom w:val="none" w:sz="0" w:space="0" w:color="auto"/>
        <w:right w:val="none" w:sz="0" w:space="0" w:color="auto"/>
      </w:divBdr>
    </w:div>
    <w:div w:id="1856184978">
      <w:bodyDiv w:val="1"/>
      <w:marLeft w:val="0"/>
      <w:marRight w:val="0"/>
      <w:marTop w:val="0"/>
      <w:marBottom w:val="0"/>
      <w:divBdr>
        <w:top w:val="none" w:sz="0" w:space="0" w:color="auto"/>
        <w:left w:val="none" w:sz="0" w:space="0" w:color="auto"/>
        <w:bottom w:val="none" w:sz="0" w:space="0" w:color="auto"/>
        <w:right w:val="none" w:sz="0" w:space="0" w:color="auto"/>
      </w:divBdr>
    </w:div>
    <w:div w:id="1858151163">
      <w:bodyDiv w:val="1"/>
      <w:marLeft w:val="0"/>
      <w:marRight w:val="0"/>
      <w:marTop w:val="0"/>
      <w:marBottom w:val="0"/>
      <w:divBdr>
        <w:top w:val="none" w:sz="0" w:space="0" w:color="auto"/>
        <w:left w:val="none" w:sz="0" w:space="0" w:color="auto"/>
        <w:bottom w:val="none" w:sz="0" w:space="0" w:color="auto"/>
        <w:right w:val="none" w:sz="0" w:space="0" w:color="auto"/>
      </w:divBdr>
    </w:div>
    <w:div w:id="1860856190">
      <w:bodyDiv w:val="1"/>
      <w:marLeft w:val="0"/>
      <w:marRight w:val="0"/>
      <w:marTop w:val="0"/>
      <w:marBottom w:val="0"/>
      <w:divBdr>
        <w:top w:val="none" w:sz="0" w:space="0" w:color="auto"/>
        <w:left w:val="none" w:sz="0" w:space="0" w:color="auto"/>
        <w:bottom w:val="none" w:sz="0" w:space="0" w:color="auto"/>
        <w:right w:val="none" w:sz="0" w:space="0" w:color="auto"/>
      </w:divBdr>
    </w:div>
    <w:div w:id="1861123185">
      <w:bodyDiv w:val="1"/>
      <w:marLeft w:val="0"/>
      <w:marRight w:val="0"/>
      <w:marTop w:val="0"/>
      <w:marBottom w:val="0"/>
      <w:divBdr>
        <w:top w:val="none" w:sz="0" w:space="0" w:color="auto"/>
        <w:left w:val="none" w:sz="0" w:space="0" w:color="auto"/>
        <w:bottom w:val="none" w:sz="0" w:space="0" w:color="auto"/>
        <w:right w:val="none" w:sz="0" w:space="0" w:color="auto"/>
      </w:divBdr>
    </w:div>
    <w:div w:id="1862353015">
      <w:bodyDiv w:val="1"/>
      <w:marLeft w:val="0"/>
      <w:marRight w:val="0"/>
      <w:marTop w:val="0"/>
      <w:marBottom w:val="0"/>
      <w:divBdr>
        <w:top w:val="none" w:sz="0" w:space="0" w:color="auto"/>
        <w:left w:val="none" w:sz="0" w:space="0" w:color="auto"/>
        <w:bottom w:val="none" w:sz="0" w:space="0" w:color="auto"/>
        <w:right w:val="none" w:sz="0" w:space="0" w:color="auto"/>
      </w:divBdr>
    </w:div>
    <w:div w:id="1862471076">
      <w:bodyDiv w:val="1"/>
      <w:marLeft w:val="0"/>
      <w:marRight w:val="0"/>
      <w:marTop w:val="0"/>
      <w:marBottom w:val="0"/>
      <w:divBdr>
        <w:top w:val="none" w:sz="0" w:space="0" w:color="auto"/>
        <w:left w:val="none" w:sz="0" w:space="0" w:color="auto"/>
        <w:bottom w:val="none" w:sz="0" w:space="0" w:color="auto"/>
        <w:right w:val="none" w:sz="0" w:space="0" w:color="auto"/>
      </w:divBdr>
    </w:div>
    <w:div w:id="1863014792">
      <w:bodyDiv w:val="1"/>
      <w:marLeft w:val="0"/>
      <w:marRight w:val="0"/>
      <w:marTop w:val="0"/>
      <w:marBottom w:val="0"/>
      <w:divBdr>
        <w:top w:val="none" w:sz="0" w:space="0" w:color="auto"/>
        <w:left w:val="none" w:sz="0" w:space="0" w:color="auto"/>
        <w:bottom w:val="none" w:sz="0" w:space="0" w:color="auto"/>
        <w:right w:val="none" w:sz="0" w:space="0" w:color="auto"/>
      </w:divBdr>
    </w:div>
    <w:div w:id="1863084013">
      <w:bodyDiv w:val="1"/>
      <w:marLeft w:val="0"/>
      <w:marRight w:val="0"/>
      <w:marTop w:val="0"/>
      <w:marBottom w:val="0"/>
      <w:divBdr>
        <w:top w:val="none" w:sz="0" w:space="0" w:color="auto"/>
        <w:left w:val="none" w:sz="0" w:space="0" w:color="auto"/>
        <w:bottom w:val="none" w:sz="0" w:space="0" w:color="auto"/>
        <w:right w:val="none" w:sz="0" w:space="0" w:color="auto"/>
      </w:divBdr>
    </w:div>
    <w:div w:id="1863468763">
      <w:bodyDiv w:val="1"/>
      <w:marLeft w:val="0"/>
      <w:marRight w:val="0"/>
      <w:marTop w:val="0"/>
      <w:marBottom w:val="0"/>
      <w:divBdr>
        <w:top w:val="none" w:sz="0" w:space="0" w:color="auto"/>
        <w:left w:val="none" w:sz="0" w:space="0" w:color="auto"/>
        <w:bottom w:val="none" w:sz="0" w:space="0" w:color="auto"/>
        <w:right w:val="none" w:sz="0" w:space="0" w:color="auto"/>
      </w:divBdr>
    </w:div>
    <w:div w:id="1864787304">
      <w:bodyDiv w:val="1"/>
      <w:marLeft w:val="0"/>
      <w:marRight w:val="0"/>
      <w:marTop w:val="0"/>
      <w:marBottom w:val="0"/>
      <w:divBdr>
        <w:top w:val="none" w:sz="0" w:space="0" w:color="auto"/>
        <w:left w:val="none" w:sz="0" w:space="0" w:color="auto"/>
        <w:bottom w:val="none" w:sz="0" w:space="0" w:color="auto"/>
        <w:right w:val="none" w:sz="0" w:space="0" w:color="auto"/>
      </w:divBdr>
    </w:div>
    <w:div w:id="1869021616">
      <w:bodyDiv w:val="1"/>
      <w:marLeft w:val="0"/>
      <w:marRight w:val="0"/>
      <w:marTop w:val="0"/>
      <w:marBottom w:val="0"/>
      <w:divBdr>
        <w:top w:val="none" w:sz="0" w:space="0" w:color="auto"/>
        <w:left w:val="none" w:sz="0" w:space="0" w:color="auto"/>
        <w:bottom w:val="none" w:sz="0" w:space="0" w:color="auto"/>
        <w:right w:val="none" w:sz="0" w:space="0" w:color="auto"/>
      </w:divBdr>
    </w:div>
    <w:div w:id="1872261355">
      <w:bodyDiv w:val="1"/>
      <w:marLeft w:val="0"/>
      <w:marRight w:val="0"/>
      <w:marTop w:val="0"/>
      <w:marBottom w:val="0"/>
      <w:divBdr>
        <w:top w:val="none" w:sz="0" w:space="0" w:color="auto"/>
        <w:left w:val="none" w:sz="0" w:space="0" w:color="auto"/>
        <w:bottom w:val="none" w:sz="0" w:space="0" w:color="auto"/>
        <w:right w:val="none" w:sz="0" w:space="0" w:color="auto"/>
      </w:divBdr>
    </w:div>
    <w:div w:id="1875116319">
      <w:bodyDiv w:val="1"/>
      <w:marLeft w:val="0"/>
      <w:marRight w:val="0"/>
      <w:marTop w:val="0"/>
      <w:marBottom w:val="0"/>
      <w:divBdr>
        <w:top w:val="none" w:sz="0" w:space="0" w:color="auto"/>
        <w:left w:val="none" w:sz="0" w:space="0" w:color="auto"/>
        <w:bottom w:val="none" w:sz="0" w:space="0" w:color="auto"/>
        <w:right w:val="none" w:sz="0" w:space="0" w:color="auto"/>
      </w:divBdr>
    </w:div>
    <w:div w:id="1875536994">
      <w:bodyDiv w:val="1"/>
      <w:marLeft w:val="0"/>
      <w:marRight w:val="0"/>
      <w:marTop w:val="0"/>
      <w:marBottom w:val="0"/>
      <w:divBdr>
        <w:top w:val="none" w:sz="0" w:space="0" w:color="auto"/>
        <w:left w:val="none" w:sz="0" w:space="0" w:color="auto"/>
        <w:bottom w:val="none" w:sz="0" w:space="0" w:color="auto"/>
        <w:right w:val="none" w:sz="0" w:space="0" w:color="auto"/>
      </w:divBdr>
    </w:div>
    <w:div w:id="1877624200">
      <w:bodyDiv w:val="1"/>
      <w:marLeft w:val="0"/>
      <w:marRight w:val="0"/>
      <w:marTop w:val="0"/>
      <w:marBottom w:val="0"/>
      <w:divBdr>
        <w:top w:val="none" w:sz="0" w:space="0" w:color="auto"/>
        <w:left w:val="none" w:sz="0" w:space="0" w:color="auto"/>
        <w:bottom w:val="none" w:sz="0" w:space="0" w:color="auto"/>
        <w:right w:val="none" w:sz="0" w:space="0" w:color="auto"/>
      </w:divBdr>
    </w:div>
    <w:div w:id="1878010219">
      <w:bodyDiv w:val="1"/>
      <w:marLeft w:val="0"/>
      <w:marRight w:val="0"/>
      <w:marTop w:val="0"/>
      <w:marBottom w:val="0"/>
      <w:divBdr>
        <w:top w:val="none" w:sz="0" w:space="0" w:color="auto"/>
        <w:left w:val="none" w:sz="0" w:space="0" w:color="auto"/>
        <w:bottom w:val="none" w:sz="0" w:space="0" w:color="auto"/>
        <w:right w:val="none" w:sz="0" w:space="0" w:color="auto"/>
      </w:divBdr>
    </w:div>
    <w:div w:id="1879853638">
      <w:bodyDiv w:val="1"/>
      <w:marLeft w:val="0"/>
      <w:marRight w:val="0"/>
      <w:marTop w:val="0"/>
      <w:marBottom w:val="0"/>
      <w:divBdr>
        <w:top w:val="none" w:sz="0" w:space="0" w:color="auto"/>
        <w:left w:val="none" w:sz="0" w:space="0" w:color="auto"/>
        <w:bottom w:val="none" w:sz="0" w:space="0" w:color="auto"/>
        <w:right w:val="none" w:sz="0" w:space="0" w:color="auto"/>
      </w:divBdr>
    </w:div>
    <w:div w:id="1880632110">
      <w:bodyDiv w:val="1"/>
      <w:marLeft w:val="0"/>
      <w:marRight w:val="0"/>
      <w:marTop w:val="0"/>
      <w:marBottom w:val="0"/>
      <w:divBdr>
        <w:top w:val="none" w:sz="0" w:space="0" w:color="auto"/>
        <w:left w:val="none" w:sz="0" w:space="0" w:color="auto"/>
        <w:bottom w:val="none" w:sz="0" w:space="0" w:color="auto"/>
        <w:right w:val="none" w:sz="0" w:space="0" w:color="auto"/>
      </w:divBdr>
    </w:div>
    <w:div w:id="1881357916">
      <w:bodyDiv w:val="1"/>
      <w:marLeft w:val="0"/>
      <w:marRight w:val="0"/>
      <w:marTop w:val="0"/>
      <w:marBottom w:val="0"/>
      <w:divBdr>
        <w:top w:val="none" w:sz="0" w:space="0" w:color="auto"/>
        <w:left w:val="none" w:sz="0" w:space="0" w:color="auto"/>
        <w:bottom w:val="none" w:sz="0" w:space="0" w:color="auto"/>
        <w:right w:val="none" w:sz="0" w:space="0" w:color="auto"/>
      </w:divBdr>
    </w:div>
    <w:div w:id="1881548591">
      <w:bodyDiv w:val="1"/>
      <w:marLeft w:val="0"/>
      <w:marRight w:val="0"/>
      <w:marTop w:val="0"/>
      <w:marBottom w:val="0"/>
      <w:divBdr>
        <w:top w:val="none" w:sz="0" w:space="0" w:color="auto"/>
        <w:left w:val="none" w:sz="0" w:space="0" w:color="auto"/>
        <w:bottom w:val="none" w:sz="0" w:space="0" w:color="auto"/>
        <w:right w:val="none" w:sz="0" w:space="0" w:color="auto"/>
      </w:divBdr>
    </w:div>
    <w:div w:id="1882017293">
      <w:bodyDiv w:val="1"/>
      <w:marLeft w:val="0"/>
      <w:marRight w:val="0"/>
      <w:marTop w:val="0"/>
      <w:marBottom w:val="0"/>
      <w:divBdr>
        <w:top w:val="none" w:sz="0" w:space="0" w:color="auto"/>
        <w:left w:val="none" w:sz="0" w:space="0" w:color="auto"/>
        <w:bottom w:val="none" w:sz="0" w:space="0" w:color="auto"/>
        <w:right w:val="none" w:sz="0" w:space="0" w:color="auto"/>
      </w:divBdr>
    </w:div>
    <w:div w:id="1883781939">
      <w:bodyDiv w:val="1"/>
      <w:marLeft w:val="0"/>
      <w:marRight w:val="0"/>
      <w:marTop w:val="0"/>
      <w:marBottom w:val="0"/>
      <w:divBdr>
        <w:top w:val="none" w:sz="0" w:space="0" w:color="auto"/>
        <w:left w:val="none" w:sz="0" w:space="0" w:color="auto"/>
        <w:bottom w:val="none" w:sz="0" w:space="0" w:color="auto"/>
        <w:right w:val="none" w:sz="0" w:space="0" w:color="auto"/>
      </w:divBdr>
    </w:div>
    <w:div w:id="1884704805">
      <w:bodyDiv w:val="1"/>
      <w:marLeft w:val="0"/>
      <w:marRight w:val="0"/>
      <w:marTop w:val="0"/>
      <w:marBottom w:val="0"/>
      <w:divBdr>
        <w:top w:val="none" w:sz="0" w:space="0" w:color="auto"/>
        <w:left w:val="none" w:sz="0" w:space="0" w:color="auto"/>
        <w:bottom w:val="none" w:sz="0" w:space="0" w:color="auto"/>
        <w:right w:val="none" w:sz="0" w:space="0" w:color="auto"/>
      </w:divBdr>
    </w:div>
    <w:div w:id="1886478214">
      <w:bodyDiv w:val="1"/>
      <w:marLeft w:val="0"/>
      <w:marRight w:val="0"/>
      <w:marTop w:val="0"/>
      <w:marBottom w:val="0"/>
      <w:divBdr>
        <w:top w:val="none" w:sz="0" w:space="0" w:color="auto"/>
        <w:left w:val="none" w:sz="0" w:space="0" w:color="auto"/>
        <w:bottom w:val="none" w:sz="0" w:space="0" w:color="auto"/>
        <w:right w:val="none" w:sz="0" w:space="0" w:color="auto"/>
      </w:divBdr>
    </w:div>
    <w:div w:id="1888252351">
      <w:bodyDiv w:val="1"/>
      <w:marLeft w:val="0"/>
      <w:marRight w:val="0"/>
      <w:marTop w:val="0"/>
      <w:marBottom w:val="0"/>
      <w:divBdr>
        <w:top w:val="none" w:sz="0" w:space="0" w:color="auto"/>
        <w:left w:val="none" w:sz="0" w:space="0" w:color="auto"/>
        <w:bottom w:val="none" w:sz="0" w:space="0" w:color="auto"/>
        <w:right w:val="none" w:sz="0" w:space="0" w:color="auto"/>
      </w:divBdr>
    </w:div>
    <w:div w:id="1889219130">
      <w:bodyDiv w:val="1"/>
      <w:marLeft w:val="0"/>
      <w:marRight w:val="0"/>
      <w:marTop w:val="0"/>
      <w:marBottom w:val="0"/>
      <w:divBdr>
        <w:top w:val="none" w:sz="0" w:space="0" w:color="auto"/>
        <w:left w:val="none" w:sz="0" w:space="0" w:color="auto"/>
        <w:bottom w:val="none" w:sz="0" w:space="0" w:color="auto"/>
        <w:right w:val="none" w:sz="0" w:space="0" w:color="auto"/>
      </w:divBdr>
    </w:div>
    <w:div w:id="1889606348">
      <w:bodyDiv w:val="1"/>
      <w:marLeft w:val="0"/>
      <w:marRight w:val="0"/>
      <w:marTop w:val="0"/>
      <w:marBottom w:val="0"/>
      <w:divBdr>
        <w:top w:val="none" w:sz="0" w:space="0" w:color="auto"/>
        <w:left w:val="none" w:sz="0" w:space="0" w:color="auto"/>
        <w:bottom w:val="none" w:sz="0" w:space="0" w:color="auto"/>
        <w:right w:val="none" w:sz="0" w:space="0" w:color="auto"/>
      </w:divBdr>
      <w:divsChild>
        <w:div w:id="105857600">
          <w:marLeft w:val="418"/>
          <w:marRight w:val="0"/>
          <w:marTop w:val="0"/>
          <w:marBottom w:val="120"/>
          <w:divBdr>
            <w:top w:val="none" w:sz="0" w:space="0" w:color="auto"/>
            <w:left w:val="none" w:sz="0" w:space="0" w:color="auto"/>
            <w:bottom w:val="none" w:sz="0" w:space="0" w:color="auto"/>
            <w:right w:val="none" w:sz="0" w:space="0" w:color="auto"/>
          </w:divBdr>
        </w:div>
        <w:div w:id="137186524">
          <w:marLeft w:val="418"/>
          <w:marRight w:val="0"/>
          <w:marTop w:val="0"/>
          <w:marBottom w:val="120"/>
          <w:divBdr>
            <w:top w:val="none" w:sz="0" w:space="0" w:color="auto"/>
            <w:left w:val="none" w:sz="0" w:space="0" w:color="auto"/>
            <w:bottom w:val="none" w:sz="0" w:space="0" w:color="auto"/>
            <w:right w:val="none" w:sz="0" w:space="0" w:color="auto"/>
          </w:divBdr>
        </w:div>
        <w:div w:id="560095734">
          <w:marLeft w:val="418"/>
          <w:marRight w:val="0"/>
          <w:marTop w:val="0"/>
          <w:marBottom w:val="120"/>
          <w:divBdr>
            <w:top w:val="none" w:sz="0" w:space="0" w:color="auto"/>
            <w:left w:val="none" w:sz="0" w:space="0" w:color="auto"/>
            <w:bottom w:val="none" w:sz="0" w:space="0" w:color="auto"/>
            <w:right w:val="none" w:sz="0" w:space="0" w:color="auto"/>
          </w:divBdr>
        </w:div>
        <w:div w:id="649529039">
          <w:marLeft w:val="418"/>
          <w:marRight w:val="0"/>
          <w:marTop w:val="0"/>
          <w:marBottom w:val="120"/>
          <w:divBdr>
            <w:top w:val="none" w:sz="0" w:space="0" w:color="auto"/>
            <w:left w:val="none" w:sz="0" w:space="0" w:color="auto"/>
            <w:bottom w:val="none" w:sz="0" w:space="0" w:color="auto"/>
            <w:right w:val="none" w:sz="0" w:space="0" w:color="auto"/>
          </w:divBdr>
        </w:div>
        <w:div w:id="1006830272">
          <w:marLeft w:val="418"/>
          <w:marRight w:val="0"/>
          <w:marTop w:val="0"/>
          <w:marBottom w:val="120"/>
          <w:divBdr>
            <w:top w:val="none" w:sz="0" w:space="0" w:color="auto"/>
            <w:left w:val="none" w:sz="0" w:space="0" w:color="auto"/>
            <w:bottom w:val="none" w:sz="0" w:space="0" w:color="auto"/>
            <w:right w:val="none" w:sz="0" w:space="0" w:color="auto"/>
          </w:divBdr>
        </w:div>
        <w:div w:id="1059476495">
          <w:marLeft w:val="418"/>
          <w:marRight w:val="0"/>
          <w:marTop w:val="0"/>
          <w:marBottom w:val="120"/>
          <w:divBdr>
            <w:top w:val="none" w:sz="0" w:space="0" w:color="auto"/>
            <w:left w:val="none" w:sz="0" w:space="0" w:color="auto"/>
            <w:bottom w:val="none" w:sz="0" w:space="0" w:color="auto"/>
            <w:right w:val="none" w:sz="0" w:space="0" w:color="auto"/>
          </w:divBdr>
        </w:div>
        <w:div w:id="1418013188">
          <w:marLeft w:val="418"/>
          <w:marRight w:val="0"/>
          <w:marTop w:val="0"/>
          <w:marBottom w:val="120"/>
          <w:divBdr>
            <w:top w:val="none" w:sz="0" w:space="0" w:color="auto"/>
            <w:left w:val="none" w:sz="0" w:space="0" w:color="auto"/>
            <w:bottom w:val="none" w:sz="0" w:space="0" w:color="auto"/>
            <w:right w:val="none" w:sz="0" w:space="0" w:color="auto"/>
          </w:divBdr>
        </w:div>
        <w:div w:id="1516765574">
          <w:marLeft w:val="418"/>
          <w:marRight w:val="0"/>
          <w:marTop w:val="0"/>
          <w:marBottom w:val="120"/>
          <w:divBdr>
            <w:top w:val="none" w:sz="0" w:space="0" w:color="auto"/>
            <w:left w:val="none" w:sz="0" w:space="0" w:color="auto"/>
            <w:bottom w:val="none" w:sz="0" w:space="0" w:color="auto"/>
            <w:right w:val="none" w:sz="0" w:space="0" w:color="auto"/>
          </w:divBdr>
        </w:div>
        <w:div w:id="1931546037">
          <w:marLeft w:val="418"/>
          <w:marRight w:val="0"/>
          <w:marTop w:val="0"/>
          <w:marBottom w:val="120"/>
          <w:divBdr>
            <w:top w:val="none" w:sz="0" w:space="0" w:color="auto"/>
            <w:left w:val="none" w:sz="0" w:space="0" w:color="auto"/>
            <w:bottom w:val="none" w:sz="0" w:space="0" w:color="auto"/>
            <w:right w:val="none" w:sz="0" w:space="0" w:color="auto"/>
          </w:divBdr>
        </w:div>
        <w:div w:id="1933582899">
          <w:marLeft w:val="418"/>
          <w:marRight w:val="0"/>
          <w:marTop w:val="0"/>
          <w:marBottom w:val="120"/>
          <w:divBdr>
            <w:top w:val="none" w:sz="0" w:space="0" w:color="auto"/>
            <w:left w:val="none" w:sz="0" w:space="0" w:color="auto"/>
            <w:bottom w:val="none" w:sz="0" w:space="0" w:color="auto"/>
            <w:right w:val="none" w:sz="0" w:space="0" w:color="auto"/>
          </w:divBdr>
        </w:div>
      </w:divsChild>
    </w:div>
    <w:div w:id="1890604403">
      <w:bodyDiv w:val="1"/>
      <w:marLeft w:val="0"/>
      <w:marRight w:val="0"/>
      <w:marTop w:val="0"/>
      <w:marBottom w:val="0"/>
      <w:divBdr>
        <w:top w:val="none" w:sz="0" w:space="0" w:color="auto"/>
        <w:left w:val="none" w:sz="0" w:space="0" w:color="auto"/>
        <w:bottom w:val="none" w:sz="0" w:space="0" w:color="auto"/>
        <w:right w:val="none" w:sz="0" w:space="0" w:color="auto"/>
      </w:divBdr>
    </w:div>
    <w:div w:id="1890651521">
      <w:bodyDiv w:val="1"/>
      <w:marLeft w:val="0"/>
      <w:marRight w:val="0"/>
      <w:marTop w:val="0"/>
      <w:marBottom w:val="0"/>
      <w:divBdr>
        <w:top w:val="none" w:sz="0" w:space="0" w:color="auto"/>
        <w:left w:val="none" w:sz="0" w:space="0" w:color="auto"/>
        <w:bottom w:val="none" w:sz="0" w:space="0" w:color="auto"/>
        <w:right w:val="none" w:sz="0" w:space="0" w:color="auto"/>
      </w:divBdr>
    </w:div>
    <w:div w:id="1896236263">
      <w:bodyDiv w:val="1"/>
      <w:marLeft w:val="0"/>
      <w:marRight w:val="0"/>
      <w:marTop w:val="0"/>
      <w:marBottom w:val="0"/>
      <w:divBdr>
        <w:top w:val="none" w:sz="0" w:space="0" w:color="auto"/>
        <w:left w:val="none" w:sz="0" w:space="0" w:color="auto"/>
        <w:bottom w:val="none" w:sz="0" w:space="0" w:color="auto"/>
        <w:right w:val="none" w:sz="0" w:space="0" w:color="auto"/>
      </w:divBdr>
    </w:div>
    <w:div w:id="1897623580">
      <w:bodyDiv w:val="1"/>
      <w:marLeft w:val="0"/>
      <w:marRight w:val="0"/>
      <w:marTop w:val="0"/>
      <w:marBottom w:val="0"/>
      <w:divBdr>
        <w:top w:val="none" w:sz="0" w:space="0" w:color="auto"/>
        <w:left w:val="none" w:sz="0" w:space="0" w:color="auto"/>
        <w:bottom w:val="none" w:sz="0" w:space="0" w:color="auto"/>
        <w:right w:val="none" w:sz="0" w:space="0" w:color="auto"/>
      </w:divBdr>
    </w:div>
    <w:div w:id="1900052307">
      <w:bodyDiv w:val="1"/>
      <w:marLeft w:val="0"/>
      <w:marRight w:val="0"/>
      <w:marTop w:val="0"/>
      <w:marBottom w:val="0"/>
      <w:divBdr>
        <w:top w:val="none" w:sz="0" w:space="0" w:color="auto"/>
        <w:left w:val="none" w:sz="0" w:space="0" w:color="auto"/>
        <w:bottom w:val="none" w:sz="0" w:space="0" w:color="auto"/>
        <w:right w:val="none" w:sz="0" w:space="0" w:color="auto"/>
      </w:divBdr>
    </w:div>
    <w:div w:id="1903909177">
      <w:bodyDiv w:val="1"/>
      <w:marLeft w:val="0"/>
      <w:marRight w:val="0"/>
      <w:marTop w:val="0"/>
      <w:marBottom w:val="0"/>
      <w:divBdr>
        <w:top w:val="none" w:sz="0" w:space="0" w:color="auto"/>
        <w:left w:val="none" w:sz="0" w:space="0" w:color="auto"/>
        <w:bottom w:val="none" w:sz="0" w:space="0" w:color="auto"/>
        <w:right w:val="none" w:sz="0" w:space="0" w:color="auto"/>
      </w:divBdr>
    </w:div>
    <w:div w:id="1904219800">
      <w:bodyDiv w:val="1"/>
      <w:marLeft w:val="0"/>
      <w:marRight w:val="0"/>
      <w:marTop w:val="0"/>
      <w:marBottom w:val="0"/>
      <w:divBdr>
        <w:top w:val="none" w:sz="0" w:space="0" w:color="auto"/>
        <w:left w:val="none" w:sz="0" w:space="0" w:color="auto"/>
        <w:bottom w:val="none" w:sz="0" w:space="0" w:color="auto"/>
        <w:right w:val="none" w:sz="0" w:space="0" w:color="auto"/>
      </w:divBdr>
    </w:div>
    <w:div w:id="1906526017">
      <w:bodyDiv w:val="1"/>
      <w:marLeft w:val="0"/>
      <w:marRight w:val="0"/>
      <w:marTop w:val="0"/>
      <w:marBottom w:val="0"/>
      <w:divBdr>
        <w:top w:val="none" w:sz="0" w:space="0" w:color="auto"/>
        <w:left w:val="none" w:sz="0" w:space="0" w:color="auto"/>
        <w:bottom w:val="none" w:sz="0" w:space="0" w:color="auto"/>
        <w:right w:val="none" w:sz="0" w:space="0" w:color="auto"/>
      </w:divBdr>
    </w:div>
    <w:div w:id="1906795739">
      <w:bodyDiv w:val="1"/>
      <w:marLeft w:val="0"/>
      <w:marRight w:val="0"/>
      <w:marTop w:val="0"/>
      <w:marBottom w:val="0"/>
      <w:divBdr>
        <w:top w:val="none" w:sz="0" w:space="0" w:color="auto"/>
        <w:left w:val="none" w:sz="0" w:space="0" w:color="auto"/>
        <w:bottom w:val="none" w:sz="0" w:space="0" w:color="auto"/>
        <w:right w:val="none" w:sz="0" w:space="0" w:color="auto"/>
      </w:divBdr>
    </w:div>
    <w:div w:id="1907253501">
      <w:bodyDiv w:val="1"/>
      <w:marLeft w:val="0"/>
      <w:marRight w:val="0"/>
      <w:marTop w:val="0"/>
      <w:marBottom w:val="0"/>
      <w:divBdr>
        <w:top w:val="none" w:sz="0" w:space="0" w:color="auto"/>
        <w:left w:val="none" w:sz="0" w:space="0" w:color="auto"/>
        <w:bottom w:val="none" w:sz="0" w:space="0" w:color="auto"/>
        <w:right w:val="none" w:sz="0" w:space="0" w:color="auto"/>
      </w:divBdr>
    </w:div>
    <w:div w:id="1910309132">
      <w:bodyDiv w:val="1"/>
      <w:marLeft w:val="0"/>
      <w:marRight w:val="0"/>
      <w:marTop w:val="0"/>
      <w:marBottom w:val="0"/>
      <w:divBdr>
        <w:top w:val="none" w:sz="0" w:space="0" w:color="auto"/>
        <w:left w:val="none" w:sz="0" w:space="0" w:color="auto"/>
        <w:bottom w:val="none" w:sz="0" w:space="0" w:color="auto"/>
        <w:right w:val="none" w:sz="0" w:space="0" w:color="auto"/>
      </w:divBdr>
    </w:div>
    <w:div w:id="1910580135">
      <w:bodyDiv w:val="1"/>
      <w:marLeft w:val="0"/>
      <w:marRight w:val="0"/>
      <w:marTop w:val="0"/>
      <w:marBottom w:val="0"/>
      <w:divBdr>
        <w:top w:val="none" w:sz="0" w:space="0" w:color="auto"/>
        <w:left w:val="none" w:sz="0" w:space="0" w:color="auto"/>
        <w:bottom w:val="none" w:sz="0" w:space="0" w:color="auto"/>
        <w:right w:val="none" w:sz="0" w:space="0" w:color="auto"/>
      </w:divBdr>
    </w:div>
    <w:div w:id="1910724214">
      <w:bodyDiv w:val="1"/>
      <w:marLeft w:val="0"/>
      <w:marRight w:val="0"/>
      <w:marTop w:val="0"/>
      <w:marBottom w:val="0"/>
      <w:divBdr>
        <w:top w:val="none" w:sz="0" w:space="0" w:color="auto"/>
        <w:left w:val="none" w:sz="0" w:space="0" w:color="auto"/>
        <w:bottom w:val="none" w:sz="0" w:space="0" w:color="auto"/>
        <w:right w:val="none" w:sz="0" w:space="0" w:color="auto"/>
      </w:divBdr>
    </w:div>
    <w:div w:id="1912613164">
      <w:bodyDiv w:val="1"/>
      <w:marLeft w:val="0"/>
      <w:marRight w:val="0"/>
      <w:marTop w:val="0"/>
      <w:marBottom w:val="0"/>
      <w:divBdr>
        <w:top w:val="none" w:sz="0" w:space="0" w:color="auto"/>
        <w:left w:val="none" w:sz="0" w:space="0" w:color="auto"/>
        <w:bottom w:val="none" w:sz="0" w:space="0" w:color="auto"/>
        <w:right w:val="none" w:sz="0" w:space="0" w:color="auto"/>
      </w:divBdr>
    </w:div>
    <w:div w:id="1912890772">
      <w:bodyDiv w:val="1"/>
      <w:marLeft w:val="0"/>
      <w:marRight w:val="0"/>
      <w:marTop w:val="0"/>
      <w:marBottom w:val="0"/>
      <w:divBdr>
        <w:top w:val="none" w:sz="0" w:space="0" w:color="auto"/>
        <w:left w:val="none" w:sz="0" w:space="0" w:color="auto"/>
        <w:bottom w:val="none" w:sz="0" w:space="0" w:color="auto"/>
        <w:right w:val="none" w:sz="0" w:space="0" w:color="auto"/>
      </w:divBdr>
    </w:div>
    <w:div w:id="1912961200">
      <w:bodyDiv w:val="1"/>
      <w:marLeft w:val="0"/>
      <w:marRight w:val="0"/>
      <w:marTop w:val="0"/>
      <w:marBottom w:val="0"/>
      <w:divBdr>
        <w:top w:val="none" w:sz="0" w:space="0" w:color="auto"/>
        <w:left w:val="none" w:sz="0" w:space="0" w:color="auto"/>
        <w:bottom w:val="none" w:sz="0" w:space="0" w:color="auto"/>
        <w:right w:val="none" w:sz="0" w:space="0" w:color="auto"/>
      </w:divBdr>
    </w:div>
    <w:div w:id="1913343474">
      <w:bodyDiv w:val="1"/>
      <w:marLeft w:val="0"/>
      <w:marRight w:val="0"/>
      <w:marTop w:val="0"/>
      <w:marBottom w:val="0"/>
      <w:divBdr>
        <w:top w:val="none" w:sz="0" w:space="0" w:color="auto"/>
        <w:left w:val="none" w:sz="0" w:space="0" w:color="auto"/>
        <w:bottom w:val="none" w:sz="0" w:space="0" w:color="auto"/>
        <w:right w:val="none" w:sz="0" w:space="0" w:color="auto"/>
      </w:divBdr>
    </w:div>
    <w:div w:id="1915822302">
      <w:bodyDiv w:val="1"/>
      <w:marLeft w:val="0"/>
      <w:marRight w:val="0"/>
      <w:marTop w:val="0"/>
      <w:marBottom w:val="0"/>
      <w:divBdr>
        <w:top w:val="none" w:sz="0" w:space="0" w:color="auto"/>
        <w:left w:val="none" w:sz="0" w:space="0" w:color="auto"/>
        <w:bottom w:val="none" w:sz="0" w:space="0" w:color="auto"/>
        <w:right w:val="none" w:sz="0" w:space="0" w:color="auto"/>
      </w:divBdr>
      <w:divsChild>
        <w:div w:id="706179530">
          <w:marLeft w:val="720"/>
          <w:marRight w:val="0"/>
          <w:marTop w:val="120"/>
          <w:marBottom w:val="120"/>
          <w:divBdr>
            <w:top w:val="none" w:sz="0" w:space="0" w:color="auto"/>
            <w:left w:val="none" w:sz="0" w:space="0" w:color="auto"/>
            <w:bottom w:val="none" w:sz="0" w:space="0" w:color="auto"/>
            <w:right w:val="none" w:sz="0" w:space="0" w:color="auto"/>
          </w:divBdr>
        </w:div>
        <w:div w:id="1144421821">
          <w:marLeft w:val="720"/>
          <w:marRight w:val="0"/>
          <w:marTop w:val="120"/>
          <w:marBottom w:val="120"/>
          <w:divBdr>
            <w:top w:val="none" w:sz="0" w:space="0" w:color="auto"/>
            <w:left w:val="none" w:sz="0" w:space="0" w:color="auto"/>
            <w:bottom w:val="none" w:sz="0" w:space="0" w:color="auto"/>
            <w:right w:val="none" w:sz="0" w:space="0" w:color="auto"/>
          </w:divBdr>
        </w:div>
        <w:div w:id="1817599813">
          <w:marLeft w:val="720"/>
          <w:marRight w:val="0"/>
          <w:marTop w:val="120"/>
          <w:marBottom w:val="120"/>
          <w:divBdr>
            <w:top w:val="none" w:sz="0" w:space="0" w:color="auto"/>
            <w:left w:val="none" w:sz="0" w:space="0" w:color="auto"/>
            <w:bottom w:val="none" w:sz="0" w:space="0" w:color="auto"/>
            <w:right w:val="none" w:sz="0" w:space="0" w:color="auto"/>
          </w:divBdr>
        </w:div>
      </w:divsChild>
    </w:div>
    <w:div w:id="1920166936">
      <w:bodyDiv w:val="1"/>
      <w:marLeft w:val="0"/>
      <w:marRight w:val="0"/>
      <w:marTop w:val="0"/>
      <w:marBottom w:val="0"/>
      <w:divBdr>
        <w:top w:val="none" w:sz="0" w:space="0" w:color="auto"/>
        <w:left w:val="none" w:sz="0" w:space="0" w:color="auto"/>
        <w:bottom w:val="none" w:sz="0" w:space="0" w:color="auto"/>
        <w:right w:val="none" w:sz="0" w:space="0" w:color="auto"/>
      </w:divBdr>
    </w:div>
    <w:div w:id="1920168335">
      <w:bodyDiv w:val="1"/>
      <w:marLeft w:val="0"/>
      <w:marRight w:val="0"/>
      <w:marTop w:val="0"/>
      <w:marBottom w:val="0"/>
      <w:divBdr>
        <w:top w:val="none" w:sz="0" w:space="0" w:color="auto"/>
        <w:left w:val="none" w:sz="0" w:space="0" w:color="auto"/>
        <w:bottom w:val="none" w:sz="0" w:space="0" w:color="auto"/>
        <w:right w:val="none" w:sz="0" w:space="0" w:color="auto"/>
      </w:divBdr>
    </w:div>
    <w:div w:id="1921019097">
      <w:bodyDiv w:val="1"/>
      <w:marLeft w:val="0"/>
      <w:marRight w:val="0"/>
      <w:marTop w:val="0"/>
      <w:marBottom w:val="0"/>
      <w:divBdr>
        <w:top w:val="none" w:sz="0" w:space="0" w:color="auto"/>
        <w:left w:val="none" w:sz="0" w:space="0" w:color="auto"/>
        <w:bottom w:val="none" w:sz="0" w:space="0" w:color="auto"/>
        <w:right w:val="none" w:sz="0" w:space="0" w:color="auto"/>
      </w:divBdr>
    </w:div>
    <w:div w:id="1921871469">
      <w:bodyDiv w:val="1"/>
      <w:marLeft w:val="0"/>
      <w:marRight w:val="0"/>
      <w:marTop w:val="0"/>
      <w:marBottom w:val="0"/>
      <w:divBdr>
        <w:top w:val="none" w:sz="0" w:space="0" w:color="auto"/>
        <w:left w:val="none" w:sz="0" w:space="0" w:color="auto"/>
        <w:bottom w:val="none" w:sz="0" w:space="0" w:color="auto"/>
        <w:right w:val="none" w:sz="0" w:space="0" w:color="auto"/>
      </w:divBdr>
    </w:div>
    <w:div w:id="1925142638">
      <w:bodyDiv w:val="1"/>
      <w:marLeft w:val="0"/>
      <w:marRight w:val="0"/>
      <w:marTop w:val="0"/>
      <w:marBottom w:val="0"/>
      <w:divBdr>
        <w:top w:val="none" w:sz="0" w:space="0" w:color="auto"/>
        <w:left w:val="none" w:sz="0" w:space="0" w:color="auto"/>
        <w:bottom w:val="none" w:sz="0" w:space="0" w:color="auto"/>
        <w:right w:val="none" w:sz="0" w:space="0" w:color="auto"/>
      </w:divBdr>
    </w:div>
    <w:div w:id="1925530119">
      <w:bodyDiv w:val="1"/>
      <w:marLeft w:val="0"/>
      <w:marRight w:val="0"/>
      <w:marTop w:val="0"/>
      <w:marBottom w:val="0"/>
      <w:divBdr>
        <w:top w:val="none" w:sz="0" w:space="0" w:color="auto"/>
        <w:left w:val="none" w:sz="0" w:space="0" w:color="auto"/>
        <w:bottom w:val="none" w:sz="0" w:space="0" w:color="auto"/>
        <w:right w:val="none" w:sz="0" w:space="0" w:color="auto"/>
      </w:divBdr>
    </w:div>
    <w:div w:id="1928269979">
      <w:bodyDiv w:val="1"/>
      <w:marLeft w:val="0"/>
      <w:marRight w:val="0"/>
      <w:marTop w:val="0"/>
      <w:marBottom w:val="0"/>
      <w:divBdr>
        <w:top w:val="none" w:sz="0" w:space="0" w:color="auto"/>
        <w:left w:val="none" w:sz="0" w:space="0" w:color="auto"/>
        <w:bottom w:val="none" w:sz="0" w:space="0" w:color="auto"/>
        <w:right w:val="none" w:sz="0" w:space="0" w:color="auto"/>
      </w:divBdr>
    </w:div>
    <w:div w:id="1932272525">
      <w:bodyDiv w:val="1"/>
      <w:marLeft w:val="0"/>
      <w:marRight w:val="0"/>
      <w:marTop w:val="0"/>
      <w:marBottom w:val="0"/>
      <w:divBdr>
        <w:top w:val="none" w:sz="0" w:space="0" w:color="auto"/>
        <w:left w:val="none" w:sz="0" w:space="0" w:color="auto"/>
        <w:bottom w:val="none" w:sz="0" w:space="0" w:color="auto"/>
        <w:right w:val="none" w:sz="0" w:space="0" w:color="auto"/>
      </w:divBdr>
    </w:div>
    <w:div w:id="1932853907">
      <w:bodyDiv w:val="1"/>
      <w:marLeft w:val="0"/>
      <w:marRight w:val="0"/>
      <w:marTop w:val="0"/>
      <w:marBottom w:val="0"/>
      <w:divBdr>
        <w:top w:val="none" w:sz="0" w:space="0" w:color="auto"/>
        <w:left w:val="none" w:sz="0" w:space="0" w:color="auto"/>
        <w:bottom w:val="none" w:sz="0" w:space="0" w:color="auto"/>
        <w:right w:val="none" w:sz="0" w:space="0" w:color="auto"/>
      </w:divBdr>
    </w:div>
    <w:div w:id="1933003917">
      <w:bodyDiv w:val="1"/>
      <w:marLeft w:val="0"/>
      <w:marRight w:val="0"/>
      <w:marTop w:val="0"/>
      <w:marBottom w:val="0"/>
      <w:divBdr>
        <w:top w:val="none" w:sz="0" w:space="0" w:color="auto"/>
        <w:left w:val="none" w:sz="0" w:space="0" w:color="auto"/>
        <w:bottom w:val="none" w:sz="0" w:space="0" w:color="auto"/>
        <w:right w:val="none" w:sz="0" w:space="0" w:color="auto"/>
      </w:divBdr>
    </w:div>
    <w:div w:id="1934240763">
      <w:bodyDiv w:val="1"/>
      <w:marLeft w:val="0"/>
      <w:marRight w:val="0"/>
      <w:marTop w:val="0"/>
      <w:marBottom w:val="0"/>
      <w:divBdr>
        <w:top w:val="none" w:sz="0" w:space="0" w:color="auto"/>
        <w:left w:val="none" w:sz="0" w:space="0" w:color="auto"/>
        <w:bottom w:val="none" w:sz="0" w:space="0" w:color="auto"/>
        <w:right w:val="none" w:sz="0" w:space="0" w:color="auto"/>
      </w:divBdr>
    </w:div>
    <w:div w:id="1936132789">
      <w:bodyDiv w:val="1"/>
      <w:marLeft w:val="0"/>
      <w:marRight w:val="0"/>
      <w:marTop w:val="0"/>
      <w:marBottom w:val="0"/>
      <w:divBdr>
        <w:top w:val="none" w:sz="0" w:space="0" w:color="auto"/>
        <w:left w:val="none" w:sz="0" w:space="0" w:color="auto"/>
        <w:bottom w:val="none" w:sz="0" w:space="0" w:color="auto"/>
        <w:right w:val="none" w:sz="0" w:space="0" w:color="auto"/>
      </w:divBdr>
    </w:div>
    <w:div w:id="1937979000">
      <w:bodyDiv w:val="1"/>
      <w:marLeft w:val="0"/>
      <w:marRight w:val="0"/>
      <w:marTop w:val="0"/>
      <w:marBottom w:val="0"/>
      <w:divBdr>
        <w:top w:val="none" w:sz="0" w:space="0" w:color="auto"/>
        <w:left w:val="none" w:sz="0" w:space="0" w:color="auto"/>
        <w:bottom w:val="none" w:sz="0" w:space="0" w:color="auto"/>
        <w:right w:val="none" w:sz="0" w:space="0" w:color="auto"/>
      </w:divBdr>
    </w:div>
    <w:div w:id="1938559723">
      <w:bodyDiv w:val="1"/>
      <w:marLeft w:val="0"/>
      <w:marRight w:val="0"/>
      <w:marTop w:val="0"/>
      <w:marBottom w:val="0"/>
      <w:divBdr>
        <w:top w:val="none" w:sz="0" w:space="0" w:color="auto"/>
        <w:left w:val="none" w:sz="0" w:space="0" w:color="auto"/>
        <w:bottom w:val="none" w:sz="0" w:space="0" w:color="auto"/>
        <w:right w:val="none" w:sz="0" w:space="0" w:color="auto"/>
      </w:divBdr>
    </w:div>
    <w:div w:id="1939560643">
      <w:bodyDiv w:val="1"/>
      <w:marLeft w:val="0"/>
      <w:marRight w:val="0"/>
      <w:marTop w:val="0"/>
      <w:marBottom w:val="0"/>
      <w:divBdr>
        <w:top w:val="none" w:sz="0" w:space="0" w:color="auto"/>
        <w:left w:val="none" w:sz="0" w:space="0" w:color="auto"/>
        <w:bottom w:val="none" w:sz="0" w:space="0" w:color="auto"/>
        <w:right w:val="none" w:sz="0" w:space="0" w:color="auto"/>
      </w:divBdr>
    </w:div>
    <w:div w:id="1939829765">
      <w:bodyDiv w:val="1"/>
      <w:marLeft w:val="0"/>
      <w:marRight w:val="0"/>
      <w:marTop w:val="0"/>
      <w:marBottom w:val="0"/>
      <w:divBdr>
        <w:top w:val="none" w:sz="0" w:space="0" w:color="auto"/>
        <w:left w:val="none" w:sz="0" w:space="0" w:color="auto"/>
        <w:bottom w:val="none" w:sz="0" w:space="0" w:color="auto"/>
        <w:right w:val="none" w:sz="0" w:space="0" w:color="auto"/>
      </w:divBdr>
    </w:div>
    <w:div w:id="1940215845">
      <w:bodyDiv w:val="1"/>
      <w:marLeft w:val="0"/>
      <w:marRight w:val="0"/>
      <w:marTop w:val="0"/>
      <w:marBottom w:val="0"/>
      <w:divBdr>
        <w:top w:val="none" w:sz="0" w:space="0" w:color="auto"/>
        <w:left w:val="none" w:sz="0" w:space="0" w:color="auto"/>
        <w:bottom w:val="none" w:sz="0" w:space="0" w:color="auto"/>
        <w:right w:val="none" w:sz="0" w:space="0" w:color="auto"/>
      </w:divBdr>
    </w:div>
    <w:div w:id="1941835067">
      <w:bodyDiv w:val="1"/>
      <w:marLeft w:val="0"/>
      <w:marRight w:val="0"/>
      <w:marTop w:val="0"/>
      <w:marBottom w:val="0"/>
      <w:divBdr>
        <w:top w:val="none" w:sz="0" w:space="0" w:color="auto"/>
        <w:left w:val="none" w:sz="0" w:space="0" w:color="auto"/>
        <w:bottom w:val="none" w:sz="0" w:space="0" w:color="auto"/>
        <w:right w:val="none" w:sz="0" w:space="0" w:color="auto"/>
      </w:divBdr>
    </w:div>
    <w:div w:id="1942057865">
      <w:bodyDiv w:val="1"/>
      <w:marLeft w:val="0"/>
      <w:marRight w:val="0"/>
      <w:marTop w:val="0"/>
      <w:marBottom w:val="0"/>
      <w:divBdr>
        <w:top w:val="none" w:sz="0" w:space="0" w:color="auto"/>
        <w:left w:val="none" w:sz="0" w:space="0" w:color="auto"/>
        <w:bottom w:val="none" w:sz="0" w:space="0" w:color="auto"/>
        <w:right w:val="none" w:sz="0" w:space="0" w:color="auto"/>
      </w:divBdr>
    </w:div>
    <w:div w:id="1943879360">
      <w:bodyDiv w:val="1"/>
      <w:marLeft w:val="0"/>
      <w:marRight w:val="0"/>
      <w:marTop w:val="0"/>
      <w:marBottom w:val="0"/>
      <w:divBdr>
        <w:top w:val="none" w:sz="0" w:space="0" w:color="auto"/>
        <w:left w:val="none" w:sz="0" w:space="0" w:color="auto"/>
        <w:bottom w:val="none" w:sz="0" w:space="0" w:color="auto"/>
        <w:right w:val="none" w:sz="0" w:space="0" w:color="auto"/>
      </w:divBdr>
    </w:div>
    <w:div w:id="1944649855">
      <w:bodyDiv w:val="1"/>
      <w:marLeft w:val="0"/>
      <w:marRight w:val="0"/>
      <w:marTop w:val="0"/>
      <w:marBottom w:val="0"/>
      <w:divBdr>
        <w:top w:val="none" w:sz="0" w:space="0" w:color="auto"/>
        <w:left w:val="none" w:sz="0" w:space="0" w:color="auto"/>
        <w:bottom w:val="none" w:sz="0" w:space="0" w:color="auto"/>
        <w:right w:val="none" w:sz="0" w:space="0" w:color="auto"/>
      </w:divBdr>
    </w:div>
    <w:div w:id="1945727732">
      <w:bodyDiv w:val="1"/>
      <w:marLeft w:val="0"/>
      <w:marRight w:val="0"/>
      <w:marTop w:val="0"/>
      <w:marBottom w:val="0"/>
      <w:divBdr>
        <w:top w:val="none" w:sz="0" w:space="0" w:color="auto"/>
        <w:left w:val="none" w:sz="0" w:space="0" w:color="auto"/>
        <w:bottom w:val="none" w:sz="0" w:space="0" w:color="auto"/>
        <w:right w:val="none" w:sz="0" w:space="0" w:color="auto"/>
      </w:divBdr>
    </w:div>
    <w:div w:id="1947151539">
      <w:bodyDiv w:val="1"/>
      <w:marLeft w:val="0"/>
      <w:marRight w:val="0"/>
      <w:marTop w:val="0"/>
      <w:marBottom w:val="0"/>
      <w:divBdr>
        <w:top w:val="none" w:sz="0" w:space="0" w:color="auto"/>
        <w:left w:val="none" w:sz="0" w:space="0" w:color="auto"/>
        <w:bottom w:val="none" w:sz="0" w:space="0" w:color="auto"/>
        <w:right w:val="none" w:sz="0" w:space="0" w:color="auto"/>
      </w:divBdr>
    </w:div>
    <w:div w:id="1947956395">
      <w:bodyDiv w:val="1"/>
      <w:marLeft w:val="0"/>
      <w:marRight w:val="0"/>
      <w:marTop w:val="0"/>
      <w:marBottom w:val="0"/>
      <w:divBdr>
        <w:top w:val="none" w:sz="0" w:space="0" w:color="auto"/>
        <w:left w:val="none" w:sz="0" w:space="0" w:color="auto"/>
        <w:bottom w:val="none" w:sz="0" w:space="0" w:color="auto"/>
        <w:right w:val="none" w:sz="0" w:space="0" w:color="auto"/>
      </w:divBdr>
    </w:div>
    <w:div w:id="1952737729">
      <w:bodyDiv w:val="1"/>
      <w:marLeft w:val="0"/>
      <w:marRight w:val="0"/>
      <w:marTop w:val="0"/>
      <w:marBottom w:val="0"/>
      <w:divBdr>
        <w:top w:val="none" w:sz="0" w:space="0" w:color="auto"/>
        <w:left w:val="none" w:sz="0" w:space="0" w:color="auto"/>
        <w:bottom w:val="none" w:sz="0" w:space="0" w:color="auto"/>
        <w:right w:val="none" w:sz="0" w:space="0" w:color="auto"/>
      </w:divBdr>
    </w:div>
    <w:div w:id="1954049427">
      <w:bodyDiv w:val="1"/>
      <w:marLeft w:val="0"/>
      <w:marRight w:val="0"/>
      <w:marTop w:val="0"/>
      <w:marBottom w:val="0"/>
      <w:divBdr>
        <w:top w:val="none" w:sz="0" w:space="0" w:color="auto"/>
        <w:left w:val="none" w:sz="0" w:space="0" w:color="auto"/>
        <w:bottom w:val="none" w:sz="0" w:space="0" w:color="auto"/>
        <w:right w:val="none" w:sz="0" w:space="0" w:color="auto"/>
      </w:divBdr>
    </w:div>
    <w:div w:id="1961106752">
      <w:bodyDiv w:val="1"/>
      <w:marLeft w:val="0"/>
      <w:marRight w:val="0"/>
      <w:marTop w:val="0"/>
      <w:marBottom w:val="0"/>
      <w:divBdr>
        <w:top w:val="none" w:sz="0" w:space="0" w:color="auto"/>
        <w:left w:val="none" w:sz="0" w:space="0" w:color="auto"/>
        <w:bottom w:val="none" w:sz="0" w:space="0" w:color="auto"/>
        <w:right w:val="none" w:sz="0" w:space="0" w:color="auto"/>
      </w:divBdr>
    </w:div>
    <w:div w:id="1963488598">
      <w:bodyDiv w:val="1"/>
      <w:marLeft w:val="0"/>
      <w:marRight w:val="0"/>
      <w:marTop w:val="0"/>
      <w:marBottom w:val="0"/>
      <w:divBdr>
        <w:top w:val="none" w:sz="0" w:space="0" w:color="auto"/>
        <w:left w:val="none" w:sz="0" w:space="0" w:color="auto"/>
        <w:bottom w:val="none" w:sz="0" w:space="0" w:color="auto"/>
        <w:right w:val="none" w:sz="0" w:space="0" w:color="auto"/>
      </w:divBdr>
    </w:div>
    <w:div w:id="1964383071">
      <w:bodyDiv w:val="1"/>
      <w:marLeft w:val="0"/>
      <w:marRight w:val="0"/>
      <w:marTop w:val="0"/>
      <w:marBottom w:val="0"/>
      <w:divBdr>
        <w:top w:val="none" w:sz="0" w:space="0" w:color="auto"/>
        <w:left w:val="none" w:sz="0" w:space="0" w:color="auto"/>
        <w:bottom w:val="none" w:sz="0" w:space="0" w:color="auto"/>
        <w:right w:val="none" w:sz="0" w:space="0" w:color="auto"/>
      </w:divBdr>
    </w:div>
    <w:div w:id="1965427585">
      <w:bodyDiv w:val="1"/>
      <w:marLeft w:val="0"/>
      <w:marRight w:val="0"/>
      <w:marTop w:val="0"/>
      <w:marBottom w:val="0"/>
      <w:divBdr>
        <w:top w:val="none" w:sz="0" w:space="0" w:color="auto"/>
        <w:left w:val="none" w:sz="0" w:space="0" w:color="auto"/>
        <w:bottom w:val="none" w:sz="0" w:space="0" w:color="auto"/>
        <w:right w:val="none" w:sz="0" w:space="0" w:color="auto"/>
      </w:divBdr>
    </w:div>
    <w:div w:id="1966350471">
      <w:bodyDiv w:val="1"/>
      <w:marLeft w:val="0"/>
      <w:marRight w:val="0"/>
      <w:marTop w:val="0"/>
      <w:marBottom w:val="0"/>
      <w:divBdr>
        <w:top w:val="none" w:sz="0" w:space="0" w:color="auto"/>
        <w:left w:val="none" w:sz="0" w:space="0" w:color="auto"/>
        <w:bottom w:val="none" w:sz="0" w:space="0" w:color="auto"/>
        <w:right w:val="none" w:sz="0" w:space="0" w:color="auto"/>
      </w:divBdr>
    </w:div>
    <w:div w:id="1966696790">
      <w:bodyDiv w:val="1"/>
      <w:marLeft w:val="0"/>
      <w:marRight w:val="0"/>
      <w:marTop w:val="0"/>
      <w:marBottom w:val="0"/>
      <w:divBdr>
        <w:top w:val="none" w:sz="0" w:space="0" w:color="auto"/>
        <w:left w:val="none" w:sz="0" w:space="0" w:color="auto"/>
        <w:bottom w:val="none" w:sz="0" w:space="0" w:color="auto"/>
        <w:right w:val="none" w:sz="0" w:space="0" w:color="auto"/>
      </w:divBdr>
    </w:div>
    <w:div w:id="1967083470">
      <w:bodyDiv w:val="1"/>
      <w:marLeft w:val="0"/>
      <w:marRight w:val="0"/>
      <w:marTop w:val="0"/>
      <w:marBottom w:val="0"/>
      <w:divBdr>
        <w:top w:val="none" w:sz="0" w:space="0" w:color="auto"/>
        <w:left w:val="none" w:sz="0" w:space="0" w:color="auto"/>
        <w:bottom w:val="none" w:sz="0" w:space="0" w:color="auto"/>
        <w:right w:val="none" w:sz="0" w:space="0" w:color="auto"/>
      </w:divBdr>
    </w:div>
    <w:div w:id="1967155764">
      <w:bodyDiv w:val="1"/>
      <w:marLeft w:val="0"/>
      <w:marRight w:val="0"/>
      <w:marTop w:val="0"/>
      <w:marBottom w:val="0"/>
      <w:divBdr>
        <w:top w:val="none" w:sz="0" w:space="0" w:color="auto"/>
        <w:left w:val="none" w:sz="0" w:space="0" w:color="auto"/>
        <w:bottom w:val="none" w:sz="0" w:space="0" w:color="auto"/>
        <w:right w:val="none" w:sz="0" w:space="0" w:color="auto"/>
      </w:divBdr>
    </w:div>
    <w:div w:id="1968008122">
      <w:bodyDiv w:val="1"/>
      <w:marLeft w:val="0"/>
      <w:marRight w:val="0"/>
      <w:marTop w:val="0"/>
      <w:marBottom w:val="0"/>
      <w:divBdr>
        <w:top w:val="none" w:sz="0" w:space="0" w:color="auto"/>
        <w:left w:val="none" w:sz="0" w:space="0" w:color="auto"/>
        <w:bottom w:val="none" w:sz="0" w:space="0" w:color="auto"/>
        <w:right w:val="none" w:sz="0" w:space="0" w:color="auto"/>
      </w:divBdr>
    </w:div>
    <w:div w:id="1969432102">
      <w:bodyDiv w:val="1"/>
      <w:marLeft w:val="0"/>
      <w:marRight w:val="0"/>
      <w:marTop w:val="0"/>
      <w:marBottom w:val="0"/>
      <w:divBdr>
        <w:top w:val="none" w:sz="0" w:space="0" w:color="auto"/>
        <w:left w:val="none" w:sz="0" w:space="0" w:color="auto"/>
        <w:bottom w:val="none" w:sz="0" w:space="0" w:color="auto"/>
        <w:right w:val="none" w:sz="0" w:space="0" w:color="auto"/>
      </w:divBdr>
    </w:div>
    <w:div w:id="1969625342">
      <w:bodyDiv w:val="1"/>
      <w:marLeft w:val="0"/>
      <w:marRight w:val="0"/>
      <w:marTop w:val="0"/>
      <w:marBottom w:val="0"/>
      <w:divBdr>
        <w:top w:val="none" w:sz="0" w:space="0" w:color="auto"/>
        <w:left w:val="none" w:sz="0" w:space="0" w:color="auto"/>
        <w:bottom w:val="none" w:sz="0" w:space="0" w:color="auto"/>
        <w:right w:val="none" w:sz="0" w:space="0" w:color="auto"/>
      </w:divBdr>
    </w:div>
    <w:div w:id="1970697915">
      <w:bodyDiv w:val="1"/>
      <w:marLeft w:val="0"/>
      <w:marRight w:val="0"/>
      <w:marTop w:val="0"/>
      <w:marBottom w:val="0"/>
      <w:divBdr>
        <w:top w:val="none" w:sz="0" w:space="0" w:color="auto"/>
        <w:left w:val="none" w:sz="0" w:space="0" w:color="auto"/>
        <w:bottom w:val="none" w:sz="0" w:space="0" w:color="auto"/>
        <w:right w:val="none" w:sz="0" w:space="0" w:color="auto"/>
      </w:divBdr>
    </w:div>
    <w:div w:id="1973290500">
      <w:bodyDiv w:val="1"/>
      <w:marLeft w:val="0"/>
      <w:marRight w:val="0"/>
      <w:marTop w:val="0"/>
      <w:marBottom w:val="0"/>
      <w:divBdr>
        <w:top w:val="none" w:sz="0" w:space="0" w:color="auto"/>
        <w:left w:val="none" w:sz="0" w:space="0" w:color="auto"/>
        <w:bottom w:val="none" w:sz="0" w:space="0" w:color="auto"/>
        <w:right w:val="none" w:sz="0" w:space="0" w:color="auto"/>
      </w:divBdr>
    </w:div>
    <w:div w:id="1974098340">
      <w:bodyDiv w:val="1"/>
      <w:marLeft w:val="0"/>
      <w:marRight w:val="0"/>
      <w:marTop w:val="0"/>
      <w:marBottom w:val="0"/>
      <w:divBdr>
        <w:top w:val="none" w:sz="0" w:space="0" w:color="auto"/>
        <w:left w:val="none" w:sz="0" w:space="0" w:color="auto"/>
        <w:bottom w:val="none" w:sz="0" w:space="0" w:color="auto"/>
        <w:right w:val="none" w:sz="0" w:space="0" w:color="auto"/>
      </w:divBdr>
    </w:div>
    <w:div w:id="1974360419">
      <w:bodyDiv w:val="1"/>
      <w:marLeft w:val="0"/>
      <w:marRight w:val="0"/>
      <w:marTop w:val="0"/>
      <w:marBottom w:val="0"/>
      <w:divBdr>
        <w:top w:val="none" w:sz="0" w:space="0" w:color="auto"/>
        <w:left w:val="none" w:sz="0" w:space="0" w:color="auto"/>
        <w:bottom w:val="none" w:sz="0" w:space="0" w:color="auto"/>
        <w:right w:val="none" w:sz="0" w:space="0" w:color="auto"/>
      </w:divBdr>
    </w:div>
    <w:div w:id="1977566938">
      <w:bodyDiv w:val="1"/>
      <w:marLeft w:val="0"/>
      <w:marRight w:val="0"/>
      <w:marTop w:val="0"/>
      <w:marBottom w:val="0"/>
      <w:divBdr>
        <w:top w:val="none" w:sz="0" w:space="0" w:color="auto"/>
        <w:left w:val="none" w:sz="0" w:space="0" w:color="auto"/>
        <w:bottom w:val="none" w:sz="0" w:space="0" w:color="auto"/>
        <w:right w:val="none" w:sz="0" w:space="0" w:color="auto"/>
      </w:divBdr>
    </w:div>
    <w:div w:id="1978297775">
      <w:bodyDiv w:val="1"/>
      <w:marLeft w:val="0"/>
      <w:marRight w:val="0"/>
      <w:marTop w:val="0"/>
      <w:marBottom w:val="0"/>
      <w:divBdr>
        <w:top w:val="none" w:sz="0" w:space="0" w:color="auto"/>
        <w:left w:val="none" w:sz="0" w:space="0" w:color="auto"/>
        <w:bottom w:val="none" w:sz="0" w:space="0" w:color="auto"/>
        <w:right w:val="none" w:sz="0" w:space="0" w:color="auto"/>
      </w:divBdr>
    </w:div>
    <w:div w:id="1979872716">
      <w:bodyDiv w:val="1"/>
      <w:marLeft w:val="0"/>
      <w:marRight w:val="0"/>
      <w:marTop w:val="0"/>
      <w:marBottom w:val="0"/>
      <w:divBdr>
        <w:top w:val="none" w:sz="0" w:space="0" w:color="auto"/>
        <w:left w:val="none" w:sz="0" w:space="0" w:color="auto"/>
        <w:bottom w:val="none" w:sz="0" w:space="0" w:color="auto"/>
        <w:right w:val="none" w:sz="0" w:space="0" w:color="auto"/>
      </w:divBdr>
    </w:div>
    <w:div w:id="1980183141">
      <w:bodyDiv w:val="1"/>
      <w:marLeft w:val="0"/>
      <w:marRight w:val="0"/>
      <w:marTop w:val="0"/>
      <w:marBottom w:val="0"/>
      <w:divBdr>
        <w:top w:val="none" w:sz="0" w:space="0" w:color="auto"/>
        <w:left w:val="none" w:sz="0" w:space="0" w:color="auto"/>
        <w:bottom w:val="none" w:sz="0" w:space="0" w:color="auto"/>
        <w:right w:val="none" w:sz="0" w:space="0" w:color="auto"/>
      </w:divBdr>
    </w:div>
    <w:div w:id="1980911432">
      <w:bodyDiv w:val="1"/>
      <w:marLeft w:val="0"/>
      <w:marRight w:val="0"/>
      <w:marTop w:val="0"/>
      <w:marBottom w:val="0"/>
      <w:divBdr>
        <w:top w:val="none" w:sz="0" w:space="0" w:color="auto"/>
        <w:left w:val="none" w:sz="0" w:space="0" w:color="auto"/>
        <w:bottom w:val="none" w:sz="0" w:space="0" w:color="auto"/>
        <w:right w:val="none" w:sz="0" w:space="0" w:color="auto"/>
      </w:divBdr>
    </w:div>
    <w:div w:id="1981305557">
      <w:bodyDiv w:val="1"/>
      <w:marLeft w:val="0"/>
      <w:marRight w:val="0"/>
      <w:marTop w:val="0"/>
      <w:marBottom w:val="0"/>
      <w:divBdr>
        <w:top w:val="none" w:sz="0" w:space="0" w:color="auto"/>
        <w:left w:val="none" w:sz="0" w:space="0" w:color="auto"/>
        <w:bottom w:val="none" w:sz="0" w:space="0" w:color="auto"/>
        <w:right w:val="none" w:sz="0" w:space="0" w:color="auto"/>
      </w:divBdr>
    </w:div>
    <w:div w:id="1983730747">
      <w:bodyDiv w:val="1"/>
      <w:marLeft w:val="0"/>
      <w:marRight w:val="0"/>
      <w:marTop w:val="0"/>
      <w:marBottom w:val="0"/>
      <w:divBdr>
        <w:top w:val="none" w:sz="0" w:space="0" w:color="auto"/>
        <w:left w:val="none" w:sz="0" w:space="0" w:color="auto"/>
        <w:bottom w:val="none" w:sz="0" w:space="0" w:color="auto"/>
        <w:right w:val="none" w:sz="0" w:space="0" w:color="auto"/>
      </w:divBdr>
    </w:div>
    <w:div w:id="1984311303">
      <w:bodyDiv w:val="1"/>
      <w:marLeft w:val="0"/>
      <w:marRight w:val="0"/>
      <w:marTop w:val="0"/>
      <w:marBottom w:val="0"/>
      <w:divBdr>
        <w:top w:val="none" w:sz="0" w:space="0" w:color="auto"/>
        <w:left w:val="none" w:sz="0" w:space="0" w:color="auto"/>
        <w:bottom w:val="none" w:sz="0" w:space="0" w:color="auto"/>
        <w:right w:val="none" w:sz="0" w:space="0" w:color="auto"/>
      </w:divBdr>
    </w:div>
    <w:div w:id="1984581264">
      <w:bodyDiv w:val="1"/>
      <w:marLeft w:val="0"/>
      <w:marRight w:val="0"/>
      <w:marTop w:val="0"/>
      <w:marBottom w:val="0"/>
      <w:divBdr>
        <w:top w:val="none" w:sz="0" w:space="0" w:color="auto"/>
        <w:left w:val="none" w:sz="0" w:space="0" w:color="auto"/>
        <w:bottom w:val="none" w:sz="0" w:space="0" w:color="auto"/>
        <w:right w:val="none" w:sz="0" w:space="0" w:color="auto"/>
      </w:divBdr>
    </w:div>
    <w:div w:id="1986549789">
      <w:bodyDiv w:val="1"/>
      <w:marLeft w:val="0"/>
      <w:marRight w:val="0"/>
      <w:marTop w:val="0"/>
      <w:marBottom w:val="0"/>
      <w:divBdr>
        <w:top w:val="none" w:sz="0" w:space="0" w:color="auto"/>
        <w:left w:val="none" w:sz="0" w:space="0" w:color="auto"/>
        <w:bottom w:val="none" w:sz="0" w:space="0" w:color="auto"/>
        <w:right w:val="none" w:sz="0" w:space="0" w:color="auto"/>
      </w:divBdr>
    </w:div>
    <w:div w:id="1988705667">
      <w:bodyDiv w:val="1"/>
      <w:marLeft w:val="0"/>
      <w:marRight w:val="0"/>
      <w:marTop w:val="0"/>
      <w:marBottom w:val="0"/>
      <w:divBdr>
        <w:top w:val="none" w:sz="0" w:space="0" w:color="auto"/>
        <w:left w:val="none" w:sz="0" w:space="0" w:color="auto"/>
        <w:bottom w:val="none" w:sz="0" w:space="0" w:color="auto"/>
        <w:right w:val="none" w:sz="0" w:space="0" w:color="auto"/>
      </w:divBdr>
    </w:div>
    <w:div w:id="1990330342">
      <w:bodyDiv w:val="1"/>
      <w:marLeft w:val="0"/>
      <w:marRight w:val="0"/>
      <w:marTop w:val="0"/>
      <w:marBottom w:val="0"/>
      <w:divBdr>
        <w:top w:val="none" w:sz="0" w:space="0" w:color="auto"/>
        <w:left w:val="none" w:sz="0" w:space="0" w:color="auto"/>
        <w:bottom w:val="none" w:sz="0" w:space="0" w:color="auto"/>
        <w:right w:val="none" w:sz="0" w:space="0" w:color="auto"/>
      </w:divBdr>
    </w:div>
    <w:div w:id="1992562197">
      <w:bodyDiv w:val="1"/>
      <w:marLeft w:val="0"/>
      <w:marRight w:val="0"/>
      <w:marTop w:val="0"/>
      <w:marBottom w:val="0"/>
      <w:divBdr>
        <w:top w:val="none" w:sz="0" w:space="0" w:color="auto"/>
        <w:left w:val="none" w:sz="0" w:space="0" w:color="auto"/>
        <w:bottom w:val="none" w:sz="0" w:space="0" w:color="auto"/>
        <w:right w:val="none" w:sz="0" w:space="0" w:color="auto"/>
      </w:divBdr>
    </w:div>
    <w:div w:id="1994017578">
      <w:bodyDiv w:val="1"/>
      <w:marLeft w:val="0"/>
      <w:marRight w:val="0"/>
      <w:marTop w:val="0"/>
      <w:marBottom w:val="0"/>
      <w:divBdr>
        <w:top w:val="none" w:sz="0" w:space="0" w:color="auto"/>
        <w:left w:val="none" w:sz="0" w:space="0" w:color="auto"/>
        <w:bottom w:val="none" w:sz="0" w:space="0" w:color="auto"/>
        <w:right w:val="none" w:sz="0" w:space="0" w:color="auto"/>
      </w:divBdr>
    </w:div>
    <w:div w:id="1996373556">
      <w:bodyDiv w:val="1"/>
      <w:marLeft w:val="0"/>
      <w:marRight w:val="0"/>
      <w:marTop w:val="0"/>
      <w:marBottom w:val="0"/>
      <w:divBdr>
        <w:top w:val="none" w:sz="0" w:space="0" w:color="auto"/>
        <w:left w:val="none" w:sz="0" w:space="0" w:color="auto"/>
        <w:bottom w:val="none" w:sz="0" w:space="0" w:color="auto"/>
        <w:right w:val="none" w:sz="0" w:space="0" w:color="auto"/>
      </w:divBdr>
    </w:div>
    <w:div w:id="1996833371">
      <w:bodyDiv w:val="1"/>
      <w:marLeft w:val="0"/>
      <w:marRight w:val="0"/>
      <w:marTop w:val="0"/>
      <w:marBottom w:val="0"/>
      <w:divBdr>
        <w:top w:val="none" w:sz="0" w:space="0" w:color="auto"/>
        <w:left w:val="none" w:sz="0" w:space="0" w:color="auto"/>
        <w:bottom w:val="none" w:sz="0" w:space="0" w:color="auto"/>
        <w:right w:val="none" w:sz="0" w:space="0" w:color="auto"/>
      </w:divBdr>
    </w:div>
    <w:div w:id="1997879319">
      <w:bodyDiv w:val="1"/>
      <w:marLeft w:val="0"/>
      <w:marRight w:val="0"/>
      <w:marTop w:val="0"/>
      <w:marBottom w:val="0"/>
      <w:divBdr>
        <w:top w:val="none" w:sz="0" w:space="0" w:color="auto"/>
        <w:left w:val="none" w:sz="0" w:space="0" w:color="auto"/>
        <w:bottom w:val="none" w:sz="0" w:space="0" w:color="auto"/>
        <w:right w:val="none" w:sz="0" w:space="0" w:color="auto"/>
      </w:divBdr>
    </w:div>
    <w:div w:id="1999310487">
      <w:bodyDiv w:val="1"/>
      <w:marLeft w:val="0"/>
      <w:marRight w:val="0"/>
      <w:marTop w:val="0"/>
      <w:marBottom w:val="0"/>
      <w:divBdr>
        <w:top w:val="none" w:sz="0" w:space="0" w:color="auto"/>
        <w:left w:val="none" w:sz="0" w:space="0" w:color="auto"/>
        <w:bottom w:val="none" w:sz="0" w:space="0" w:color="auto"/>
        <w:right w:val="none" w:sz="0" w:space="0" w:color="auto"/>
      </w:divBdr>
    </w:div>
    <w:div w:id="2001614817">
      <w:bodyDiv w:val="1"/>
      <w:marLeft w:val="0"/>
      <w:marRight w:val="0"/>
      <w:marTop w:val="0"/>
      <w:marBottom w:val="0"/>
      <w:divBdr>
        <w:top w:val="none" w:sz="0" w:space="0" w:color="auto"/>
        <w:left w:val="none" w:sz="0" w:space="0" w:color="auto"/>
        <w:bottom w:val="none" w:sz="0" w:space="0" w:color="auto"/>
        <w:right w:val="none" w:sz="0" w:space="0" w:color="auto"/>
      </w:divBdr>
    </w:div>
    <w:div w:id="2002655550">
      <w:bodyDiv w:val="1"/>
      <w:marLeft w:val="0"/>
      <w:marRight w:val="0"/>
      <w:marTop w:val="0"/>
      <w:marBottom w:val="0"/>
      <w:divBdr>
        <w:top w:val="none" w:sz="0" w:space="0" w:color="auto"/>
        <w:left w:val="none" w:sz="0" w:space="0" w:color="auto"/>
        <w:bottom w:val="none" w:sz="0" w:space="0" w:color="auto"/>
        <w:right w:val="none" w:sz="0" w:space="0" w:color="auto"/>
      </w:divBdr>
    </w:div>
    <w:div w:id="2003119132">
      <w:bodyDiv w:val="1"/>
      <w:marLeft w:val="0"/>
      <w:marRight w:val="0"/>
      <w:marTop w:val="0"/>
      <w:marBottom w:val="0"/>
      <w:divBdr>
        <w:top w:val="none" w:sz="0" w:space="0" w:color="auto"/>
        <w:left w:val="none" w:sz="0" w:space="0" w:color="auto"/>
        <w:bottom w:val="none" w:sz="0" w:space="0" w:color="auto"/>
        <w:right w:val="none" w:sz="0" w:space="0" w:color="auto"/>
      </w:divBdr>
    </w:div>
    <w:div w:id="2004628378">
      <w:bodyDiv w:val="1"/>
      <w:marLeft w:val="0"/>
      <w:marRight w:val="0"/>
      <w:marTop w:val="0"/>
      <w:marBottom w:val="0"/>
      <w:divBdr>
        <w:top w:val="none" w:sz="0" w:space="0" w:color="auto"/>
        <w:left w:val="none" w:sz="0" w:space="0" w:color="auto"/>
        <w:bottom w:val="none" w:sz="0" w:space="0" w:color="auto"/>
        <w:right w:val="none" w:sz="0" w:space="0" w:color="auto"/>
      </w:divBdr>
    </w:div>
    <w:div w:id="2005274715">
      <w:bodyDiv w:val="1"/>
      <w:marLeft w:val="0"/>
      <w:marRight w:val="0"/>
      <w:marTop w:val="0"/>
      <w:marBottom w:val="0"/>
      <w:divBdr>
        <w:top w:val="none" w:sz="0" w:space="0" w:color="auto"/>
        <w:left w:val="none" w:sz="0" w:space="0" w:color="auto"/>
        <w:bottom w:val="none" w:sz="0" w:space="0" w:color="auto"/>
        <w:right w:val="none" w:sz="0" w:space="0" w:color="auto"/>
      </w:divBdr>
    </w:div>
    <w:div w:id="2005549600">
      <w:bodyDiv w:val="1"/>
      <w:marLeft w:val="0"/>
      <w:marRight w:val="0"/>
      <w:marTop w:val="0"/>
      <w:marBottom w:val="0"/>
      <w:divBdr>
        <w:top w:val="none" w:sz="0" w:space="0" w:color="auto"/>
        <w:left w:val="none" w:sz="0" w:space="0" w:color="auto"/>
        <w:bottom w:val="none" w:sz="0" w:space="0" w:color="auto"/>
        <w:right w:val="none" w:sz="0" w:space="0" w:color="auto"/>
      </w:divBdr>
    </w:div>
    <w:div w:id="2005624212">
      <w:bodyDiv w:val="1"/>
      <w:marLeft w:val="0"/>
      <w:marRight w:val="0"/>
      <w:marTop w:val="0"/>
      <w:marBottom w:val="0"/>
      <w:divBdr>
        <w:top w:val="none" w:sz="0" w:space="0" w:color="auto"/>
        <w:left w:val="none" w:sz="0" w:space="0" w:color="auto"/>
        <w:bottom w:val="none" w:sz="0" w:space="0" w:color="auto"/>
        <w:right w:val="none" w:sz="0" w:space="0" w:color="auto"/>
      </w:divBdr>
    </w:div>
    <w:div w:id="2005817798">
      <w:bodyDiv w:val="1"/>
      <w:marLeft w:val="0"/>
      <w:marRight w:val="0"/>
      <w:marTop w:val="0"/>
      <w:marBottom w:val="0"/>
      <w:divBdr>
        <w:top w:val="none" w:sz="0" w:space="0" w:color="auto"/>
        <w:left w:val="none" w:sz="0" w:space="0" w:color="auto"/>
        <w:bottom w:val="none" w:sz="0" w:space="0" w:color="auto"/>
        <w:right w:val="none" w:sz="0" w:space="0" w:color="auto"/>
      </w:divBdr>
    </w:div>
    <w:div w:id="2005933818">
      <w:bodyDiv w:val="1"/>
      <w:marLeft w:val="0"/>
      <w:marRight w:val="0"/>
      <w:marTop w:val="0"/>
      <w:marBottom w:val="0"/>
      <w:divBdr>
        <w:top w:val="none" w:sz="0" w:space="0" w:color="auto"/>
        <w:left w:val="none" w:sz="0" w:space="0" w:color="auto"/>
        <w:bottom w:val="none" w:sz="0" w:space="0" w:color="auto"/>
        <w:right w:val="none" w:sz="0" w:space="0" w:color="auto"/>
      </w:divBdr>
    </w:div>
    <w:div w:id="2007705710">
      <w:bodyDiv w:val="1"/>
      <w:marLeft w:val="0"/>
      <w:marRight w:val="0"/>
      <w:marTop w:val="0"/>
      <w:marBottom w:val="0"/>
      <w:divBdr>
        <w:top w:val="none" w:sz="0" w:space="0" w:color="auto"/>
        <w:left w:val="none" w:sz="0" w:space="0" w:color="auto"/>
        <w:bottom w:val="none" w:sz="0" w:space="0" w:color="auto"/>
        <w:right w:val="none" w:sz="0" w:space="0" w:color="auto"/>
      </w:divBdr>
    </w:div>
    <w:div w:id="2008512971">
      <w:bodyDiv w:val="1"/>
      <w:marLeft w:val="0"/>
      <w:marRight w:val="0"/>
      <w:marTop w:val="0"/>
      <w:marBottom w:val="0"/>
      <w:divBdr>
        <w:top w:val="none" w:sz="0" w:space="0" w:color="auto"/>
        <w:left w:val="none" w:sz="0" w:space="0" w:color="auto"/>
        <w:bottom w:val="none" w:sz="0" w:space="0" w:color="auto"/>
        <w:right w:val="none" w:sz="0" w:space="0" w:color="auto"/>
      </w:divBdr>
    </w:div>
    <w:div w:id="2008894998">
      <w:bodyDiv w:val="1"/>
      <w:marLeft w:val="0"/>
      <w:marRight w:val="0"/>
      <w:marTop w:val="0"/>
      <w:marBottom w:val="0"/>
      <w:divBdr>
        <w:top w:val="none" w:sz="0" w:space="0" w:color="auto"/>
        <w:left w:val="none" w:sz="0" w:space="0" w:color="auto"/>
        <w:bottom w:val="none" w:sz="0" w:space="0" w:color="auto"/>
        <w:right w:val="none" w:sz="0" w:space="0" w:color="auto"/>
      </w:divBdr>
    </w:div>
    <w:div w:id="2009599363">
      <w:bodyDiv w:val="1"/>
      <w:marLeft w:val="0"/>
      <w:marRight w:val="0"/>
      <w:marTop w:val="0"/>
      <w:marBottom w:val="0"/>
      <w:divBdr>
        <w:top w:val="none" w:sz="0" w:space="0" w:color="auto"/>
        <w:left w:val="none" w:sz="0" w:space="0" w:color="auto"/>
        <w:bottom w:val="none" w:sz="0" w:space="0" w:color="auto"/>
        <w:right w:val="none" w:sz="0" w:space="0" w:color="auto"/>
      </w:divBdr>
    </w:div>
    <w:div w:id="2010060862">
      <w:bodyDiv w:val="1"/>
      <w:marLeft w:val="0"/>
      <w:marRight w:val="0"/>
      <w:marTop w:val="0"/>
      <w:marBottom w:val="0"/>
      <w:divBdr>
        <w:top w:val="none" w:sz="0" w:space="0" w:color="auto"/>
        <w:left w:val="none" w:sz="0" w:space="0" w:color="auto"/>
        <w:bottom w:val="none" w:sz="0" w:space="0" w:color="auto"/>
        <w:right w:val="none" w:sz="0" w:space="0" w:color="auto"/>
      </w:divBdr>
    </w:div>
    <w:div w:id="2010599184">
      <w:bodyDiv w:val="1"/>
      <w:marLeft w:val="0"/>
      <w:marRight w:val="0"/>
      <w:marTop w:val="0"/>
      <w:marBottom w:val="0"/>
      <w:divBdr>
        <w:top w:val="none" w:sz="0" w:space="0" w:color="auto"/>
        <w:left w:val="none" w:sz="0" w:space="0" w:color="auto"/>
        <w:bottom w:val="none" w:sz="0" w:space="0" w:color="auto"/>
        <w:right w:val="none" w:sz="0" w:space="0" w:color="auto"/>
      </w:divBdr>
    </w:div>
    <w:div w:id="2010786077">
      <w:bodyDiv w:val="1"/>
      <w:marLeft w:val="0"/>
      <w:marRight w:val="0"/>
      <w:marTop w:val="0"/>
      <w:marBottom w:val="0"/>
      <w:divBdr>
        <w:top w:val="none" w:sz="0" w:space="0" w:color="auto"/>
        <w:left w:val="none" w:sz="0" w:space="0" w:color="auto"/>
        <w:bottom w:val="none" w:sz="0" w:space="0" w:color="auto"/>
        <w:right w:val="none" w:sz="0" w:space="0" w:color="auto"/>
      </w:divBdr>
    </w:div>
    <w:div w:id="2014144270">
      <w:bodyDiv w:val="1"/>
      <w:marLeft w:val="0"/>
      <w:marRight w:val="0"/>
      <w:marTop w:val="0"/>
      <w:marBottom w:val="0"/>
      <w:divBdr>
        <w:top w:val="none" w:sz="0" w:space="0" w:color="auto"/>
        <w:left w:val="none" w:sz="0" w:space="0" w:color="auto"/>
        <w:bottom w:val="none" w:sz="0" w:space="0" w:color="auto"/>
        <w:right w:val="none" w:sz="0" w:space="0" w:color="auto"/>
      </w:divBdr>
    </w:div>
    <w:div w:id="2016960353">
      <w:bodyDiv w:val="1"/>
      <w:marLeft w:val="0"/>
      <w:marRight w:val="0"/>
      <w:marTop w:val="0"/>
      <w:marBottom w:val="0"/>
      <w:divBdr>
        <w:top w:val="none" w:sz="0" w:space="0" w:color="auto"/>
        <w:left w:val="none" w:sz="0" w:space="0" w:color="auto"/>
        <w:bottom w:val="none" w:sz="0" w:space="0" w:color="auto"/>
        <w:right w:val="none" w:sz="0" w:space="0" w:color="auto"/>
      </w:divBdr>
    </w:div>
    <w:div w:id="2017268708">
      <w:bodyDiv w:val="1"/>
      <w:marLeft w:val="0"/>
      <w:marRight w:val="0"/>
      <w:marTop w:val="0"/>
      <w:marBottom w:val="0"/>
      <w:divBdr>
        <w:top w:val="none" w:sz="0" w:space="0" w:color="auto"/>
        <w:left w:val="none" w:sz="0" w:space="0" w:color="auto"/>
        <w:bottom w:val="none" w:sz="0" w:space="0" w:color="auto"/>
        <w:right w:val="none" w:sz="0" w:space="0" w:color="auto"/>
      </w:divBdr>
    </w:div>
    <w:div w:id="2018076671">
      <w:bodyDiv w:val="1"/>
      <w:marLeft w:val="0"/>
      <w:marRight w:val="0"/>
      <w:marTop w:val="0"/>
      <w:marBottom w:val="0"/>
      <w:divBdr>
        <w:top w:val="none" w:sz="0" w:space="0" w:color="auto"/>
        <w:left w:val="none" w:sz="0" w:space="0" w:color="auto"/>
        <w:bottom w:val="none" w:sz="0" w:space="0" w:color="auto"/>
        <w:right w:val="none" w:sz="0" w:space="0" w:color="auto"/>
      </w:divBdr>
    </w:div>
    <w:div w:id="2018269648">
      <w:bodyDiv w:val="1"/>
      <w:marLeft w:val="0"/>
      <w:marRight w:val="0"/>
      <w:marTop w:val="0"/>
      <w:marBottom w:val="0"/>
      <w:divBdr>
        <w:top w:val="none" w:sz="0" w:space="0" w:color="auto"/>
        <w:left w:val="none" w:sz="0" w:space="0" w:color="auto"/>
        <w:bottom w:val="none" w:sz="0" w:space="0" w:color="auto"/>
        <w:right w:val="none" w:sz="0" w:space="0" w:color="auto"/>
      </w:divBdr>
    </w:div>
    <w:div w:id="2018338900">
      <w:bodyDiv w:val="1"/>
      <w:marLeft w:val="0"/>
      <w:marRight w:val="0"/>
      <w:marTop w:val="0"/>
      <w:marBottom w:val="0"/>
      <w:divBdr>
        <w:top w:val="none" w:sz="0" w:space="0" w:color="auto"/>
        <w:left w:val="none" w:sz="0" w:space="0" w:color="auto"/>
        <w:bottom w:val="none" w:sz="0" w:space="0" w:color="auto"/>
        <w:right w:val="none" w:sz="0" w:space="0" w:color="auto"/>
      </w:divBdr>
    </w:div>
    <w:div w:id="2018389002">
      <w:bodyDiv w:val="1"/>
      <w:marLeft w:val="0"/>
      <w:marRight w:val="0"/>
      <w:marTop w:val="0"/>
      <w:marBottom w:val="0"/>
      <w:divBdr>
        <w:top w:val="none" w:sz="0" w:space="0" w:color="auto"/>
        <w:left w:val="none" w:sz="0" w:space="0" w:color="auto"/>
        <w:bottom w:val="none" w:sz="0" w:space="0" w:color="auto"/>
        <w:right w:val="none" w:sz="0" w:space="0" w:color="auto"/>
      </w:divBdr>
    </w:div>
    <w:div w:id="2018732049">
      <w:bodyDiv w:val="1"/>
      <w:marLeft w:val="0"/>
      <w:marRight w:val="0"/>
      <w:marTop w:val="0"/>
      <w:marBottom w:val="0"/>
      <w:divBdr>
        <w:top w:val="none" w:sz="0" w:space="0" w:color="auto"/>
        <w:left w:val="none" w:sz="0" w:space="0" w:color="auto"/>
        <w:bottom w:val="none" w:sz="0" w:space="0" w:color="auto"/>
        <w:right w:val="none" w:sz="0" w:space="0" w:color="auto"/>
      </w:divBdr>
    </w:div>
    <w:div w:id="2019312159">
      <w:bodyDiv w:val="1"/>
      <w:marLeft w:val="0"/>
      <w:marRight w:val="0"/>
      <w:marTop w:val="0"/>
      <w:marBottom w:val="0"/>
      <w:divBdr>
        <w:top w:val="none" w:sz="0" w:space="0" w:color="auto"/>
        <w:left w:val="none" w:sz="0" w:space="0" w:color="auto"/>
        <w:bottom w:val="none" w:sz="0" w:space="0" w:color="auto"/>
        <w:right w:val="none" w:sz="0" w:space="0" w:color="auto"/>
      </w:divBdr>
    </w:div>
    <w:div w:id="2020160682">
      <w:bodyDiv w:val="1"/>
      <w:marLeft w:val="0"/>
      <w:marRight w:val="0"/>
      <w:marTop w:val="0"/>
      <w:marBottom w:val="0"/>
      <w:divBdr>
        <w:top w:val="none" w:sz="0" w:space="0" w:color="auto"/>
        <w:left w:val="none" w:sz="0" w:space="0" w:color="auto"/>
        <w:bottom w:val="none" w:sz="0" w:space="0" w:color="auto"/>
        <w:right w:val="none" w:sz="0" w:space="0" w:color="auto"/>
      </w:divBdr>
    </w:div>
    <w:div w:id="2021424918">
      <w:bodyDiv w:val="1"/>
      <w:marLeft w:val="0"/>
      <w:marRight w:val="0"/>
      <w:marTop w:val="0"/>
      <w:marBottom w:val="0"/>
      <w:divBdr>
        <w:top w:val="none" w:sz="0" w:space="0" w:color="auto"/>
        <w:left w:val="none" w:sz="0" w:space="0" w:color="auto"/>
        <w:bottom w:val="none" w:sz="0" w:space="0" w:color="auto"/>
        <w:right w:val="none" w:sz="0" w:space="0" w:color="auto"/>
      </w:divBdr>
    </w:div>
    <w:div w:id="2021613449">
      <w:bodyDiv w:val="1"/>
      <w:marLeft w:val="0"/>
      <w:marRight w:val="0"/>
      <w:marTop w:val="0"/>
      <w:marBottom w:val="0"/>
      <w:divBdr>
        <w:top w:val="none" w:sz="0" w:space="0" w:color="auto"/>
        <w:left w:val="none" w:sz="0" w:space="0" w:color="auto"/>
        <w:bottom w:val="none" w:sz="0" w:space="0" w:color="auto"/>
        <w:right w:val="none" w:sz="0" w:space="0" w:color="auto"/>
      </w:divBdr>
    </w:div>
    <w:div w:id="2022465010">
      <w:bodyDiv w:val="1"/>
      <w:marLeft w:val="0"/>
      <w:marRight w:val="0"/>
      <w:marTop w:val="0"/>
      <w:marBottom w:val="0"/>
      <w:divBdr>
        <w:top w:val="none" w:sz="0" w:space="0" w:color="auto"/>
        <w:left w:val="none" w:sz="0" w:space="0" w:color="auto"/>
        <w:bottom w:val="none" w:sz="0" w:space="0" w:color="auto"/>
        <w:right w:val="none" w:sz="0" w:space="0" w:color="auto"/>
      </w:divBdr>
    </w:div>
    <w:div w:id="2022731001">
      <w:bodyDiv w:val="1"/>
      <w:marLeft w:val="0"/>
      <w:marRight w:val="0"/>
      <w:marTop w:val="0"/>
      <w:marBottom w:val="0"/>
      <w:divBdr>
        <w:top w:val="none" w:sz="0" w:space="0" w:color="auto"/>
        <w:left w:val="none" w:sz="0" w:space="0" w:color="auto"/>
        <w:bottom w:val="none" w:sz="0" w:space="0" w:color="auto"/>
        <w:right w:val="none" w:sz="0" w:space="0" w:color="auto"/>
      </w:divBdr>
    </w:div>
    <w:div w:id="2025740251">
      <w:bodyDiv w:val="1"/>
      <w:marLeft w:val="0"/>
      <w:marRight w:val="0"/>
      <w:marTop w:val="0"/>
      <w:marBottom w:val="0"/>
      <w:divBdr>
        <w:top w:val="none" w:sz="0" w:space="0" w:color="auto"/>
        <w:left w:val="none" w:sz="0" w:space="0" w:color="auto"/>
        <w:bottom w:val="none" w:sz="0" w:space="0" w:color="auto"/>
        <w:right w:val="none" w:sz="0" w:space="0" w:color="auto"/>
      </w:divBdr>
    </w:div>
    <w:div w:id="2027750328">
      <w:bodyDiv w:val="1"/>
      <w:marLeft w:val="0"/>
      <w:marRight w:val="0"/>
      <w:marTop w:val="0"/>
      <w:marBottom w:val="0"/>
      <w:divBdr>
        <w:top w:val="none" w:sz="0" w:space="0" w:color="auto"/>
        <w:left w:val="none" w:sz="0" w:space="0" w:color="auto"/>
        <w:bottom w:val="none" w:sz="0" w:space="0" w:color="auto"/>
        <w:right w:val="none" w:sz="0" w:space="0" w:color="auto"/>
      </w:divBdr>
    </w:div>
    <w:div w:id="2027975013">
      <w:bodyDiv w:val="1"/>
      <w:marLeft w:val="0"/>
      <w:marRight w:val="0"/>
      <w:marTop w:val="0"/>
      <w:marBottom w:val="0"/>
      <w:divBdr>
        <w:top w:val="none" w:sz="0" w:space="0" w:color="auto"/>
        <w:left w:val="none" w:sz="0" w:space="0" w:color="auto"/>
        <w:bottom w:val="none" w:sz="0" w:space="0" w:color="auto"/>
        <w:right w:val="none" w:sz="0" w:space="0" w:color="auto"/>
      </w:divBdr>
    </w:div>
    <w:div w:id="2027977171">
      <w:bodyDiv w:val="1"/>
      <w:marLeft w:val="0"/>
      <w:marRight w:val="0"/>
      <w:marTop w:val="0"/>
      <w:marBottom w:val="0"/>
      <w:divBdr>
        <w:top w:val="none" w:sz="0" w:space="0" w:color="auto"/>
        <w:left w:val="none" w:sz="0" w:space="0" w:color="auto"/>
        <w:bottom w:val="none" w:sz="0" w:space="0" w:color="auto"/>
        <w:right w:val="none" w:sz="0" w:space="0" w:color="auto"/>
      </w:divBdr>
    </w:div>
    <w:div w:id="2029986824">
      <w:bodyDiv w:val="1"/>
      <w:marLeft w:val="0"/>
      <w:marRight w:val="0"/>
      <w:marTop w:val="0"/>
      <w:marBottom w:val="0"/>
      <w:divBdr>
        <w:top w:val="none" w:sz="0" w:space="0" w:color="auto"/>
        <w:left w:val="none" w:sz="0" w:space="0" w:color="auto"/>
        <w:bottom w:val="none" w:sz="0" w:space="0" w:color="auto"/>
        <w:right w:val="none" w:sz="0" w:space="0" w:color="auto"/>
      </w:divBdr>
    </w:div>
    <w:div w:id="2031907330">
      <w:bodyDiv w:val="1"/>
      <w:marLeft w:val="0"/>
      <w:marRight w:val="0"/>
      <w:marTop w:val="0"/>
      <w:marBottom w:val="0"/>
      <w:divBdr>
        <w:top w:val="none" w:sz="0" w:space="0" w:color="auto"/>
        <w:left w:val="none" w:sz="0" w:space="0" w:color="auto"/>
        <w:bottom w:val="none" w:sz="0" w:space="0" w:color="auto"/>
        <w:right w:val="none" w:sz="0" w:space="0" w:color="auto"/>
      </w:divBdr>
    </w:div>
    <w:div w:id="2032492029">
      <w:bodyDiv w:val="1"/>
      <w:marLeft w:val="0"/>
      <w:marRight w:val="0"/>
      <w:marTop w:val="0"/>
      <w:marBottom w:val="0"/>
      <w:divBdr>
        <w:top w:val="none" w:sz="0" w:space="0" w:color="auto"/>
        <w:left w:val="none" w:sz="0" w:space="0" w:color="auto"/>
        <w:bottom w:val="none" w:sz="0" w:space="0" w:color="auto"/>
        <w:right w:val="none" w:sz="0" w:space="0" w:color="auto"/>
      </w:divBdr>
    </w:div>
    <w:div w:id="2033921267">
      <w:bodyDiv w:val="1"/>
      <w:marLeft w:val="0"/>
      <w:marRight w:val="0"/>
      <w:marTop w:val="0"/>
      <w:marBottom w:val="0"/>
      <w:divBdr>
        <w:top w:val="none" w:sz="0" w:space="0" w:color="auto"/>
        <w:left w:val="none" w:sz="0" w:space="0" w:color="auto"/>
        <w:bottom w:val="none" w:sz="0" w:space="0" w:color="auto"/>
        <w:right w:val="none" w:sz="0" w:space="0" w:color="auto"/>
      </w:divBdr>
    </w:div>
    <w:div w:id="2034915661">
      <w:bodyDiv w:val="1"/>
      <w:marLeft w:val="0"/>
      <w:marRight w:val="0"/>
      <w:marTop w:val="0"/>
      <w:marBottom w:val="0"/>
      <w:divBdr>
        <w:top w:val="none" w:sz="0" w:space="0" w:color="auto"/>
        <w:left w:val="none" w:sz="0" w:space="0" w:color="auto"/>
        <w:bottom w:val="none" w:sz="0" w:space="0" w:color="auto"/>
        <w:right w:val="none" w:sz="0" w:space="0" w:color="auto"/>
      </w:divBdr>
    </w:div>
    <w:div w:id="2035839598">
      <w:bodyDiv w:val="1"/>
      <w:marLeft w:val="0"/>
      <w:marRight w:val="0"/>
      <w:marTop w:val="0"/>
      <w:marBottom w:val="0"/>
      <w:divBdr>
        <w:top w:val="none" w:sz="0" w:space="0" w:color="auto"/>
        <w:left w:val="none" w:sz="0" w:space="0" w:color="auto"/>
        <w:bottom w:val="none" w:sz="0" w:space="0" w:color="auto"/>
        <w:right w:val="none" w:sz="0" w:space="0" w:color="auto"/>
      </w:divBdr>
    </w:div>
    <w:div w:id="2036497830">
      <w:bodyDiv w:val="1"/>
      <w:marLeft w:val="0"/>
      <w:marRight w:val="0"/>
      <w:marTop w:val="0"/>
      <w:marBottom w:val="0"/>
      <w:divBdr>
        <w:top w:val="none" w:sz="0" w:space="0" w:color="auto"/>
        <w:left w:val="none" w:sz="0" w:space="0" w:color="auto"/>
        <w:bottom w:val="none" w:sz="0" w:space="0" w:color="auto"/>
        <w:right w:val="none" w:sz="0" w:space="0" w:color="auto"/>
      </w:divBdr>
    </w:div>
    <w:div w:id="2041198205">
      <w:bodyDiv w:val="1"/>
      <w:marLeft w:val="0"/>
      <w:marRight w:val="0"/>
      <w:marTop w:val="0"/>
      <w:marBottom w:val="0"/>
      <w:divBdr>
        <w:top w:val="none" w:sz="0" w:space="0" w:color="auto"/>
        <w:left w:val="none" w:sz="0" w:space="0" w:color="auto"/>
        <w:bottom w:val="none" w:sz="0" w:space="0" w:color="auto"/>
        <w:right w:val="none" w:sz="0" w:space="0" w:color="auto"/>
      </w:divBdr>
    </w:div>
    <w:div w:id="2043093356">
      <w:bodyDiv w:val="1"/>
      <w:marLeft w:val="0"/>
      <w:marRight w:val="0"/>
      <w:marTop w:val="0"/>
      <w:marBottom w:val="0"/>
      <w:divBdr>
        <w:top w:val="none" w:sz="0" w:space="0" w:color="auto"/>
        <w:left w:val="none" w:sz="0" w:space="0" w:color="auto"/>
        <w:bottom w:val="none" w:sz="0" w:space="0" w:color="auto"/>
        <w:right w:val="none" w:sz="0" w:space="0" w:color="auto"/>
      </w:divBdr>
    </w:div>
    <w:div w:id="2043482101">
      <w:bodyDiv w:val="1"/>
      <w:marLeft w:val="0"/>
      <w:marRight w:val="0"/>
      <w:marTop w:val="0"/>
      <w:marBottom w:val="0"/>
      <w:divBdr>
        <w:top w:val="none" w:sz="0" w:space="0" w:color="auto"/>
        <w:left w:val="none" w:sz="0" w:space="0" w:color="auto"/>
        <w:bottom w:val="none" w:sz="0" w:space="0" w:color="auto"/>
        <w:right w:val="none" w:sz="0" w:space="0" w:color="auto"/>
      </w:divBdr>
    </w:div>
    <w:div w:id="2044361841">
      <w:bodyDiv w:val="1"/>
      <w:marLeft w:val="0"/>
      <w:marRight w:val="0"/>
      <w:marTop w:val="0"/>
      <w:marBottom w:val="0"/>
      <w:divBdr>
        <w:top w:val="none" w:sz="0" w:space="0" w:color="auto"/>
        <w:left w:val="none" w:sz="0" w:space="0" w:color="auto"/>
        <w:bottom w:val="none" w:sz="0" w:space="0" w:color="auto"/>
        <w:right w:val="none" w:sz="0" w:space="0" w:color="auto"/>
      </w:divBdr>
    </w:div>
    <w:div w:id="2044593695">
      <w:bodyDiv w:val="1"/>
      <w:marLeft w:val="0"/>
      <w:marRight w:val="0"/>
      <w:marTop w:val="0"/>
      <w:marBottom w:val="0"/>
      <w:divBdr>
        <w:top w:val="none" w:sz="0" w:space="0" w:color="auto"/>
        <w:left w:val="none" w:sz="0" w:space="0" w:color="auto"/>
        <w:bottom w:val="none" w:sz="0" w:space="0" w:color="auto"/>
        <w:right w:val="none" w:sz="0" w:space="0" w:color="auto"/>
      </w:divBdr>
    </w:div>
    <w:div w:id="2045905211">
      <w:bodyDiv w:val="1"/>
      <w:marLeft w:val="0"/>
      <w:marRight w:val="0"/>
      <w:marTop w:val="0"/>
      <w:marBottom w:val="0"/>
      <w:divBdr>
        <w:top w:val="none" w:sz="0" w:space="0" w:color="auto"/>
        <w:left w:val="none" w:sz="0" w:space="0" w:color="auto"/>
        <w:bottom w:val="none" w:sz="0" w:space="0" w:color="auto"/>
        <w:right w:val="none" w:sz="0" w:space="0" w:color="auto"/>
      </w:divBdr>
    </w:div>
    <w:div w:id="2046130772">
      <w:bodyDiv w:val="1"/>
      <w:marLeft w:val="0"/>
      <w:marRight w:val="0"/>
      <w:marTop w:val="0"/>
      <w:marBottom w:val="0"/>
      <w:divBdr>
        <w:top w:val="none" w:sz="0" w:space="0" w:color="auto"/>
        <w:left w:val="none" w:sz="0" w:space="0" w:color="auto"/>
        <w:bottom w:val="none" w:sz="0" w:space="0" w:color="auto"/>
        <w:right w:val="none" w:sz="0" w:space="0" w:color="auto"/>
      </w:divBdr>
    </w:div>
    <w:div w:id="2046518583">
      <w:bodyDiv w:val="1"/>
      <w:marLeft w:val="0"/>
      <w:marRight w:val="0"/>
      <w:marTop w:val="0"/>
      <w:marBottom w:val="0"/>
      <w:divBdr>
        <w:top w:val="none" w:sz="0" w:space="0" w:color="auto"/>
        <w:left w:val="none" w:sz="0" w:space="0" w:color="auto"/>
        <w:bottom w:val="none" w:sz="0" w:space="0" w:color="auto"/>
        <w:right w:val="none" w:sz="0" w:space="0" w:color="auto"/>
      </w:divBdr>
    </w:div>
    <w:div w:id="2048918075">
      <w:bodyDiv w:val="1"/>
      <w:marLeft w:val="0"/>
      <w:marRight w:val="0"/>
      <w:marTop w:val="0"/>
      <w:marBottom w:val="0"/>
      <w:divBdr>
        <w:top w:val="none" w:sz="0" w:space="0" w:color="auto"/>
        <w:left w:val="none" w:sz="0" w:space="0" w:color="auto"/>
        <w:bottom w:val="none" w:sz="0" w:space="0" w:color="auto"/>
        <w:right w:val="none" w:sz="0" w:space="0" w:color="auto"/>
      </w:divBdr>
    </w:div>
    <w:div w:id="2049983496">
      <w:bodyDiv w:val="1"/>
      <w:marLeft w:val="0"/>
      <w:marRight w:val="0"/>
      <w:marTop w:val="0"/>
      <w:marBottom w:val="0"/>
      <w:divBdr>
        <w:top w:val="none" w:sz="0" w:space="0" w:color="auto"/>
        <w:left w:val="none" w:sz="0" w:space="0" w:color="auto"/>
        <w:bottom w:val="none" w:sz="0" w:space="0" w:color="auto"/>
        <w:right w:val="none" w:sz="0" w:space="0" w:color="auto"/>
      </w:divBdr>
    </w:div>
    <w:div w:id="2050101539">
      <w:bodyDiv w:val="1"/>
      <w:marLeft w:val="0"/>
      <w:marRight w:val="0"/>
      <w:marTop w:val="0"/>
      <w:marBottom w:val="0"/>
      <w:divBdr>
        <w:top w:val="none" w:sz="0" w:space="0" w:color="auto"/>
        <w:left w:val="none" w:sz="0" w:space="0" w:color="auto"/>
        <w:bottom w:val="none" w:sz="0" w:space="0" w:color="auto"/>
        <w:right w:val="none" w:sz="0" w:space="0" w:color="auto"/>
      </w:divBdr>
    </w:div>
    <w:div w:id="2050907660">
      <w:bodyDiv w:val="1"/>
      <w:marLeft w:val="0"/>
      <w:marRight w:val="0"/>
      <w:marTop w:val="0"/>
      <w:marBottom w:val="0"/>
      <w:divBdr>
        <w:top w:val="none" w:sz="0" w:space="0" w:color="auto"/>
        <w:left w:val="none" w:sz="0" w:space="0" w:color="auto"/>
        <w:bottom w:val="none" w:sz="0" w:space="0" w:color="auto"/>
        <w:right w:val="none" w:sz="0" w:space="0" w:color="auto"/>
      </w:divBdr>
    </w:div>
    <w:div w:id="2052604561">
      <w:bodyDiv w:val="1"/>
      <w:marLeft w:val="0"/>
      <w:marRight w:val="0"/>
      <w:marTop w:val="0"/>
      <w:marBottom w:val="0"/>
      <w:divBdr>
        <w:top w:val="none" w:sz="0" w:space="0" w:color="auto"/>
        <w:left w:val="none" w:sz="0" w:space="0" w:color="auto"/>
        <w:bottom w:val="none" w:sz="0" w:space="0" w:color="auto"/>
        <w:right w:val="none" w:sz="0" w:space="0" w:color="auto"/>
      </w:divBdr>
    </w:div>
    <w:div w:id="2054233136">
      <w:bodyDiv w:val="1"/>
      <w:marLeft w:val="0"/>
      <w:marRight w:val="0"/>
      <w:marTop w:val="0"/>
      <w:marBottom w:val="0"/>
      <w:divBdr>
        <w:top w:val="none" w:sz="0" w:space="0" w:color="auto"/>
        <w:left w:val="none" w:sz="0" w:space="0" w:color="auto"/>
        <w:bottom w:val="none" w:sz="0" w:space="0" w:color="auto"/>
        <w:right w:val="none" w:sz="0" w:space="0" w:color="auto"/>
      </w:divBdr>
    </w:div>
    <w:div w:id="2055694315">
      <w:bodyDiv w:val="1"/>
      <w:marLeft w:val="0"/>
      <w:marRight w:val="0"/>
      <w:marTop w:val="0"/>
      <w:marBottom w:val="0"/>
      <w:divBdr>
        <w:top w:val="none" w:sz="0" w:space="0" w:color="auto"/>
        <w:left w:val="none" w:sz="0" w:space="0" w:color="auto"/>
        <w:bottom w:val="none" w:sz="0" w:space="0" w:color="auto"/>
        <w:right w:val="none" w:sz="0" w:space="0" w:color="auto"/>
      </w:divBdr>
    </w:div>
    <w:div w:id="2057047065">
      <w:bodyDiv w:val="1"/>
      <w:marLeft w:val="0"/>
      <w:marRight w:val="0"/>
      <w:marTop w:val="0"/>
      <w:marBottom w:val="0"/>
      <w:divBdr>
        <w:top w:val="none" w:sz="0" w:space="0" w:color="auto"/>
        <w:left w:val="none" w:sz="0" w:space="0" w:color="auto"/>
        <w:bottom w:val="none" w:sz="0" w:space="0" w:color="auto"/>
        <w:right w:val="none" w:sz="0" w:space="0" w:color="auto"/>
      </w:divBdr>
    </w:div>
    <w:div w:id="2057313289">
      <w:bodyDiv w:val="1"/>
      <w:marLeft w:val="0"/>
      <w:marRight w:val="0"/>
      <w:marTop w:val="0"/>
      <w:marBottom w:val="0"/>
      <w:divBdr>
        <w:top w:val="none" w:sz="0" w:space="0" w:color="auto"/>
        <w:left w:val="none" w:sz="0" w:space="0" w:color="auto"/>
        <w:bottom w:val="none" w:sz="0" w:space="0" w:color="auto"/>
        <w:right w:val="none" w:sz="0" w:space="0" w:color="auto"/>
      </w:divBdr>
    </w:div>
    <w:div w:id="2060785898">
      <w:bodyDiv w:val="1"/>
      <w:marLeft w:val="0"/>
      <w:marRight w:val="0"/>
      <w:marTop w:val="0"/>
      <w:marBottom w:val="0"/>
      <w:divBdr>
        <w:top w:val="none" w:sz="0" w:space="0" w:color="auto"/>
        <w:left w:val="none" w:sz="0" w:space="0" w:color="auto"/>
        <w:bottom w:val="none" w:sz="0" w:space="0" w:color="auto"/>
        <w:right w:val="none" w:sz="0" w:space="0" w:color="auto"/>
      </w:divBdr>
    </w:div>
    <w:div w:id="2060979077">
      <w:bodyDiv w:val="1"/>
      <w:marLeft w:val="0"/>
      <w:marRight w:val="0"/>
      <w:marTop w:val="0"/>
      <w:marBottom w:val="0"/>
      <w:divBdr>
        <w:top w:val="none" w:sz="0" w:space="0" w:color="auto"/>
        <w:left w:val="none" w:sz="0" w:space="0" w:color="auto"/>
        <w:bottom w:val="none" w:sz="0" w:space="0" w:color="auto"/>
        <w:right w:val="none" w:sz="0" w:space="0" w:color="auto"/>
      </w:divBdr>
    </w:div>
    <w:div w:id="2061829275">
      <w:bodyDiv w:val="1"/>
      <w:marLeft w:val="0"/>
      <w:marRight w:val="0"/>
      <w:marTop w:val="0"/>
      <w:marBottom w:val="0"/>
      <w:divBdr>
        <w:top w:val="none" w:sz="0" w:space="0" w:color="auto"/>
        <w:left w:val="none" w:sz="0" w:space="0" w:color="auto"/>
        <w:bottom w:val="none" w:sz="0" w:space="0" w:color="auto"/>
        <w:right w:val="none" w:sz="0" w:space="0" w:color="auto"/>
      </w:divBdr>
    </w:div>
    <w:div w:id="2062050235">
      <w:bodyDiv w:val="1"/>
      <w:marLeft w:val="0"/>
      <w:marRight w:val="0"/>
      <w:marTop w:val="0"/>
      <w:marBottom w:val="0"/>
      <w:divBdr>
        <w:top w:val="none" w:sz="0" w:space="0" w:color="auto"/>
        <w:left w:val="none" w:sz="0" w:space="0" w:color="auto"/>
        <w:bottom w:val="none" w:sz="0" w:space="0" w:color="auto"/>
        <w:right w:val="none" w:sz="0" w:space="0" w:color="auto"/>
      </w:divBdr>
    </w:div>
    <w:div w:id="2062748817">
      <w:bodyDiv w:val="1"/>
      <w:marLeft w:val="0"/>
      <w:marRight w:val="0"/>
      <w:marTop w:val="0"/>
      <w:marBottom w:val="0"/>
      <w:divBdr>
        <w:top w:val="none" w:sz="0" w:space="0" w:color="auto"/>
        <w:left w:val="none" w:sz="0" w:space="0" w:color="auto"/>
        <w:bottom w:val="none" w:sz="0" w:space="0" w:color="auto"/>
        <w:right w:val="none" w:sz="0" w:space="0" w:color="auto"/>
      </w:divBdr>
    </w:div>
    <w:div w:id="2063093436">
      <w:bodyDiv w:val="1"/>
      <w:marLeft w:val="0"/>
      <w:marRight w:val="0"/>
      <w:marTop w:val="0"/>
      <w:marBottom w:val="0"/>
      <w:divBdr>
        <w:top w:val="none" w:sz="0" w:space="0" w:color="auto"/>
        <w:left w:val="none" w:sz="0" w:space="0" w:color="auto"/>
        <w:bottom w:val="none" w:sz="0" w:space="0" w:color="auto"/>
        <w:right w:val="none" w:sz="0" w:space="0" w:color="auto"/>
      </w:divBdr>
    </w:div>
    <w:div w:id="2063282173">
      <w:bodyDiv w:val="1"/>
      <w:marLeft w:val="0"/>
      <w:marRight w:val="0"/>
      <w:marTop w:val="0"/>
      <w:marBottom w:val="0"/>
      <w:divBdr>
        <w:top w:val="none" w:sz="0" w:space="0" w:color="auto"/>
        <w:left w:val="none" w:sz="0" w:space="0" w:color="auto"/>
        <w:bottom w:val="none" w:sz="0" w:space="0" w:color="auto"/>
        <w:right w:val="none" w:sz="0" w:space="0" w:color="auto"/>
      </w:divBdr>
    </w:div>
    <w:div w:id="2064062942">
      <w:bodyDiv w:val="1"/>
      <w:marLeft w:val="0"/>
      <w:marRight w:val="0"/>
      <w:marTop w:val="0"/>
      <w:marBottom w:val="0"/>
      <w:divBdr>
        <w:top w:val="none" w:sz="0" w:space="0" w:color="auto"/>
        <w:left w:val="none" w:sz="0" w:space="0" w:color="auto"/>
        <w:bottom w:val="none" w:sz="0" w:space="0" w:color="auto"/>
        <w:right w:val="none" w:sz="0" w:space="0" w:color="auto"/>
      </w:divBdr>
    </w:div>
    <w:div w:id="2066491454">
      <w:bodyDiv w:val="1"/>
      <w:marLeft w:val="0"/>
      <w:marRight w:val="0"/>
      <w:marTop w:val="0"/>
      <w:marBottom w:val="0"/>
      <w:divBdr>
        <w:top w:val="none" w:sz="0" w:space="0" w:color="auto"/>
        <w:left w:val="none" w:sz="0" w:space="0" w:color="auto"/>
        <w:bottom w:val="none" w:sz="0" w:space="0" w:color="auto"/>
        <w:right w:val="none" w:sz="0" w:space="0" w:color="auto"/>
      </w:divBdr>
    </w:div>
    <w:div w:id="2066831589">
      <w:bodyDiv w:val="1"/>
      <w:marLeft w:val="0"/>
      <w:marRight w:val="0"/>
      <w:marTop w:val="0"/>
      <w:marBottom w:val="0"/>
      <w:divBdr>
        <w:top w:val="none" w:sz="0" w:space="0" w:color="auto"/>
        <w:left w:val="none" w:sz="0" w:space="0" w:color="auto"/>
        <w:bottom w:val="none" w:sz="0" w:space="0" w:color="auto"/>
        <w:right w:val="none" w:sz="0" w:space="0" w:color="auto"/>
      </w:divBdr>
    </w:div>
    <w:div w:id="2069182500">
      <w:bodyDiv w:val="1"/>
      <w:marLeft w:val="0"/>
      <w:marRight w:val="0"/>
      <w:marTop w:val="0"/>
      <w:marBottom w:val="0"/>
      <w:divBdr>
        <w:top w:val="none" w:sz="0" w:space="0" w:color="auto"/>
        <w:left w:val="none" w:sz="0" w:space="0" w:color="auto"/>
        <w:bottom w:val="none" w:sz="0" w:space="0" w:color="auto"/>
        <w:right w:val="none" w:sz="0" w:space="0" w:color="auto"/>
      </w:divBdr>
    </w:div>
    <w:div w:id="2069918862">
      <w:bodyDiv w:val="1"/>
      <w:marLeft w:val="0"/>
      <w:marRight w:val="0"/>
      <w:marTop w:val="0"/>
      <w:marBottom w:val="0"/>
      <w:divBdr>
        <w:top w:val="none" w:sz="0" w:space="0" w:color="auto"/>
        <w:left w:val="none" w:sz="0" w:space="0" w:color="auto"/>
        <w:bottom w:val="none" w:sz="0" w:space="0" w:color="auto"/>
        <w:right w:val="none" w:sz="0" w:space="0" w:color="auto"/>
      </w:divBdr>
    </w:div>
    <w:div w:id="2071075056">
      <w:bodyDiv w:val="1"/>
      <w:marLeft w:val="0"/>
      <w:marRight w:val="0"/>
      <w:marTop w:val="0"/>
      <w:marBottom w:val="0"/>
      <w:divBdr>
        <w:top w:val="none" w:sz="0" w:space="0" w:color="auto"/>
        <w:left w:val="none" w:sz="0" w:space="0" w:color="auto"/>
        <w:bottom w:val="none" w:sz="0" w:space="0" w:color="auto"/>
        <w:right w:val="none" w:sz="0" w:space="0" w:color="auto"/>
      </w:divBdr>
    </w:div>
    <w:div w:id="2071879588">
      <w:bodyDiv w:val="1"/>
      <w:marLeft w:val="0"/>
      <w:marRight w:val="0"/>
      <w:marTop w:val="0"/>
      <w:marBottom w:val="0"/>
      <w:divBdr>
        <w:top w:val="none" w:sz="0" w:space="0" w:color="auto"/>
        <w:left w:val="none" w:sz="0" w:space="0" w:color="auto"/>
        <w:bottom w:val="none" w:sz="0" w:space="0" w:color="auto"/>
        <w:right w:val="none" w:sz="0" w:space="0" w:color="auto"/>
      </w:divBdr>
    </w:div>
    <w:div w:id="2071881415">
      <w:bodyDiv w:val="1"/>
      <w:marLeft w:val="0"/>
      <w:marRight w:val="0"/>
      <w:marTop w:val="0"/>
      <w:marBottom w:val="0"/>
      <w:divBdr>
        <w:top w:val="none" w:sz="0" w:space="0" w:color="auto"/>
        <w:left w:val="none" w:sz="0" w:space="0" w:color="auto"/>
        <w:bottom w:val="none" w:sz="0" w:space="0" w:color="auto"/>
        <w:right w:val="none" w:sz="0" w:space="0" w:color="auto"/>
      </w:divBdr>
    </w:div>
    <w:div w:id="2075856973">
      <w:bodyDiv w:val="1"/>
      <w:marLeft w:val="0"/>
      <w:marRight w:val="0"/>
      <w:marTop w:val="0"/>
      <w:marBottom w:val="0"/>
      <w:divBdr>
        <w:top w:val="none" w:sz="0" w:space="0" w:color="auto"/>
        <w:left w:val="none" w:sz="0" w:space="0" w:color="auto"/>
        <w:bottom w:val="none" w:sz="0" w:space="0" w:color="auto"/>
        <w:right w:val="none" w:sz="0" w:space="0" w:color="auto"/>
      </w:divBdr>
    </w:div>
    <w:div w:id="2078166786">
      <w:bodyDiv w:val="1"/>
      <w:marLeft w:val="0"/>
      <w:marRight w:val="0"/>
      <w:marTop w:val="0"/>
      <w:marBottom w:val="0"/>
      <w:divBdr>
        <w:top w:val="none" w:sz="0" w:space="0" w:color="auto"/>
        <w:left w:val="none" w:sz="0" w:space="0" w:color="auto"/>
        <w:bottom w:val="none" w:sz="0" w:space="0" w:color="auto"/>
        <w:right w:val="none" w:sz="0" w:space="0" w:color="auto"/>
      </w:divBdr>
    </w:div>
    <w:div w:id="2079015114">
      <w:bodyDiv w:val="1"/>
      <w:marLeft w:val="0"/>
      <w:marRight w:val="0"/>
      <w:marTop w:val="0"/>
      <w:marBottom w:val="0"/>
      <w:divBdr>
        <w:top w:val="none" w:sz="0" w:space="0" w:color="auto"/>
        <w:left w:val="none" w:sz="0" w:space="0" w:color="auto"/>
        <w:bottom w:val="none" w:sz="0" w:space="0" w:color="auto"/>
        <w:right w:val="none" w:sz="0" w:space="0" w:color="auto"/>
      </w:divBdr>
    </w:div>
    <w:div w:id="2079352812">
      <w:bodyDiv w:val="1"/>
      <w:marLeft w:val="0"/>
      <w:marRight w:val="0"/>
      <w:marTop w:val="0"/>
      <w:marBottom w:val="0"/>
      <w:divBdr>
        <w:top w:val="none" w:sz="0" w:space="0" w:color="auto"/>
        <w:left w:val="none" w:sz="0" w:space="0" w:color="auto"/>
        <w:bottom w:val="none" w:sz="0" w:space="0" w:color="auto"/>
        <w:right w:val="none" w:sz="0" w:space="0" w:color="auto"/>
      </w:divBdr>
    </w:div>
    <w:div w:id="2079866192">
      <w:bodyDiv w:val="1"/>
      <w:marLeft w:val="0"/>
      <w:marRight w:val="0"/>
      <w:marTop w:val="0"/>
      <w:marBottom w:val="0"/>
      <w:divBdr>
        <w:top w:val="none" w:sz="0" w:space="0" w:color="auto"/>
        <w:left w:val="none" w:sz="0" w:space="0" w:color="auto"/>
        <w:bottom w:val="none" w:sz="0" w:space="0" w:color="auto"/>
        <w:right w:val="none" w:sz="0" w:space="0" w:color="auto"/>
      </w:divBdr>
    </w:div>
    <w:div w:id="2079932712">
      <w:bodyDiv w:val="1"/>
      <w:marLeft w:val="0"/>
      <w:marRight w:val="0"/>
      <w:marTop w:val="0"/>
      <w:marBottom w:val="0"/>
      <w:divBdr>
        <w:top w:val="none" w:sz="0" w:space="0" w:color="auto"/>
        <w:left w:val="none" w:sz="0" w:space="0" w:color="auto"/>
        <w:bottom w:val="none" w:sz="0" w:space="0" w:color="auto"/>
        <w:right w:val="none" w:sz="0" w:space="0" w:color="auto"/>
      </w:divBdr>
    </w:div>
    <w:div w:id="2080252833">
      <w:bodyDiv w:val="1"/>
      <w:marLeft w:val="0"/>
      <w:marRight w:val="0"/>
      <w:marTop w:val="0"/>
      <w:marBottom w:val="0"/>
      <w:divBdr>
        <w:top w:val="none" w:sz="0" w:space="0" w:color="auto"/>
        <w:left w:val="none" w:sz="0" w:space="0" w:color="auto"/>
        <w:bottom w:val="none" w:sz="0" w:space="0" w:color="auto"/>
        <w:right w:val="none" w:sz="0" w:space="0" w:color="auto"/>
      </w:divBdr>
    </w:div>
    <w:div w:id="2082411977">
      <w:bodyDiv w:val="1"/>
      <w:marLeft w:val="0"/>
      <w:marRight w:val="0"/>
      <w:marTop w:val="0"/>
      <w:marBottom w:val="0"/>
      <w:divBdr>
        <w:top w:val="none" w:sz="0" w:space="0" w:color="auto"/>
        <w:left w:val="none" w:sz="0" w:space="0" w:color="auto"/>
        <w:bottom w:val="none" w:sz="0" w:space="0" w:color="auto"/>
        <w:right w:val="none" w:sz="0" w:space="0" w:color="auto"/>
      </w:divBdr>
    </w:div>
    <w:div w:id="2083523838">
      <w:bodyDiv w:val="1"/>
      <w:marLeft w:val="0"/>
      <w:marRight w:val="0"/>
      <w:marTop w:val="0"/>
      <w:marBottom w:val="0"/>
      <w:divBdr>
        <w:top w:val="none" w:sz="0" w:space="0" w:color="auto"/>
        <w:left w:val="none" w:sz="0" w:space="0" w:color="auto"/>
        <w:bottom w:val="none" w:sz="0" w:space="0" w:color="auto"/>
        <w:right w:val="none" w:sz="0" w:space="0" w:color="auto"/>
      </w:divBdr>
    </w:div>
    <w:div w:id="2083674640">
      <w:bodyDiv w:val="1"/>
      <w:marLeft w:val="0"/>
      <w:marRight w:val="0"/>
      <w:marTop w:val="0"/>
      <w:marBottom w:val="0"/>
      <w:divBdr>
        <w:top w:val="none" w:sz="0" w:space="0" w:color="auto"/>
        <w:left w:val="none" w:sz="0" w:space="0" w:color="auto"/>
        <w:bottom w:val="none" w:sz="0" w:space="0" w:color="auto"/>
        <w:right w:val="none" w:sz="0" w:space="0" w:color="auto"/>
      </w:divBdr>
    </w:div>
    <w:div w:id="2084373383">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443384">
      <w:bodyDiv w:val="1"/>
      <w:marLeft w:val="0"/>
      <w:marRight w:val="0"/>
      <w:marTop w:val="0"/>
      <w:marBottom w:val="0"/>
      <w:divBdr>
        <w:top w:val="none" w:sz="0" w:space="0" w:color="auto"/>
        <w:left w:val="none" w:sz="0" w:space="0" w:color="auto"/>
        <w:bottom w:val="none" w:sz="0" w:space="0" w:color="auto"/>
        <w:right w:val="none" w:sz="0" w:space="0" w:color="auto"/>
      </w:divBdr>
    </w:div>
    <w:div w:id="2087418443">
      <w:bodyDiv w:val="1"/>
      <w:marLeft w:val="0"/>
      <w:marRight w:val="0"/>
      <w:marTop w:val="0"/>
      <w:marBottom w:val="0"/>
      <w:divBdr>
        <w:top w:val="none" w:sz="0" w:space="0" w:color="auto"/>
        <w:left w:val="none" w:sz="0" w:space="0" w:color="auto"/>
        <w:bottom w:val="none" w:sz="0" w:space="0" w:color="auto"/>
        <w:right w:val="none" w:sz="0" w:space="0" w:color="auto"/>
      </w:divBdr>
    </w:div>
    <w:div w:id="2087800695">
      <w:bodyDiv w:val="1"/>
      <w:marLeft w:val="0"/>
      <w:marRight w:val="0"/>
      <w:marTop w:val="0"/>
      <w:marBottom w:val="0"/>
      <w:divBdr>
        <w:top w:val="none" w:sz="0" w:space="0" w:color="auto"/>
        <w:left w:val="none" w:sz="0" w:space="0" w:color="auto"/>
        <w:bottom w:val="none" w:sz="0" w:space="0" w:color="auto"/>
        <w:right w:val="none" w:sz="0" w:space="0" w:color="auto"/>
      </w:divBdr>
    </w:div>
    <w:div w:id="2087991073">
      <w:bodyDiv w:val="1"/>
      <w:marLeft w:val="0"/>
      <w:marRight w:val="0"/>
      <w:marTop w:val="0"/>
      <w:marBottom w:val="0"/>
      <w:divBdr>
        <w:top w:val="none" w:sz="0" w:space="0" w:color="auto"/>
        <w:left w:val="none" w:sz="0" w:space="0" w:color="auto"/>
        <w:bottom w:val="none" w:sz="0" w:space="0" w:color="auto"/>
        <w:right w:val="none" w:sz="0" w:space="0" w:color="auto"/>
      </w:divBdr>
    </w:div>
    <w:div w:id="2090884245">
      <w:bodyDiv w:val="1"/>
      <w:marLeft w:val="0"/>
      <w:marRight w:val="0"/>
      <w:marTop w:val="0"/>
      <w:marBottom w:val="0"/>
      <w:divBdr>
        <w:top w:val="none" w:sz="0" w:space="0" w:color="auto"/>
        <w:left w:val="none" w:sz="0" w:space="0" w:color="auto"/>
        <w:bottom w:val="none" w:sz="0" w:space="0" w:color="auto"/>
        <w:right w:val="none" w:sz="0" w:space="0" w:color="auto"/>
      </w:divBdr>
    </w:div>
    <w:div w:id="2091806802">
      <w:bodyDiv w:val="1"/>
      <w:marLeft w:val="0"/>
      <w:marRight w:val="0"/>
      <w:marTop w:val="0"/>
      <w:marBottom w:val="0"/>
      <w:divBdr>
        <w:top w:val="none" w:sz="0" w:space="0" w:color="auto"/>
        <w:left w:val="none" w:sz="0" w:space="0" w:color="auto"/>
        <w:bottom w:val="none" w:sz="0" w:space="0" w:color="auto"/>
        <w:right w:val="none" w:sz="0" w:space="0" w:color="auto"/>
      </w:divBdr>
    </w:div>
    <w:div w:id="2094424127">
      <w:bodyDiv w:val="1"/>
      <w:marLeft w:val="0"/>
      <w:marRight w:val="0"/>
      <w:marTop w:val="0"/>
      <w:marBottom w:val="0"/>
      <w:divBdr>
        <w:top w:val="none" w:sz="0" w:space="0" w:color="auto"/>
        <w:left w:val="none" w:sz="0" w:space="0" w:color="auto"/>
        <w:bottom w:val="none" w:sz="0" w:space="0" w:color="auto"/>
        <w:right w:val="none" w:sz="0" w:space="0" w:color="auto"/>
      </w:divBdr>
    </w:div>
    <w:div w:id="2095544567">
      <w:bodyDiv w:val="1"/>
      <w:marLeft w:val="0"/>
      <w:marRight w:val="0"/>
      <w:marTop w:val="0"/>
      <w:marBottom w:val="0"/>
      <w:divBdr>
        <w:top w:val="none" w:sz="0" w:space="0" w:color="auto"/>
        <w:left w:val="none" w:sz="0" w:space="0" w:color="auto"/>
        <w:bottom w:val="none" w:sz="0" w:space="0" w:color="auto"/>
        <w:right w:val="none" w:sz="0" w:space="0" w:color="auto"/>
      </w:divBdr>
    </w:div>
    <w:div w:id="2097047340">
      <w:bodyDiv w:val="1"/>
      <w:marLeft w:val="0"/>
      <w:marRight w:val="0"/>
      <w:marTop w:val="0"/>
      <w:marBottom w:val="0"/>
      <w:divBdr>
        <w:top w:val="none" w:sz="0" w:space="0" w:color="auto"/>
        <w:left w:val="none" w:sz="0" w:space="0" w:color="auto"/>
        <w:bottom w:val="none" w:sz="0" w:space="0" w:color="auto"/>
        <w:right w:val="none" w:sz="0" w:space="0" w:color="auto"/>
      </w:divBdr>
    </w:div>
    <w:div w:id="2097631867">
      <w:bodyDiv w:val="1"/>
      <w:marLeft w:val="0"/>
      <w:marRight w:val="0"/>
      <w:marTop w:val="0"/>
      <w:marBottom w:val="0"/>
      <w:divBdr>
        <w:top w:val="none" w:sz="0" w:space="0" w:color="auto"/>
        <w:left w:val="none" w:sz="0" w:space="0" w:color="auto"/>
        <w:bottom w:val="none" w:sz="0" w:space="0" w:color="auto"/>
        <w:right w:val="none" w:sz="0" w:space="0" w:color="auto"/>
      </w:divBdr>
    </w:div>
    <w:div w:id="2097899934">
      <w:bodyDiv w:val="1"/>
      <w:marLeft w:val="0"/>
      <w:marRight w:val="0"/>
      <w:marTop w:val="0"/>
      <w:marBottom w:val="0"/>
      <w:divBdr>
        <w:top w:val="none" w:sz="0" w:space="0" w:color="auto"/>
        <w:left w:val="none" w:sz="0" w:space="0" w:color="auto"/>
        <w:bottom w:val="none" w:sz="0" w:space="0" w:color="auto"/>
        <w:right w:val="none" w:sz="0" w:space="0" w:color="auto"/>
      </w:divBdr>
    </w:div>
    <w:div w:id="2098137927">
      <w:bodyDiv w:val="1"/>
      <w:marLeft w:val="0"/>
      <w:marRight w:val="0"/>
      <w:marTop w:val="0"/>
      <w:marBottom w:val="0"/>
      <w:divBdr>
        <w:top w:val="none" w:sz="0" w:space="0" w:color="auto"/>
        <w:left w:val="none" w:sz="0" w:space="0" w:color="auto"/>
        <w:bottom w:val="none" w:sz="0" w:space="0" w:color="auto"/>
        <w:right w:val="none" w:sz="0" w:space="0" w:color="auto"/>
      </w:divBdr>
    </w:div>
    <w:div w:id="2100827268">
      <w:bodyDiv w:val="1"/>
      <w:marLeft w:val="0"/>
      <w:marRight w:val="0"/>
      <w:marTop w:val="0"/>
      <w:marBottom w:val="0"/>
      <w:divBdr>
        <w:top w:val="none" w:sz="0" w:space="0" w:color="auto"/>
        <w:left w:val="none" w:sz="0" w:space="0" w:color="auto"/>
        <w:bottom w:val="none" w:sz="0" w:space="0" w:color="auto"/>
        <w:right w:val="none" w:sz="0" w:space="0" w:color="auto"/>
      </w:divBdr>
    </w:div>
    <w:div w:id="2101490122">
      <w:bodyDiv w:val="1"/>
      <w:marLeft w:val="0"/>
      <w:marRight w:val="0"/>
      <w:marTop w:val="0"/>
      <w:marBottom w:val="0"/>
      <w:divBdr>
        <w:top w:val="none" w:sz="0" w:space="0" w:color="auto"/>
        <w:left w:val="none" w:sz="0" w:space="0" w:color="auto"/>
        <w:bottom w:val="none" w:sz="0" w:space="0" w:color="auto"/>
        <w:right w:val="none" w:sz="0" w:space="0" w:color="auto"/>
      </w:divBdr>
    </w:div>
    <w:div w:id="2101676868">
      <w:bodyDiv w:val="1"/>
      <w:marLeft w:val="0"/>
      <w:marRight w:val="0"/>
      <w:marTop w:val="0"/>
      <w:marBottom w:val="0"/>
      <w:divBdr>
        <w:top w:val="none" w:sz="0" w:space="0" w:color="auto"/>
        <w:left w:val="none" w:sz="0" w:space="0" w:color="auto"/>
        <w:bottom w:val="none" w:sz="0" w:space="0" w:color="auto"/>
        <w:right w:val="none" w:sz="0" w:space="0" w:color="auto"/>
      </w:divBdr>
    </w:div>
    <w:div w:id="2102679672">
      <w:bodyDiv w:val="1"/>
      <w:marLeft w:val="0"/>
      <w:marRight w:val="0"/>
      <w:marTop w:val="0"/>
      <w:marBottom w:val="0"/>
      <w:divBdr>
        <w:top w:val="none" w:sz="0" w:space="0" w:color="auto"/>
        <w:left w:val="none" w:sz="0" w:space="0" w:color="auto"/>
        <w:bottom w:val="none" w:sz="0" w:space="0" w:color="auto"/>
        <w:right w:val="none" w:sz="0" w:space="0" w:color="auto"/>
      </w:divBdr>
    </w:div>
    <w:div w:id="2104835701">
      <w:bodyDiv w:val="1"/>
      <w:marLeft w:val="0"/>
      <w:marRight w:val="0"/>
      <w:marTop w:val="0"/>
      <w:marBottom w:val="0"/>
      <w:divBdr>
        <w:top w:val="none" w:sz="0" w:space="0" w:color="auto"/>
        <w:left w:val="none" w:sz="0" w:space="0" w:color="auto"/>
        <w:bottom w:val="none" w:sz="0" w:space="0" w:color="auto"/>
        <w:right w:val="none" w:sz="0" w:space="0" w:color="auto"/>
      </w:divBdr>
    </w:div>
    <w:div w:id="2105949884">
      <w:bodyDiv w:val="1"/>
      <w:marLeft w:val="0"/>
      <w:marRight w:val="0"/>
      <w:marTop w:val="0"/>
      <w:marBottom w:val="0"/>
      <w:divBdr>
        <w:top w:val="none" w:sz="0" w:space="0" w:color="auto"/>
        <w:left w:val="none" w:sz="0" w:space="0" w:color="auto"/>
        <w:bottom w:val="none" w:sz="0" w:space="0" w:color="auto"/>
        <w:right w:val="none" w:sz="0" w:space="0" w:color="auto"/>
      </w:divBdr>
    </w:div>
    <w:div w:id="2106538753">
      <w:bodyDiv w:val="1"/>
      <w:marLeft w:val="0"/>
      <w:marRight w:val="0"/>
      <w:marTop w:val="0"/>
      <w:marBottom w:val="0"/>
      <w:divBdr>
        <w:top w:val="none" w:sz="0" w:space="0" w:color="auto"/>
        <w:left w:val="none" w:sz="0" w:space="0" w:color="auto"/>
        <w:bottom w:val="none" w:sz="0" w:space="0" w:color="auto"/>
        <w:right w:val="none" w:sz="0" w:space="0" w:color="auto"/>
      </w:divBdr>
    </w:div>
    <w:div w:id="2109229040">
      <w:bodyDiv w:val="1"/>
      <w:marLeft w:val="0"/>
      <w:marRight w:val="0"/>
      <w:marTop w:val="0"/>
      <w:marBottom w:val="0"/>
      <w:divBdr>
        <w:top w:val="none" w:sz="0" w:space="0" w:color="auto"/>
        <w:left w:val="none" w:sz="0" w:space="0" w:color="auto"/>
        <w:bottom w:val="none" w:sz="0" w:space="0" w:color="auto"/>
        <w:right w:val="none" w:sz="0" w:space="0" w:color="auto"/>
      </w:divBdr>
    </w:div>
    <w:div w:id="2111195782">
      <w:bodyDiv w:val="1"/>
      <w:marLeft w:val="0"/>
      <w:marRight w:val="0"/>
      <w:marTop w:val="0"/>
      <w:marBottom w:val="0"/>
      <w:divBdr>
        <w:top w:val="none" w:sz="0" w:space="0" w:color="auto"/>
        <w:left w:val="none" w:sz="0" w:space="0" w:color="auto"/>
        <w:bottom w:val="none" w:sz="0" w:space="0" w:color="auto"/>
        <w:right w:val="none" w:sz="0" w:space="0" w:color="auto"/>
      </w:divBdr>
    </w:div>
    <w:div w:id="2111974357">
      <w:bodyDiv w:val="1"/>
      <w:marLeft w:val="0"/>
      <w:marRight w:val="0"/>
      <w:marTop w:val="0"/>
      <w:marBottom w:val="0"/>
      <w:divBdr>
        <w:top w:val="none" w:sz="0" w:space="0" w:color="auto"/>
        <w:left w:val="none" w:sz="0" w:space="0" w:color="auto"/>
        <w:bottom w:val="none" w:sz="0" w:space="0" w:color="auto"/>
        <w:right w:val="none" w:sz="0" w:space="0" w:color="auto"/>
      </w:divBdr>
    </w:div>
    <w:div w:id="2113209360">
      <w:bodyDiv w:val="1"/>
      <w:marLeft w:val="0"/>
      <w:marRight w:val="0"/>
      <w:marTop w:val="0"/>
      <w:marBottom w:val="0"/>
      <w:divBdr>
        <w:top w:val="none" w:sz="0" w:space="0" w:color="auto"/>
        <w:left w:val="none" w:sz="0" w:space="0" w:color="auto"/>
        <w:bottom w:val="none" w:sz="0" w:space="0" w:color="auto"/>
        <w:right w:val="none" w:sz="0" w:space="0" w:color="auto"/>
      </w:divBdr>
    </w:div>
    <w:div w:id="2114322780">
      <w:bodyDiv w:val="1"/>
      <w:marLeft w:val="0"/>
      <w:marRight w:val="0"/>
      <w:marTop w:val="0"/>
      <w:marBottom w:val="0"/>
      <w:divBdr>
        <w:top w:val="none" w:sz="0" w:space="0" w:color="auto"/>
        <w:left w:val="none" w:sz="0" w:space="0" w:color="auto"/>
        <w:bottom w:val="none" w:sz="0" w:space="0" w:color="auto"/>
        <w:right w:val="none" w:sz="0" w:space="0" w:color="auto"/>
      </w:divBdr>
    </w:div>
    <w:div w:id="2115048341">
      <w:bodyDiv w:val="1"/>
      <w:marLeft w:val="0"/>
      <w:marRight w:val="0"/>
      <w:marTop w:val="0"/>
      <w:marBottom w:val="0"/>
      <w:divBdr>
        <w:top w:val="none" w:sz="0" w:space="0" w:color="auto"/>
        <w:left w:val="none" w:sz="0" w:space="0" w:color="auto"/>
        <w:bottom w:val="none" w:sz="0" w:space="0" w:color="auto"/>
        <w:right w:val="none" w:sz="0" w:space="0" w:color="auto"/>
      </w:divBdr>
    </w:div>
    <w:div w:id="2117358550">
      <w:bodyDiv w:val="1"/>
      <w:marLeft w:val="0"/>
      <w:marRight w:val="0"/>
      <w:marTop w:val="0"/>
      <w:marBottom w:val="0"/>
      <w:divBdr>
        <w:top w:val="none" w:sz="0" w:space="0" w:color="auto"/>
        <w:left w:val="none" w:sz="0" w:space="0" w:color="auto"/>
        <w:bottom w:val="none" w:sz="0" w:space="0" w:color="auto"/>
        <w:right w:val="none" w:sz="0" w:space="0" w:color="auto"/>
      </w:divBdr>
    </w:div>
    <w:div w:id="2118208015">
      <w:bodyDiv w:val="1"/>
      <w:marLeft w:val="0"/>
      <w:marRight w:val="0"/>
      <w:marTop w:val="0"/>
      <w:marBottom w:val="0"/>
      <w:divBdr>
        <w:top w:val="none" w:sz="0" w:space="0" w:color="auto"/>
        <w:left w:val="none" w:sz="0" w:space="0" w:color="auto"/>
        <w:bottom w:val="none" w:sz="0" w:space="0" w:color="auto"/>
        <w:right w:val="none" w:sz="0" w:space="0" w:color="auto"/>
      </w:divBdr>
    </w:div>
    <w:div w:id="2119326678">
      <w:bodyDiv w:val="1"/>
      <w:marLeft w:val="0"/>
      <w:marRight w:val="0"/>
      <w:marTop w:val="0"/>
      <w:marBottom w:val="0"/>
      <w:divBdr>
        <w:top w:val="none" w:sz="0" w:space="0" w:color="auto"/>
        <w:left w:val="none" w:sz="0" w:space="0" w:color="auto"/>
        <w:bottom w:val="none" w:sz="0" w:space="0" w:color="auto"/>
        <w:right w:val="none" w:sz="0" w:space="0" w:color="auto"/>
      </w:divBdr>
    </w:div>
    <w:div w:id="2119372522">
      <w:bodyDiv w:val="1"/>
      <w:marLeft w:val="0"/>
      <w:marRight w:val="0"/>
      <w:marTop w:val="0"/>
      <w:marBottom w:val="0"/>
      <w:divBdr>
        <w:top w:val="none" w:sz="0" w:space="0" w:color="auto"/>
        <w:left w:val="none" w:sz="0" w:space="0" w:color="auto"/>
        <w:bottom w:val="none" w:sz="0" w:space="0" w:color="auto"/>
        <w:right w:val="none" w:sz="0" w:space="0" w:color="auto"/>
      </w:divBdr>
    </w:div>
    <w:div w:id="2120904088">
      <w:bodyDiv w:val="1"/>
      <w:marLeft w:val="0"/>
      <w:marRight w:val="0"/>
      <w:marTop w:val="0"/>
      <w:marBottom w:val="0"/>
      <w:divBdr>
        <w:top w:val="none" w:sz="0" w:space="0" w:color="auto"/>
        <w:left w:val="none" w:sz="0" w:space="0" w:color="auto"/>
        <w:bottom w:val="none" w:sz="0" w:space="0" w:color="auto"/>
        <w:right w:val="none" w:sz="0" w:space="0" w:color="auto"/>
      </w:divBdr>
    </w:div>
    <w:div w:id="2121531644">
      <w:bodyDiv w:val="1"/>
      <w:marLeft w:val="0"/>
      <w:marRight w:val="0"/>
      <w:marTop w:val="0"/>
      <w:marBottom w:val="0"/>
      <w:divBdr>
        <w:top w:val="none" w:sz="0" w:space="0" w:color="auto"/>
        <w:left w:val="none" w:sz="0" w:space="0" w:color="auto"/>
        <w:bottom w:val="none" w:sz="0" w:space="0" w:color="auto"/>
        <w:right w:val="none" w:sz="0" w:space="0" w:color="auto"/>
      </w:divBdr>
    </w:div>
    <w:div w:id="2121794846">
      <w:bodyDiv w:val="1"/>
      <w:marLeft w:val="0"/>
      <w:marRight w:val="0"/>
      <w:marTop w:val="0"/>
      <w:marBottom w:val="0"/>
      <w:divBdr>
        <w:top w:val="none" w:sz="0" w:space="0" w:color="auto"/>
        <w:left w:val="none" w:sz="0" w:space="0" w:color="auto"/>
        <w:bottom w:val="none" w:sz="0" w:space="0" w:color="auto"/>
        <w:right w:val="none" w:sz="0" w:space="0" w:color="auto"/>
      </w:divBdr>
    </w:div>
    <w:div w:id="2123264723">
      <w:bodyDiv w:val="1"/>
      <w:marLeft w:val="0"/>
      <w:marRight w:val="0"/>
      <w:marTop w:val="0"/>
      <w:marBottom w:val="0"/>
      <w:divBdr>
        <w:top w:val="none" w:sz="0" w:space="0" w:color="auto"/>
        <w:left w:val="none" w:sz="0" w:space="0" w:color="auto"/>
        <w:bottom w:val="none" w:sz="0" w:space="0" w:color="auto"/>
        <w:right w:val="none" w:sz="0" w:space="0" w:color="auto"/>
      </w:divBdr>
    </w:div>
    <w:div w:id="2123458248">
      <w:bodyDiv w:val="1"/>
      <w:marLeft w:val="0"/>
      <w:marRight w:val="0"/>
      <w:marTop w:val="0"/>
      <w:marBottom w:val="0"/>
      <w:divBdr>
        <w:top w:val="none" w:sz="0" w:space="0" w:color="auto"/>
        <w:left w:val="none" w:sz="0" w:space="0" w:color="auto"/>
        <w:bottom w:val="none" w:sz="0" w:space="0" w:color="auto"/>
        <w:right w:val="none" w:sz="0" w:space="0" w:color="auto"/>
      </w:divBdr>
    </w:div>
    <w:div w:id="2123724728">
      <w:bodyDiv w:val="1"/>
      <w:marLeft w:val="0"/>
      <w:marRight w:val="0"/>
      <w:marTop w:val="0"/>
      <w:marBottom w:val="0"/>
      <w:divBdr>
        <w:top w:val="none" w:sz="0" w:space="0" w:color="auto"/>
        <w:left w:val="none" w:sz="0" w:space="0" w:color="auto"/>
        <w:bottom w:val="none" w:sz="0" w:space="0" w:color="auto"/>
        <w:right w:val="none" w:sz="0" w:space="0" w:color="auto"/>
      </w:divBdr>
    </w:div>
    <w:div w:id="2126146220">
      <w:bodyDiv w:val="1"/>
      <w:marLeft w:val="0"/>
      <w:marRight w:val="0"/>
      <w:marTop w:val="0"/>
      <w:marBottom w:val="0"/>
      <w:divBdr>
        <w:top w:val="none" w:sz="0" w:space="0" w:color="auto"/>
        <w:left w:val="none" w:sz="0" w:space="0" w:color="auto"/>
        <w:bottom w:val="none" w:sz="0" w:space="0" w:color="auto"/>
        <w:right w:val="none" w:sz="0" w:space="0" w:color="auto"/>
      </w:divBdr>
    </w:div>
    <w:div w:id="2127042128">
      <w:bodyDiv w:val="1"/>
      <w:marLeft w:val="0"/>
      <w:marRight w:val="0"/>
      <w:marTop w:val="0"/>
      <w:marBottom w:val="0"/>
      <w:divBdr>
        <w:top w:val="none" w:sz="0" w:space="0" w:color="auto"/>
        <w:left w:val="none" w:sz="0" w:space="0" w:color="auto"/>
        <w:bottom w:val="none" w:sz="0" w:space="0" w:color="auto"/>
        <w:right w:val="none" w:sz="0" w:space="0" w:color="auto"/>
      </w:divBdr>
    </w:div>
    <w:div w:id="2128347980">
      <w:bodyDiv w:val="1"/>
      <w:marLeft w:val="0"/>
      <w:marRight w:val="0"/>
      <w:marTop w:val="0"/>
      <w:marBottom w:val="0"/>
      <w:divBdr>
        <w:top w:val="none" w:sz="0" w:space="0" w:color="auto"/>
        <w:left w:val="none" w:sz="0" w:space="0" w:color="auto"/>
        <w:bottom w:val="none" w:sz="0" w:space="0" w:color="auto"/>
        <w:right w:val="none" w:sz="0" w:space="0" w:color="auto"/>
      </w:divBdr>
    </w:div>
    <w:div w:id="2128885769">
      <w:bodyDiv w:val="1"/>
      <w:marLeft w:val="0"/>
      <w:marRight w:val="0"/>
      <w:marTop w:val="0"/>
      <w:marBottom w:val="0"/>
      <w:divBdr>
        <w:top w:val="none" w:sz="0" w:space="0" w:color="auto"/>
        <w:left w:val="none" w:sz="0" w:space="0" w:color="auto"/>
        <w:bottom w:val="none" w:sz="0" w:space="0" w:color="auto"/>
        <w:right w:val="none" w:sz="0" w:space="0" w:color="auto"/>
      </w:divBdr>
    </w:div>
    <w:div w:id="2129548932">
      <w:bodyDiv w:val="1"/>
      <w:marLeft w:val="0"/>
      <w:marRight w:val="0"/>
      <w:marTop w:val="0"/>
      <w:marBottom w:val="0"/>
      <w:divBdr>
        <w:top w:val="none" w:sz="0" w:space="0" w:color="auto"/>
        <w:left w:val="none" w:sz="0" w:space="0" w:color="auto"/>
        <w:bottom w:val="none" w:sz="0" w:space="0" w:color="auto"/>
        <w:right w:val="none" w:sz="0" w:space="0" w:color="auto"/>
      </w:divBdr>
    </w:div>
    <w:div w:id="2134519180">
      <w:bodyDiv w:val="1"/>
      <w:marLeft w:val="0"/>
      <w:marRight w:val="0"/>
      <w:marTop w:val="0"/>
      <w:marBottom w:val="0"/>
      <w:divBdr>
        <w:top w:val="none" w:sz="0" w:space="0" w:color="auto"/>
        <w:left w:val="none" w:sz="0" w:space="0" w:color="auto"/>
        <w:bottom w:val="none" w:sz="0" w:space="0" w:color="auto"/>
        <w:right w:val="none" w:sz="0" w:space="0" w:color="auto"/>
      </w:divBdr>
    </w:div>
    <w:div w:id="2134980442">
      <w:bodyDiv w:val="1"/>
      <w:marLeft w:val="0"/>
      <w:marRight w:val="0"/>
      <w:marTop w:val="0"/>
      <w:marBottom w:val="0"/>
      <w:divBdr>
        <w:top w:val="none" w:sz="0" w:space="0" w:color="auto"/>
        <w:left w:val="none" w:sz="0" w:space="0" w:color="auto"/>
        <w:bottom w:val="none" w:sz="0" w:space="0" w:color="auto"/>
        <w:right w:val="none" w:sz="0" w:space="0" w:color="auto"/>
      </w:divBdr>
    </w:div>
    <w:div w:id="2135057776">
      <w:bodyDiv w:val="1"/>
      <w:marLeft w:val="0"/>
      <w:marRight w:val="0"/>
      <w:marTop w:val="0"/>
      <w:marBottom w:val="0"/>
      <w:divBdr>
        <w:top w:val="none" w:sz="0" w:space="0" w:color="auto"/>
        <w:left w:val="none" w:sz="0" w:space="0" w:color="auto"/>
        <w:bottom w:val="none" w:sz="0" w:space="0" w:color="auto"/>
        <w:right w:val="none" w:sz="0" w:space="0" w:color="auto"/>
      </w:divBdr>
    </w:div>
    <w:div w:id="2136168648">
      <w:bodyDiv w:val="1"/>
      <w:marLeft w:val="0"/>
      <w:marRight w:val="0"/>
      <w:marTop w:val="0"/>
      <w:marBottom w:val="0"/>
      <w:divBdr>
        <w:top w:val="none" w:sz="0" w:space="0" w:color="auto"/>
        <w:left w:val="none" w:sz="0" w:space="0" w:color="auto"/>
        <w:bottom w:val="none" w:sz="0" w:space="0" w:color="auto"/>
        <w:right w:val="none" w:sz="0" w:space="0" w:color="auto"/>
      </w:divBdr>
    </w:div>
    <w:div w:id="2137209785">
      <w:bodyDiv w:val="1"/>
      <w:marLeft w:val="0"/>
      <w:marRight w:val="0"/>
      <w:marTop w:val="0"/>
      <w:marBottom w:val="0"/>
      <w:divBdr>
        <w:top w:val="none" w:sz="0" w:space="0" w:color="auto"/>
        <w:left w:val="none" w:sz="0" w:space="0" w:color="auto"/>
        <w:bottom w:val="none" w:sz="0" w:space="0" w:color="auto"/>
        <w:right w:val="none" w:sz="0" w:space="0" w:color="auto"/>
      </w:divBdr>
    </w:div>
    <w:div w:id="2138640174">
      <w:bodyDiv w:val="1"/>
      <w:marLeft w:val="0"/>
      <w:marRight w:val="0"/>
      <w:marTop w:val="0"/>
      <w:marBottom w:val="0"/>
      <w:divBdr>
        <w:top w:val="none" w:sz="0" w:space="0" w:color="auto"/>
        <w:left w:val="none" w:sz="0" w:space="0" w:color="auto"/>
        <w:bottom w:val="none" w:sz="0" w:space="0" w:color="auto"/>
        <w:right w:val="none" w:sz="0" w:space="0" w:color="auto"/>
      </w:divBdr>
    </w:div>
    <w:div w:id="2139377013">
      <w:bodyDiv w:val="1"/>
      <w:marLeft w:val="0"/>
      <w:marRight w:val="0"/>
      <w:marTop w:val="0"/>
      <w:marBottom w:val="0"/>
      <w:divBdr>
        <w:top w:val="none" w:sz="0" w:space="0" w:color="auto"/>
        <w:left w:val="none" w:sz="0" w:space="0" w:color="auto"/>
        <w:bottom w:val="none" w:sz="0" w:space="0" w:color="auto"/>
        <w:right w:val="none" w:sz="0" w:space="0" w:color="auto"/>
      </w:divBdr>
    </w:div>
    <w:div w:id="2140144542">
      <w:bodyDiv w:val="1"/>
      <w:marLeft w:val="0"/>
      <w:marRight w:val="0"/>
      <w:marTop w:val="0"/>
      <w:marBottom w:val="0"/>
      <w:divBdr>
        <w:top w:val="none" w:sz="0" w:space="0" w:color="auto"/>
        <w:left w:val="none" w:sz="0" w:space="0" w:color="auto"/>
        <w:bottom w:val="none" w:sz="0" w:space="0" w:color="auto"/>
        <w:right w:val="none" w:sz="0" w:space="0" w:color="auto"/>
      </w:divBdr>
    </w:div>
    <w:div w:id="2143765673">
      <w:bodyDiv w:val="1"/>
      <w:marLeft w:val="0"/>
      <w:marRight w:val="0"/>
      <w:marTop w:val="0"/>
      <w:marBottom w:val="0"/>
      <w:divBdr>
        <w:top w:val="none" w:sz="0" w:space="0" w:color="auto"/>
        <w:left w:val="none" w:sz="0" w:space="0" w:color="auto"/>
        <w:bottom w:val="none" w:sz="0" w:space="0" w:color="auto"/>
        <w:right w:val="none" w:sz="0" w:space="0" w:color="auto"/>
      </w:divBdr>
    </w:div>
    <w:div w:id="2144420608">
      <w:bodyDiv w:val="1"/>
      <w:marLeft w:val="0"/>
      <w:marRight w:val="0"/>
      <w:marTop w:val="0"/>
      <w:marBottom w:val="0"/>
      <w:divBdr>
        <w:top w:val="none" w:sz="0" w:space="0" w:color="auto"/>
        <w:left w:val="none" w:sz="0" w:space="0" w:color="auto"/>
        <w:bottom w:val="none" w:sz="0" w:space="0" w:color="auto"/>
        <w:right w:val="none" w:sz="0" w:space="0" w:color="auto"/>
      </w:divBdr>
    </w:div>
    <w:div w:id="2145535902">
      <w:bodyDiv w:val="1"/>
      <w:marLeft w:val="0"/>
      <w:marRight w:val="0"/>
      <w:marTop w:val="0"/>
      <w:marBottom w:val="0"/>
      <w:divBdr>
        <w:top w:val="none" w:sz="0" w:space="0" w:color="auto"/>
        <w:left w:val="none" w:sz="0" w:space="0" w:color="auto"/>
        <w:bottom w:val="none" w:sz="0" w:space="0" w:color="auto"/>
        <w:right w:val="none" w:sz="0" w:space="0" w:color="auto"/>
      </w:divBdr>
    </w:div>
    <w:div w:id="2145539633">
      <w:bodyDiv w:val="1"/>
      <w:marLeft w:val="0"/>
      <w:marRight w:val="0"/>
      <w:marTop w:val="0"/>
      <w:marBottom w:val="0"/>
      <w:divBdr>
        <w:top w:val="none" w:sz="0" w:space="0" w:color="auto"/>
        <w:left w:val="none" w:sz="0" w:space="0" w:color="auto"/>
        <w:bottom w:val="none" w:sz="0" w:space="0" w:color="auto"/>
        <w:right w:val="none" w:sz="0" w:space="0" w:color="auto"/>
      </w:divBdr>
    </w:div>
    <w:div w:id="2145999118">
      <w:bodyDiv w:val="1"/>
      <w:marLeft w:val="0"/>
      <w:marRight w:val="0"/>
      <w:marTop w:val="0"/>
      <w:marBottom w:val="0"/>
      <w:divBdr>
        <w:top w:val="none" w:sz="0" w:space="0" w:color="auto"/>
        <w:left w:val="none" w:sz="0" w:space="0" w:color="auto"/>
        <w:bottom w:val="none" w:sz="0" w:space="0" w:color="auto"/>
        <w:right w:val="none" w:sz="0" w:space="0" w:color="auto"/>
      </w:divBdr>
    </w:div>
    <w:div w:id="214657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luserenerji-my.sharepoint.com/personal/vyigit_aplusenerji_com_tr/Documents/YATIRIM/01%20Projects/02%20Ongoing/03%20ECF%20Capacity%20Payments/APLUSEnerji_ECF_KapasiteMekanizmas&#305;_20240115.docx" TargetMode="External"/><Relationship Id="rId18" Type="http://schemas.openxmlformats.org/officeDocument/2006/relationships/diagramColors" Target="diagrams/colors1.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chart" Target="charts/chart9.xml"/><Relationship Id="rId11" Type="http://schemas.openxmlformats.org/officeDocument/2006/relationships/hyperlink" Target="https://apluserenerji-my.sharepoint.com/personal/vyigit_aplusenerji_com_tr/Documents/YATIRIM/01%20Projects/02%20Ongoing/03%20ECF%20Capacity%20Payments/APLUSEnerji_ECF_KapasiteMekanizmas&#305;_20240115.docx"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5" Type="http://schemas.openxmlformats.org/officeDocument/2006/relationships/settings" Target="settings.xml"/><Relationship Id="rId61" Type="http://schemas.openxmlformats.org/officeDocument/2006/relationships/fontTable" Target="fontTable.xml"/><Relationship Id="rId19" Type="http://schemas.microsoft.com/office/2007/relationships/diagramDrawing" Target="diagrams/drawing1.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chart" Target="charts/chart31.xml"/><Relationship Id="rId3" Type="http://schemas.openxmlformats.org/officeDocument/2006/relationships/numbering" Target="numbering.xml"/><Relationship Id="rId12" Type="http://schemas.openxmlformats.org/officeDocument/2006/relationships/hyperlink" Target="https://apluserenerji-my.sharepoint.com/personal/vyigit_aplusenerji_com_tr/Documents/YATIRIM/01%20Projects/02%20Ongoing/03%20ECF%20Capacity%20Payments/APLUSEnerji_ECF_KapasiteMekanizmas&#305;_20240115.docx" TargetMode="External"/><Relationship Id="rId17" Type="http://schemas.openxmlformats.org/officeDocument/2006/relationships/diagramQuickStyle" Target="diagrams/quickStyle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header" Target="header1.xml"/><Relationship Id="rId20" Type="http://schemas.openxmlformats.org/officeDocument/2006/relationships/chart" Target="charts/chart1.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4.png"/><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aren%20OZTURK\Desktop\kapasite%20mekanizmas&#305;%20&#246;demel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apluserenerji-my.sharepoint.com/personal/vyigit_aplusenerji_com_tr/Documents/YATIRIM/01%20Projects/02%20Ongoing/06%20ECF%20Capacity%20Payments/00%20internal/&#304;spanya_AA/&#304;spanya%20&#220;retim%20ve%20Kapasite%20Datas&#305;.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https://apluserenerji-my.sharepoint.com/personal/vyigit_aplusenerji_com_tr/Documents/YATIRIM/01%20Projects/02%20Ongoing/06%20ECF%20Capacity%20Payments/00%20internal/&#304;spanya_AA/&#304;spanya%20&#220;retim%20-%20Kapasite%20Datas&#305;%20-%20Emisyo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apluserenerji-my.sharepoint.com/personal/vyigit_aplusenerji_com_tr/Documents/YATIRIM/01%20Projects/02%20Ongoing/06%20ECF%20Capacity%20Payments/00%20internal/&#304;spanya_AA/&#304;spanya%20&#220;retim%20-%20Kapasite%20Datas&#305;%20-%20Emisy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plus\OneDrive%20-%20Aplus%20Enerji%20Yat&#305;r&#305;m%20Dan&#305;&#351;manl&#305;k%20Teknoloji%20ve%20Tic.A.&#350;\YATIRIM\01%20Projects\02%20Ongoing\06%20ECF%20Capacity%20Payments\00%20internal\Polonya_KO\emissions%20(grafik%20ve%20tablolar%20burad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apluserenerji-my.sharepoint.com/personal/vyigit_aplusenerji_com_tr/Documents/YATIRIM/01%20Projects/02%20Ongoing/06%20ECF%20Capacity%20Payments/00%20internal/Polonya_KO&amp;AA/Polonya%20&#220;retim%20-%20Kapasite%20-%20Emisyon.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apluserenerji-my.sharepoint.com/personal/vyigit_aplusenerji_com_tr/Documents/YATIRIM/01%20Projects/02%20Ongoing/06%20ECF%20Capacity%20Payments/00%20internal/Polonya_KO&amp;AA/Polonya%20&#220;retim%20-%20Kapasite%20-%20Emisyon.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plus\OneDrive%20-%20Aplus%20Enerji%20Yat&#305;r&#305;m%20Dan&#305;&#351;manl&#305;k%20Teknoloji%20ve%20Tic.A.&#350;\YATIRIM\01%20Projects\02%20Ongoing\06%20ECF%20Capacity%20Payments\00%20internal\Polonya_KO&amp;AA\Polonya%20&#220;retim%20-%20Kapasite%20-%20Emisyon%20-%20&#304;haleler.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apluserenerji-my.sharepoint.com/personal/vyigit_aplusenerji_com_tr/Documents/YATIRIM/01%20Projects/02%20Ongoing/06%20ECF%20Capacity%20Payments/00%20internal/Polonya_KO/Polonya%20&#220;retim%20-%20Kapasite%20-%20Emisyon.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apluserenerji-my.sharepoint.com/personal/aates_aplusenerji_com_tr/Documents/Polonya%20&#220;retim%20-%20Kapasite%20-%20Emisyon%20-%20&#304;haleler.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2.xml"/><Relationship Id="rId4" Type="http://schemas.openxmlformats.org/officeDocument/2006/relationships/package" Target="../embeddings/Microsoft_Excel_Worksheet19.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3.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apluserenerji-my.sharepoint.com/personal/vyigit_aplusenerji_com_tr/Documents/YATIRIM/01%20Projects/02%20Ongoing/06%20ECF%20Capacity%20Payments/00%20internal/kapasite%20mekanizmas&#305;%20&#246;demeler.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1.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Sheet1!$C$1</c:f>
              <c:strCache>
                <c:ptCount val="1"/>
                <c:pt idx="0">
                  <c:v> Bütçe </c:v>
                </c:pt>
              </c:strCache>
            </c:strRef>
          </c:tx>
          <c:spPr>
            <a:solidFill>
              <a:schemeClr val="accent3"/>
            </a:solidFill>
            <a:ln>
              <a:noFill/>
            </a:ln>
            <a:effectLst/>
          </c:spPr>
          <c:invertIfNegative val="0"/>
          <c:cat>
            <c:multiLvlStrRef>
              <c:f>Sheet1!$A$2:$B$72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2018</c:v>
                  </c:pt>
                  <c:pt idx="12">
                    <c:v>2019</c:v>
                  </c:pt>
                  <c:pt idx="24">
                    <c:v>2020</c:v>
                  </c:pt>
                  <c:pt idx="36">
                    <c:v>2021</c:v>
                  </c:pt>
                  <c:pt idx="48">
                    <c:v>2022</c:v>
                  </c:pt>
                  <c:pt idx="60">
                    <c:v>2023</c:v>
                  </c:pt>
                </c:lvl>
              </c:multiLvlStrCache>
            </c:multiLvlStrRef>
          </c:cat>
          <c:val>
            <c:numRef>
              <c:f>Sheet1!$C$2:$C$72</c:f>
              <c:numCache>
                <c:formatCode>_-* #,##0_-;\-* #,##0_-;_-* "-"??_-;_-@_-</c:formatCode>
                <c:ptCount val="71"/>
                <c:pt idx="0">
                  <c:v>70.339713000000003</c:v>
                </c:pt>
                <c:pt idx="1">
                  <c:v>86.158203</c:v>
                </c:pt>
                <c:pt idx="2">
                  <c:v>154.80120600000001</c:v>
                </c:pt>
                <c:pt idx="3">
                  <c:v>166.59408199999999</c:v>
                </c:pt>
                <c:pt idx="4">
                  <c:v>146.52558099999999</c:v>
                </c:pt>
                <c:pt idx="5">
                  <c:v>150.96845099999999</c:v>
                </c:pt>
                <c:pt idx="6">
                  <c:v>83.892132000000004</c:v>
                </c:pt>
                <c:pt idx="7">
                  <c:v>86.448824999999999</c:v>
                </c:pt>
                <c:pt idx="8">
                  <c:v>71.441766999999999</c:v>
                </c:pt>
                <c:pt idx="9">
                  <c:v>135.165854</c:v>
                </c:pt>
                <c:pt idx="10">
                  <c:v>106.440573</c:v>
                </c:pt>
                <c:pt idx="11">
                  <c:v>148.33987099999999</c:v>
                </c:pt>
                <c:pt idx="12">
                  <c:v>99.977135000000004</c:v>
                </c:pt>
                <c:pt idx="13">
                  <c:v>122.460697</c:v>
                </c:pt>
                <c:pt idx="14">
                  <c:v>220.026218</c:v>
                </c:pt>
                <c:pt idx="15">
                  <c:v>236.78798499999999</c:v>
                </c:pt>
                <c:pt idx="16">
                  <c:v>208.26368400000001</c:v>
                </c:pt>
                <c:pt idx="17">
                  <c:v>214.578543</c:v>
                </c:pt>
                <c:pt idx="18">
                  <c:v>119.239824</c:v>
                </c:pt>
                <c:pt idx="19">
                  <c:v>122.873772</c:v>
                </c:pt>
                <c:pt idx="20">
                  <c:v>101.543536</c:v>
                </c:pt>
                <c:pt idx="21">
                  <c:v>192.117571</c:v>
                </c:pt>
                <c:pt idx="22">
                  <c:v>151.28898100000001</c:v>
                </c:pt>
                <c:pt idx="23">
                  <c:v>210.84205399999999</c:v>
                </c:pt>
                <c:pt idx="24">
                  <c:v>109.97484849999999</c:v>
                </c:pt>
                <c:pt idx="25">
                  <c:v>134.70676669999997</c:v>
                </c:pt>
                <c:pt idx="26">
                  <c:v>242.02883980000001</c:v>
                </c:pt>
                <c:pt idx="27">
                  <c:v>260.46678350000002</c:v>
                </c:pt>
                <c:pt idx="28">
                  <c:v>229.09005240000002</c:v>
                </c:pt>
                <c:pt idx="29">
                  <c:v>236.0363973</c:v>
                </c:pt>
                <c:pt idx="30">
                  <c:v>131.1638064</c:v>
                </c:pt>
                <c:pt idx="31">
                  <c:v>135.16114919999998</c:v>
                </c:pt>
                <c:pt idx="32">
                  <c:v>111.6978896</c:v>
                </c:pt>
                <c:pt idx="33">
                  <c:v>211.3293281</c:v>
                </c:pt>
                <c:pt idx="34">
                  <c:v>166.41787909999999</c:v>
                </c:pt>
                <c:pt idx="35">
                  <c:v>231.92625939999999</c:v>
                </c:pt>
                <c:pt idx="36">
                  <c:v>129.97027550000001</c:v>
                </c:pt>
                <c:pt idx="37">
                  <c:v>159.19890609999999</c:v>
                </c:pt>
                <c:pt idx="38">
                  <c:v>286.03408339999999</c:v>
                </c:pt>
                <c:pt idx="39">
                  <c:v>307.82438050000002</c:v>
                </c:pt>
                <c:pt idx="40">
                  <c:v>270.7427892</c:v>
                </c:pt>
                <c:pt idx="41">
                  <c:v>278.95210589999999</c:v>
                </c:pt>
                <c:pt idx="42">
                  <c:v>155.0117712</c:v>
                </c:pt>
                <c:pt idx="43">
                  <c:v>159.7359036</c:v>
                </c:pt>
                <c:pt idx="44">
                  <c:v>132.00659680000001</c:v>
                </c:pt>
                <c:pt idx="45">
                  <c:v>249.75284230000003</c:v>
                </c:pt>
                <c:pt idx="46">
                  <c:v>196.67567530000002</c:v>
                </c:pt>
                <c:pt idx="47">
                  <c:v>274.0946702</c:v>
                </c:pt>
                <c:pt idx="48">
                  <c:v>136.68339212999999</c:v>
                </c:pt>
                <c:pt idx="49">
                  <c:v>167.42171565999999</c:v>
                </c:pt>
                <c:pt idx="50">
                  <c:v>300.80807811</c:v>
                </c:pt>
                <c:pt idx="51">
                  <c:v>323.72386951999999</c:v>
                </c:pt>
                <c:pt idx="52">
                  <c:v>284.72697068999997</c:v>
                </c:pt>
                <c:pt idx="53">
                  <c:v>344.91478408999996</c:v>
                </c:pt>
                <c:pt idx="54">
                  <c:v>191.80308713999997</c:v>
                </c:pt>
                <c:pt idx="55">
                  <c:v>197.23754334999998</c:v>
                </c:pt>
                <c:pt idx="56">
                  <c:v>162.99815052000002</c:v>
                </c:pt>
                <c:pt idx="57">
                  <c:v>308.38800763</c:v>
                </c:pt>
                <c:pt idx="58">
                  <c:v>242.84976738999998</c:v>
                </c:pt>
                <c:pt idx="59">
                  <c:v>338.44463377</c:v>
                </c:pt>
                <c:pt idx="60">
                  <c:v>182.24452284</c:v>
                </c:pt>
                <c:pt idx="61">
                  <c:v>223.22895421000001</c:v>
                </c:pt>
                <c:pt idx="62">
                  <c:v>401.07743748000001</c:v>
                </c:pt>
                <c:pt idx="63">
                  <c:v>431.63182603000001</c:v>
                </c:pt>
                <c:pt idx="64">
                  <c:v>379.63596092</c:v>
                </c:pt>
                <c:pt idx="65">
                  <c:v>459.88637878999998</c:v>
                </c:pt>
                <c:pt idx="66">
                  <c:v>255.73744951999996</c:v>
                </c:pt>
                <c:pt idx="67">
                  <c:v>263</c:v>
                </c:pt>
                <c:pt idx="68">
                  <c:v>217</c:v>
                </c:pt>
                <c:pt idx="69">
                  <c:v>411</c:v>
                </c:pt>
                <c:pt idx="70">
                  <c:v>324</c:v>
                </c:pt>
              </c:numCache>
            </c:numRef>
          </c:val>
          <c:extLst>
            <c:ext xmlns:c16="http://schemas.microsoft.com/office/drawing/2014/chart" uri="{C3380CC4-5D6E-409C-BE32-E72D297353CC}">
              <c16:uniqueId val="{00000000-38FD-430A-BED4-E3947DB92479}"/>
            </c:ext>
          </c:extLst>
        </c:ser>
        <c:ser>
          <c:idx val="3"/>
          <c:order val="1"/>
          <c:tx>
            <c:strRef>
              <c:f>Sheet1!$D$1</c:f>
              <c:strCache>
                <c:ptCount val="1"/>
                <c:pt idx="0">
                  <c:v> Yapılan Ödeme </c:v>
                </c:pt>
              </c:strCache>
            </c:strRef>
          </c:tx>
          <c:spPr>
            <a:solidFill>
              <a:schemeClr val="accent4"/>
            </a:solidFill>
            <a:ln>
              <a:noFill/>
            </a:ln>
            <a:effectLst/>
          </c:spPr>
          <c:invertIfNegative val="0"/>
          <c:cat>
            <c:multiLvlStrRef>
              <c:f>Sheet1!$A$2:$B$72</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2018</c:v>
                  </c:pt>
                  <c:pt idx="12">
                    <c:v>2019</c:v>
                  </c:pt>
                  <c:pt idx="24">
                    <c:v>2020</c:v>
                  </c:pt>
                  <c:pt idx="36">
                    <c:v>2021</c:v>
                  </c:pt>
                  <c:pt idx="48">
                    <c:v>2022</c:v>
                  </c:pt>
                  <c:pt idx="60">
                    <c:v>2023</c:v>
                  </c:pt>
                </c:lvl>
              </c:multiLvlStrCache>
            </c:multiLvlStrRef>
          </c:cat>
          <c:val>
            <c:numRef>
              <c:f>Sheet1!$D$2:$D$72</c:f>
              <c:numCache>
                <c:formatCode>_-* #,##0_-;\-* #,##0_-;_-* "-"??_-;_-@_-</c:formatCode>
                <c:ptCount val="71"/>
                <c:pt idx="0">
                  <c:v>70.339713190000012</c:v>
                </c:pt>
                <c:pt idx="1">
                  <c:v>86.15820337000001</c:v>
                </c:pt>
                <c:pt idx="2">
                  <c:v>154.80120580999997</c:v>
                </c:pt>
                <c:pt idx="3">
                  <c:v>92.724911979999987</c:v>
                </c:pt>
                <c:pt idx="4">
                  <c:v>184.37288211999999</c:v>
                </c:pt>
                <c:pt idx="5">
                  <c:v>167.14965255000001</c:v>
                </c:pt>
                <c:pt idx="6">
                  <c:v>77.844216410000001</c:v>
                </c:pt>
                <c:pt idx="7">
                  <c:v>112.33740692000002</c:v>
                </c:pt>
                <c:pt idx="8">
                  <c:v>71.441766870000009</c:v>
                </c:pt>
                <c:pt idx="9">
                  <c:v>135.16585388999999</c:v>
                </c:pt>
                <c:pt idx="10">
                  <c:v>106.44057305000001</c:v>
                </c:pt>
                <c:pt idx="11">
                  <c:v>148.33987133000002</c:v>
                </c:pt>
                <c:pt idx="12">
                  <c:v>99.977135000000018</c:v>
                </c:pt>
                <c:pt idx="13">
                  <c:v>122.46069699999997</c:v>
                </c:pt>
                <c:pt idx="14">
                  <c:v>220.02621801000004</c:v>
                </c:pt>
                <c:pt idx="15">
                  <c:v>236.78798499999999</c:v>
                </c:pt>
                <c:pt idx="16">
                  <c:v>208.26368397000002</c:v>
                </c:pt>
                <c:pt idx="17">
                  <c:v>214.57854300000002</c:v>
                </c:pt>
                <c:pt idx="18">
                  <c:v>119.23982401999999</c:v>
                </c:pt>
                <c:pt idx="19">
                  <c:v>122.87377202</c:v>
                </c:pt>
                <c:pt idx="20">
                  <c:v>101.54353599000001</c:v>
                </c:pt>
                <c:pt idx="21">
                  <c:v>192.11757100000003</c:v>
                </c:pt>
                <c:pt idx="22">
                  <c:v>151.28898100000001</c:v>
                </c:pt>
                <c:pt idx="23">
                  <c:v>210.84205400000002</c:v>
                </c:pt>
                <c:pt idx="24">
                  <c:v>109.97484848000003</c:v>
                </c:pt>
                <c:pt idx="25">
                  <c:v>134.70676669999997</c:v>
                </c:pt>
                <c:pt idx="26">
                  <c:v>242.02883980000007</c:v>
                </c:pt>
                <c:pt idx="27">
                  <c:v>260.46678350999997</c:v>
                </c:pt>
                <c:pt idx="28">
                  <c:v>229.09005241999992</c:v>
                </c:pt>
                <c:pt idx="29">
                  <c:v>236.03639732000002</c:v>
                </c:pt>
                <c:pt idx="30">
                  <c:v>131.1638064</c:v>
                </c:pt>
                <c:pt idx="31">
                  <c:v>135.16114922316586</c:v>
                </c:pt>
                <c:pt idx="32">
                  <c:v>111.69788958999999</c:v>
                </c:pt>
                <c:pt idx="33">
                  <c:v>211.32932810000003</c:v>
                </c:pt>
                <c:pt idx="34">
                  <c:v>166.41787913000005</c:v>
                </c:pt>
                <c:pt idx="35">
                  <c:v>231.92625939000004</c:v>
                </c:pt>
                <c:pt idx="36">
                  <c:v>129.97027549999999</c:v>
                </c:pt>
                <c:pt idx="37">
                  <c:v>159.19890609000004</c:v>
                </c:pt>
                <c:pt idx="38">
                  <c:v>286.03408340999988</c:v>
                </c:pt>
                <c:pt idx="39">
                  <c:v>307.82438051999998</c:v>
                </c:pt>
                <c:pt idx="40">
                  <c:v>270.7427892</c:v>
                </c:pt>
                <c:pt idx="41">
                  <c:v>327.52539371999995</c:v>
                </c:pt>
                <c:pt idx="42">
                  <c:v>182.00361392000002</c:v>
                </c:pt>
                <c:pt idx="43">
                  <c:v>187.55034866999998</c:v>
                </c:pt>
                <c:pt idx="44">
                  <c:v>154.99260147000007</c:v>
                </c:pt>
                <c:pt idx="45">
                  <c:v>294.07004117000008</c:v>
                </c:pt>
                <c:pt idx="46">
                  <c:v>230.92235768</c:v>
                </c:pt>
                <c:pt idx="47">
                  <c:v>327.58049953000011</c:v>
                </c:pt>
                <c:pt idx="48">
                  <c:v>136.68339211999998</c:v>
                </c:pt>
                <c:pt idx="49">
                  <c:v>167.42171565000004</c:v>
                </c:pt>
                <c:pt idx="50">
                  <c:v>300.80807811999989</c:v>
                </c:pt>
                <c:pt idx="51">
                  <c:v>323.72386951999994</c:v>
                </c:pt>
                <c:pt idx="52">
                  <c:v>284.72697068999997</c:v>
                </c:pt>
                <c:pt idx="53">
                  <c:v>344.91478405999999</c:v>
                </c:pt>
                <c:pt idx="54">
                  <c:v>191.80308715999996</c:v>
                </c:pt>
                <c:pt idx="55">
                  <c:v>197.23754332000001</c:v>
                </c:pt>
                <c:pt idx="56">
                  <c:v>162.99815050999999</c:v>
                </c:pt>
                <c:pt idx="57">
                  <c:v>308.3880076399999</c:v>
                </c:pt>
                <c:pt idx="58">
                  <c:v>242.84976738000003</c:v>
                </c:pt>
                <c:pt idx="59">
                  <c:v>338.44463375999993</c:v>
                </c:pt>
                <c:pt idx="60">
                  <c:v>182.24452287</c:v>
                </c:pt>
                <c:pt idx="61">
                  <c:v>223.22895421999999</c:v>
                </c:pt>
                <c:pt idx="62">
                  <c:v>401.07743749999997</c:v>
                </c:pt>
                <c:pt idx="63">
                  <c:v>431.63182601999995</c:v>
                </c:pt>
                <c:pt idx="64">
                  <c:v>379.63596092</c:v>
                </c:pt>
                <c:pt idx="65">
                  <c:v>459.88637875000012</c:v>
                </c:pt>
                <c:pt idx="66">
                  <c:v>255.73744951999996</c:v>
                </c:pt>
                <c:pt idx="67">
                  <c:v>263</c:v>
                </c:pt>
                <c:pt idx="68">
                  <c:v>217</c:v>
                </c:pt>
                <c:pt idx="69">
                  <c:v>411</c:v>
                </c:pt>
                <c:pt idx="70">
                  <c:v>324</c:v>
                </c:pt>
              </c:numCache>
            </c:numRef>
          </c:val>
          <c:extLst>
            <c:ext xmlns:c16="http://schemas.microsoft.com/office/drawing/2014/chart" uri="{C3380CC4-5D6E-409C-BE32-E72D297353CC}">
              <c16:uniqueId val="{00000001-38FD-430A-BED4-E3947DB92479}"/>
            </c:ext>
          </c:extLst>
        </c:ser>
        <c:dLbls>
          <c:showLegendKey val="0"/>
          <c:showVal val="0"/>
          <c:showCatName val="0"/>
          <c:showSerName val="0"/>
          <c:showPercent val="0"/>
          <c:showBubbleSize val="0"/>
        </c:dLbls>
        <c:gapWidth val="219"/>
        <c:overlap val="-27"/>
        <c:axId val="650268639"/>
        <c:axId val="749772127"/>
      </c:barChart>
      <c:catAx>
        <c:axId val="6502686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9772127"/>
        <c:crosses val="autoZero"/>
        <c:auto val="1"/>
        <c:lblAlgn val="ctr"/>
        <c:lblOffset val="100"/>
        <c:noMultiLvlLbl val="0"/>
      </c:catAx>
      <c:valAx>
        <c:axId val="74977212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milyon TL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0268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Doğal Gaz</c:v>
                </c:pt>
              </c:strCache>
            </c:strRef>
          </c:tx>
          <c:spPr>
            <a:solidFill>
              <a:srgbClr val="AFABAB"/>
            </a:solidFill>
            <a:ln>
              <a:noFill/>
            </a:ln>
            <a:effectLst/>
          </c:spPr>
          <c:invertIfNegative val="0"/>
          <c:cat>
            <c:numRef>
              <c:f>Sheet1!$A$2:$A$9</c:f>
              <c:numCache>
                <c:formatCode>General</c:formatCode>
                <c:ptCount val="8"/>
                <c:pt idx="0">
                  <c:v>2028</c:v>
                </c:pt>
                <c:pt idx="1">
                  <c:v>2029</c:v>
                </c:pt>
                <c:pt idx="2">
                  <c:v>2030</c:v>
                </c:pt>
                <c:pt idx="3">
                  <c:v>2031</c:v>
                </c:pt>
                <c:pt idx="4">
                  <c:v>2032</c:v>
                </c:pt>
                <c:pt idx="5">
                  <c:v>2033</c:v>
                </c:pt>
                <c:pt idx="6">
                  <c:v>2034</c:v>
                </c:pt>
                <c:pt idx="7">
                  <c:v>2035</c:v>
                </c:pt>
              </c:numCache>
            </c:numRef>
          </c:cat>
          <c:val>
            <c:numRef>
              <c:f>Sheet1!$B$2:$B$9</c:f>
              <c:numCache>
                <c:formatCode>General</c:formatCode>
                <c:ptCount val="8"/>
                <c:pt idx="0">
                  <c:v>21.432921</c:v>
                </c:pt>
                <c:pt idx="1">
                  <c:v>19.21728667</c:v>
                </c:pt>
                <c:pt idx="2">
                  <c:v>18.043375999999999</c:v>
                </c:pt>
                <c:pt idx="3">
                  <c:v>18.043375999999999</c:v>
                </c:pt>
                <c:pt idx="4">
                  <c:v>17.881775999999999</c:v>
                </c:pt>
                <c:pt idx="5">
                  <c:v>17.287247000000001</c:v>
                </c:pt>
                <c:pt idx="6">
                  <c:v>16.612736250000001</c:v>
                </c:pt>
                <c:pt idx="7">
                  <c:v>15.45706975</c:v>
                </c:pt>
              </c:numCache>
            </c:numRef>
          </c:val>
          <c:extLst>
            <c:ext xmlns:c16="http://schemas.microsoft.com/office/drawing/2014/chart" uri="{C3380CC4-5D6E-409C-BE32-E72D297353CC}">
              <c16:uniqueId val="{00000000-D9F4-42F9-980C-0DBF236B6E71}"/>
            </c:ext>
          </c:extLst>
        </c:ser>
        <c:ser>
          <c:idx val="1"/>
          <c:order val="1"/>
          <c:tx>
            <c:strRef>
              <c:f>Sheet1!$C$1</c:f>
              <c:strCache>
                <c:ptCount val="1"/>
                <c:pt idx="0">
                  <c:v>Kömür</c:v>
                </c:pt>
              </c:strCache>
            </c:strRef>
          </c:tx>
          <c:spPr>
            <a:solidFill>
              <a:srgbClr val="404040"/>
            </a:solidFill>
            <a:ln>
              <a:noFill/>
            </a:ln>
            <a:effectLst/>
          </c:spPr>
          <c:invertIfNegative val="0"/>
          <c:cat>
            <c:numRef>
              <c:f>Sheet1!$A$2:$A$9</c:f>
              <c:numCache>
                <c:formatCode>General</c:formatCode>
                <c:ptCount val="8"/>
                <c:pt idx="0">
                  <c:v>2028</c:v>
                </c:pt>
                <c:pt idx="1">
                  <c:v>2029</c:v>
                </c:pt>
                <c:pt idx="2">
                  <c:v>2030</c:v>
                </c:pt>
                <c:pt idx="3">
                  <c:v>2031</c:v>
                </c:pt>
                <c:pt idx="4">
                  <c:v>2032</c:v>
                </c:pt>
                <c:pt idx="5">
                  <c:v>2033</c:v>
                </c:pt>
                <c:pt idx="6">
                  <c:v>2034</c:v>
                </c:pt>
                <c:pt idx="7">
                  <c:v>2035</c:v>
                </c:pt>
              </c:numCache>
            </c:numRef>
          </c:cat>
          <c:val>
            <c:numRef>
              <c:f>Sheet1!$C$2:$C$9</c:f>
              <c:numCache>
                <c:formatCode>General</c:formatCode>
                <c:ptCount val="8"/>
                <c:pt idx="0">
                  <c:v>8.0159400000000005</c:v>
                </c:pt>
                <c:pt idx="1">
                  <c:v>4.1809770000000004</c:v>
                </c:pt>
                <c:pt idx="2">
                  <c:v>4.1809770000000004</c:v>
                </c:pt>
                <c:pt idx="3">
                  <c:v>3.8250989999999998</c:v>
                </c:pt>
                <c:pt idx="4">
                  <c:v>3.6897090000000001</c:v>
                </c:pt>
                <c:pt idx="5">
                  <c:v>3.6897090000000001</c:v>
                </c:pt>
                <c:pt idx="6">
                  <c:v>3.6897090000000001</c:v>
                </c:pt>
                <c:pt idx="7">
                  <c:v>3.6897090000000001</c:v>
                </c:pt>
              </c:numCache>
            </c:numRef>
          </c:val>
          <c:extLst>
            <c:ext xmlns:c16="http://schemas.microsoft.com/office/drawing/2014/chart" uri="{C3380CC4-5D6E-409C-BE32-E72D297353CC}">
              <c16:uniqueId val="{00000001-D9F4-42F9-980C-0DBF236B6E71}"/>
            </c:ext>
          </c:extLst>
        </c:ser>
        <c:ser>
          <c:idx val="2"/>
          <c:order val="2"/>
          <c:tx>
            <c:strRef>
              <c:f>Sheet1!$D$1</c:f>
              <c:strCache>
                <c:ptCount val="1"/>
                <c:pt idx="0">
                  <c:v>Talep Tarafı ve Batarya Depolama</c:v>
                </c:pt>
              </c:strCache>
            </c:strRef>
          </c:tx>
          <c:spPr>
            <a:solidFill>
              <a:srgbClr val="FFD966"/>
            </a:solidFill>
            <a:ln>
              <a:noFill/>
            </a:ln>
            <a:effectLst/>
          </c:spPr>
          <c:invertIfNegative val="0"/>
          <c:cat>
            <c:numRef>
              <c:f>Sheet1!$A$2:$A$9</c:f>
              <c:numCache>
                <c:formatCode>General</c:formatCode>
                <c:ptCount val="8"/>
                <c:pt idx="0">
                  <c:v>2028</c:v>
                </c:pt>
                <c:pt idx="1">
                  <c:v>2029</c:v>
                </c:pt>
                <c:pt idx="2">
                  <c:v>2030</c:v>
                </c:pt>
                <c:pt idx="3">
                  <c:v>2031</c:v>
                </c:pt>
                <c:pt idx="4">
                  <c:v>2032</c:v>
                </c:pt>
                <c:pt idx="5">
                  <c:v>2033</c:v>
                </c:pt>
                <c:pt idx="6">
                  <c:v>2034</c:v>
                </c:pt>
                <c:pt idx="7">
                  <c:v>2035</c:v>
                </c:pt>
              </c:numCache>
            </c:numRef>
          </c:cat>
          <c:val>
            <c:numRef>
              <c:f>Sheet1!$D$2:$D$9</c:f>
              <c:numCache>
                <c:formatCode>General</c:formatCode>
                <c:ptCount val="8"/>
                <c:pt idx="0">
                  <c:v>2.115294</c:v>
                </c:pt>
                <c:pt idx="1">
                  <c:v>1.885294</c:v>
                </c:pt>
                <c:pt idx="2">
                  <c:v>1.885294</c:v>
                </c:pt>
                <c:pt idx="3">
                  <c:v>1.88083025</c:v>
                </c:pt>
                <c:pt idx="4">
                  <c:v>1.8437165</c:v>
                </c:pt>
                <c:pt idx="5">
                  <c:v>1.7725489999999999</c:v>
                </c:pt>
                <c:pt idx="6">
                  <c:v>1.7234702500000001</c:v>
                </c:pt>
                <c:pt idx="7">
                  <c:v>1.56886875</c:v>
                </c:pt>
              </c:numCache>
            </c:numRef>
          </c:val>
          <c:extLst>
            <c:ext xmlns:c16="http://schemas.microsoft.com/office/drawing/2014/chart" uri="{C3380CC4-5D6E-409C-BE32-E72D297353CC}">
              <c16:uniqueId val="{00000002-D9F4-42F9-980C-0DBF236B6E71}"/>
            </c:ext>
          </c:extLst>
        </c:ser>
        <c:ser>
          <c:idx val="3"/>
          <c:order val="3"/>
          <c:tx>
            <c:strRef>
              <c:f>Sheet1!$E$1</c:f>
              <c:strCache>
                <c:ptCount val="1"/>
                <c:pt idx="0">
                  <c:v>Hidro</c:v>
                </c:pt>
              </c:strCache>
            </c:strRef>
          </c:tx>
          <c:spPr>
            <a:solidFill>
              <a:srgbClr val="0067B4"/>
            </a:solidFill>
            <a:ln>
              <a:noFill/>
            </a:ln>
            <a:effectLst/>
          </c:spPr>
          <c:invertIfNegative val="0"/>
          <c:cat>
            <c:numRef>
              <c:f>Sheet1!$A$2:$A$9</c:f>
              <c:numCache>
                <c:formatCode>General</c:formatCode>
                <c:ptCount val="8"/>
                <c:pt idx="0">
                  <c:v>2028</c:v>
                </c:pt>
                <c:pt idx="1">
                  <c:v>2029</c:v>
                </c:pt>
                <c:pt idx="2">
                  <c:v>2030</c:v>
                </c:pt>
                <c:pt idx="3">
                  <c:v>2031</c:v>
                </c:pt>
                <c:pt idx="4">
                  <c:v>2032</c:v>
                </c:pt>
                <c:pt idx="5">
                  <c:v>2033</c:v>
                </c:pt>
                <c:pt idx="6">
                  <c:v>2034</c:v>
                </c:pt>
                <c:pt idx="7">
                  <c:v>2035</c:v>
                </c:pt>
              </c:numCache>
            </c:numRef>
          </c:cat>
          <c:val>
            <c:numRef>
              <c:f>Sheet1!$E$2:$E$9</c:f>
              <c:numCache>
                <c:formatCode>General</c:formatCode>
                <c:ptCount val="8"/>
                <c:pt idx="0">
                  <c:v>1.3311789999999999</c:v>
                </c:pt>
                <c:pt idx="1">
                  <c:v>1.3311789999999999</c:v>
                </c:pt>
                <c:pt idx="2">
                  <c:v>1.3311789999999999</c:v>
                </c:pt>
                <c:pt idx="3">
                  <c:v>1.3222389999999999</c:v>
                </c:pt>
                <c:pt idx="4">
                  <c:v>0.25895899999999999</c:v>
                </c:pt>
                <c:pt idx="5">
                  <c:v>0.20672299999999999</c:v>
                </c:pt>
                <c:pt idx="6">
                  <c:v>6.6711999999999994E-2</c:v>
                </c:pt>
                <c:pt idx="7">
                  <c:v>6.6711999999999994E-2</c:v>
                </c:pt>
              </c:numCache>
            </c:numRef>
          </c:val>
          <c:extLst>
            <c:ext xmlns:c16="http://schemas.microsoft.com/office/drawing/2014/chart" uri="{C3380CC4-5D6E-409C-BE32-E72D297353CC}">
              <c16:uniqueId val="{00000003-D9F4-42F9-980C-0DBF236B6E71}"/>
            </c:ext>
          </c:extLst>
        </c:ser>
        <c:ser>
          <c:idx val="4"/>
          <c:order val="4"/>
          <c:tx>
            <c:strRef>
              <c:f>Sheet1!$F$1</c:f>
              <c:strCache>
                <c:ptCount val="1"/>
                <c:pt idx="0">
                  <c:v>Yenilenebilir Enerji</c:v>
                </c:pt>
              </c:strCache>
            </c:strRef>
          </c:tx>
          <c:spPr>
            <a:solidFill>
              <a:srgbClr val="00B050"/>
            </a:solidFill>
            <a:ln>
              <a:noFill/>
            </a:ln>
            <a:effectLst/>
          </c:spPr>
          <c:invertIfNegative val="0"/>
          <c:cat>
            <c:numRef>
              <c:f>Sheet1!$A$2:$A$9</c:f>
              <c:numCache>
                <c:formatCode>General</c:formatCode>
                <c:ptCount val="8"/>
                <c:pt idx="0">
                  <c:v>2028</c:v>
                </c:pt>
                <c:pt idx="1">
                  <c:v>2029</c:v>
                </c:pt>
                <c:pt idx="2">
                  <c:v>2030</c:v>
                </c:pt>
                <c:pt idx="3">
                  <c:v>2031</c:v>
                </c:pt>
                <c:pt idx="4">
                  <c:v>2032</c:v>
                </c:pt>
                <c:pt idx="5">
                  <c:v>2033</c:v>
                </c:pt>
                <c:pt idx="6">
                  <c:v>2034</c:v>
                </c:pt>
                <c:pt idx="7">
                  <c:v>2035</c:v>
                </c:pt>
              </c:numCache>
            </c:numRef>
          </c:cat>
          <c:val>
            <c:numRef>
              <c:f>Sheet1!$F$2:$F$9</c:f>
              <c:numCache>
                <c:formatCode>General</c:formatCode>
                <c:ptCount val="8"/>
                <c:pt idx="0">
                  <c:v>0.148729</c:v>
                </c:pt>
                <c:pt idx="1">
                  <c:v>0.148729</c:v>
                </c:pt>
                <c:pt idx="2">
                  <c:v>0.148729</c:v>
                </c:pt>
                <c:pt idx="3">
                  <c:v>0.14723900000000001</c:v>
                </c:pt>
                <c:pt idx="4">
                  <c:v>0.14276900000000001</c:v>
                </c:pt>
                <c:pt idx="5">
                  <c:v>0.14276900000000001</c:v>
                </c:pt>
                <c:pt idx="6">
                  <c:v>8.3731749999999994E-2</c:v>
                </c:pt>
                <c:pt idx="7">
                  <c:v>8.1766000000000005E-2</c:v>
                </c:pt>
              </c:numCache>
            </c:numRef>
          </c:val>
          <c:extLst>
            <c:ext xmlns:c16="http://schemas.microsoft.com/office/drawing/2014/chart" uri="{C3380CC4-5D6E-409C-BE32-E72D297353CC}">
              <c16:uniqueId val="{00000004-D9F4-42F9-980C-0DBF236B6E71}"/>
            </c:ext>
          </c:extLst>
        </c:ser>
        <c:ser>
          <c:idx val="5"/>
          <c:order val="5"/>
          <c:tx>
            <c:strRef>
              <c:f>Sheet1!$G$1</c:f>
              <c:strCache>
                <c:ptCount val="1"/>
                <c:pt idx="0">
                  <c:v>Diğer</c:v>
                </c:pt>
              </c:strCache>
            </c:strRef>
          </c:tx>
          <c:spPr>
            <a:solidFill>
              <a:srgbClr val="C00000"/>
            </a:solidFill>
            <a:ln>
              <a:noFill/>
            </a:ln>
            <a:effectLst/>
          </c:spPr>
          <c:invertIfNegative val="0"/>
          <c:cat>
            <c:numRef>
              <c:f>Sheet1!$A$2:$A$9</c:f>
              <c:numCache>
                <c:formatCode>General</c:formatCode>
                <c:ptCount val="8"/>
                <c:pt idx="0">
                  <c:v>2028</c:v>
                </c:pt>
                <c:pt idx="1">
                  <c:v>2029</c:v>
                </c:pt>
                <c:pt idx="2">
                  <c:v>2030</c:v>
                </c:pt>
                <c:pt idx="3">
                  <c:v>2031</c:v>
                </c:pt>
                <c:pt idx="4">
                  <c:v>2032</c:v>
                </c:pt>
                <c:pt idx="5">
                  <c:v>2033</c:v>
                </c:pt>
                <c:pt idx="6">
                  <c:v>2034</c:v>
                </c:pt>
                <c:pt idx="7">
                  <c:v>2035</c:v>
                </c:pt>
              </c:numCache>
            </c:numRef>
          </c:cat>
          <c:val>
            <c:numRef>
              <c:f>Sheet1!$G$2:$G$9</c:f>
              <c:numCache>
                <c:formatCode>General</c:formatCode>
                <c:ptCount val="8"/>
                <c:pt idx="0">
                  <c:v>1.1431309999999999</c:v>
                </c:pt>
                <c:pt idx="1">
                  <c:v>1.1431309999999999</c:v>
                </c:pt>
                <c:pt idx="2">
                  <c:v>1.1431309999999999</c:v>
                </c:pt>
                <c:pt idx="3">
                  <c:v>1.1431309999999999</c:v>
                </c:pt>
                <c:pt idx="4">
                  <c:v>1.1431309999999999</c:v>
                </c:pt>
                <c:pt idx="5">
                  <c:v>1.1410935</c:v>
                </c:pt>
                <c:pt idx="6">
                  <c:v>1.1109975000000001</c:v>
                </c:pt>
                <c:pt idx="7">
                  <c:v>1.0390470000000001</c:v>
                </c:pt>
              </c:numCache>
            </c:numRef>
          </c:val>
          <c:extLst>
            <c:ext xmlns:c16="http://schemas.microsoft.com/office/drawing/2014/chart" uri="{C3380CC4-5D6E-409C-BE32-E72D297353CC}">
              <c16:uniqueId val="{00000005-D9F4-42F9-980C-0DBF236B6E71}"/>
            </c:ext>
          </c:extLst>
        </c:ser>
        <c:dLbls>
          <c:showLegendKey val="0"/>
          <c:showVal val="0"/>
          <c:showCatName val="0"/>
          <c:showSerName val="0"/>
          <c:showPercent val="0"/>
          <c:showBubbleSize val="0"/>
        </c:dLbls>
        <c:gapWidth val="219"/>
        <c:overlap val="100"/>
        <c:axId val="1810131392"/>
        <c:axId val="985623551"/>
      </c:barChart>
      <c:lineChart>
        <c:grouping val="standard"/>
        <c:varyColors val="0"/>
        <c:ser>
          <c:idx val="6"/>
          <c:order val="6"/>
          <c:tx>
            <c:strRef>
              <c:f>Sheet1!$H$1</c:f>
              <c:strCache>
                <c:ptCount val="1"/>
                <c:pt idx="0">
                  <c:v>Toplam Ödemeler (Tüm gruplar için)</c:v>
                </c:pt>
              </c:strCache>
            </c:strRef>
          </c:tx>
          <c:spPr>
            <a:ln w="19050" cap="rnd">
              <a:solidFill>
                <a:schemeClr val="tx1"/>
              </a:solidFill>
              <a:round/>
            </a:ln>
            <a:effectLst/>
          </c:spPr>
          <c:marker>
            <c:symbol val="none"/>
          </c:marker>
          <c:cat>
            <c:numRef>
              <c:f>Sheet1!$A$2:$A$9</c:f>
              <c:numCache>
                <c:formatCode>General</c:formatCode>
                <c:ptCount val="8"/>
                <c:pt idx="0">
                  <c:v>2028</c:v>
                </c:pt>
                <c:pt idx="1">
                  <c:v>2029</c:v>
                </c:pt>
                <c:pt idx="2">
                  <c:v>2030</c:v>
                </c:pt>
                <c:pt idx="3">
                  <c:v>2031</c:v>
                </c:pt>
                <c:pt idx="4">
                  <c:v>2032</c:v>
                </c:pt>
                <c:pt idx="5">
                  <c:v>2033</c:v>
                </c:pt>
                <c:pt idx="6">
                  <c:v>2034</c:v>
                </c:pt>
                <c:pt idx="7">
                  <c:v>2035</c:v>
                </c:pt>
              </c:numCache>
            </c:numRef>
          </c:cat>
          <c:val>
            <c:numRef>
              <c:f>Sheet1!$H$2:$H$9</c:f>
              <c:numCache>
                <c:formatCode>General</c:formatCode>
                <c:ptCount val="8"/>
                <c:pt idx="0">
                  <c:v>2151.25181552</c:v>
                </c:pt>
                <c:pt idx="1">
                  <c:v>1912.42388157</c:v>
                </c:pt>
                <c:pt idx="2">
                  <c:v>1900.6847748299999</c:v>
                </c:pt>
                <c:pt idx="3">
                  <c:v>1880.22685553</c:v>
                </c:pt>
                <c:pt idx="4">
                  <c:v>1849.88901747</c:v>
                </c:pt>
                <c:pt idx="5">
                  <c:v>1789.6258945100001</c:v>
                </c:pt>
                <c:pt idx="6">
                  <c:v>1681.9610181400001</c:v>
                </c:pt>
                <c:pt idx="7">
                  <c:v>1487.1781943599999</c:v>
                </c:pt>
              </c:numCache>
            </c:numRef>
          </c:val>
          <c:smooth val="0"/>
          <c:extLst>
            <c:ext xmlns:c16="http://schemas.microsoft.com/office/drawing/2014/chart" uri="{C3380CC4-5D6E-409C-BE32-E72D297353CC}">
              <c16:uniqueId val="{00000006-D9F4-42F9-980C-0DBF236B6E71}"/>
            </c:ext>
          </c:extLst>
        </c:ser>
        <c:dLbls>
          <c:showLegendKey val="0"/>
          <c:showVal val="0"/>
          <c:showCatName val="0"/>
          <c:showSerName val="0"/>
          <c:showPercent val="0"/>
          <c:showBubbleSize val="0"/>
        </c:dLbls>
        <c:marker val="1"/>
        <c:smooth val="0"/>
        <c:axId val="1820693456"/>
        <c:axId val="1601327312"/>
      </c:lineChart>
      <c:catAx>
        <c:axId val="181013139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5623551"/>
        <c:crosses val="autoZero"/>
        <c:auto val="1"/>
        <c:lblAlgn val="ctr"/>
        <c:lblOffset val="100"/>
        <c:noMultiLvlLbl val="0"/>
      </c:catAx>
      <c:valAx>
        <c:axId val="985623551"/>
        <c:scaling>
          <c:orientation val="minMax"/>
          <c:max val="3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solidFill>
                      <a:schemeClr val="tx1"/>
                    </a:solidFill>
                  </a:rPr>
                  <a:t>GW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0131392"/>
        <c:crosses val="autoZero"/>
        <c:crossBetween val="between"/>
      </c:valAx>
      <c:valAx>
        <c:axId val="16013273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milyon</a:t>
                </a:r>
                <a:r>
                  <a:rPr lang="en-US" baseline="0"/>
                  <a:t> </a:t>
                </a:r>
                <a:r>
                  <a:rPr lang="en-US" baseline="0">
                    <a:solidFill>
                      <a:schemeClr val="tx1"/>
                    </a:solidFill>
                  </a:rPr>
                  <a:t>Avro</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0693456"/>
        <c:crosses val="max"/>
        <c:crossBetween val="between"/>
      </c:valAx>
      <c:catAx>
        <c:axId val="1820693456"/>
        <c:scaling>
          <c:orientation val="minMax"/>
        </c:scaling>
        <c:delete val="1"/>
        <c:axPos val="b"/>
        <c:numFmt formatCode="General" sourceLinked="1"/>
        <c:majorTickMark val="out"/>
        <c:minorTickMark val="none"/>
        <c:tickLblPos val="nextTo"/>
        <c:crossAx val="1601327312"/>
        <c:crosses val="autoZero"/>
        <c:auto val="1"/>
        <c:lblAlgn val="ctr"/>
        <c:lblOffset val="100"/>
        <c:noMultiLvlLbl val="0"/>
      </c:catAx>
      <c:spPr>
        <a:noFill/>
        <a:ln>
          <a:noFill/>
        </a:ln>
        <a:effectLst/>
      </c:spPr>
    </c:plotArea>
    <c:legend>
      <c:legendPos val="b"/>
      <c:layout>
        <c:manualLayout>
          <c:xMode val="edge"/>
          <c:yMode val="edge"/>
          <c:x val="5.3540390784485262E-2"/>
          <c:y val="0.71428383952006003"/>
          <c:w val="0.90217847769028892"/>
          <c:h val="0.261906636670416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25975470205179"/>
          <c:y val="0.13582908663269305"/>
          <c:w val="0.85170325884068199"/>
          <c:h val="0.55713985869367266"/>
        </c:manualLayout>
      </c:layout>
      <c:barChart>
        <c:barDir val="col"/>
        <c:grouping val="stacked"/>
        <c:varyColors val="0"/>
        <c:ser>
          <c:idx val="0"/>
          <c:order val="0"/>
          <c:tx>
            <c:strRef>
              <c:f>Sheet1!$B$1</c:f>
              <c:strCache>
                <c:ptCount val="1"/>
                <c:pt idx="0">
                  <c:v>Buschhaus D</c:v>
                </c:pt>
              </c:strCache>
            </c:strRef>
          </c:tx>
          <c:spPr>
            <a:solidFill>
              <a:schemeClr val="accent1"/>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Sheet1!$B$2:$B$10</c:f>
              <c:numCache>
                <c:formatCode>General</c:formatCode>
                <c:ptCount val="9"/>
                <c:pt idx="0">
                  <c:v>352</c:v>
                </c:pt>
                <c:pt idx="1">
                  <c:v>352</c:v>
                </c:pt>
                <c:pt idx="2">
                  <c:v>352</c:v>
                </c:pt>
                <c:pt idx="3">
                  <c:v>352</c:v>
                </c:pt>
                <c:pt idx="4">
                  <c:v>352</c:v>
                </c:pt>
              </c:numCache>
            </c:numRef>
          </c:val>
          <c:extLst>
            <c:ext xmlns:c16="http://schemas.microsoft.com/office/drawing/2014/chart" uri="{C3380CC4-5D6E-409C-BE32-E72D297353CC}">
              <c16:uniqueId val="{00000000-2A85-4EC8-93C3-B27169056828}"/>
            </c:ext>
          </c:extLst>
        </c:ser>
        <c:ser>
          <c:idx val="1"/>
          <c:order val="1"/>
          <c:tx>
            <c:strRef>
              <c:f>Sheet1!$C$1</c:f>
              <c:strCache>
                <c:ptCount val="1"/>
                <c:pt idx="0">
                  <c:v>Frimmersdorf Q</c:v>
                </c:pt>
              </c:strCache>
            </c:strRef>
          </c:tx>
          <c:spPr>
            <a:solidFill>
              <a:schemeClr val="accent2"/>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Sheet1!$C$2:$C$10</c:f>
              <c:numCache>
                <c:formatCode>General</c:formatCode>
                <c:ptCount val="9"/>
                <c:pt idx="1">
                  <c:v>278</c:v>
                </c:pt>
                <c:pt idx="2">
                  <c:v>278</c:v>
                </c:pt>
                <c:pt idx="3">
                  <c:v>278</c:v>
                </c:pt>
                <c:pt idx="4">
                  <c:v>278</c:v>
                </c:pt>
                <c:pt idx="5">
                  <c:v>278</c:v>
                </c:pt>
              </c:numCache>
            </c:numRef>
          </c:val>
          <c:extLst>
            <c:ext xmlns:c16="http://schemas.microsoft.com/office/drawing/2014/chart" uri="{C3380CC4-5D6E-409C-BE32-E72D297353CC}">
              <c16:uniqueId val="{00000001-2A85-4EC8-93C3-B27169056828}"/>
            </c:ext>
          </c:extLst>
        </c:ser>
        <c:ser>
          <c:idx val="2"/>
          <c:order val="2"/>
          <c:tx>
            <c:strRef>
              <c:f>Sheet1!$D$1</c:f>
              <c:strCache>
                <c:ptCount val="1"/>
                <c:pt idx="0">
                  <c:v>Frimmersdorf P</c:v>
                </c:pt>
              </c:strCache>
            </c:strRef>
          </c:tx>
          <c:spPr>
            <a:solidFill>
              <a:schemeClr val="accent3"/>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Sheet1!$D$2:$D$10</c:f>
              <c:numCache>
                <c:formatCode>General</c:formatCode>
                <c:ptCount val="9"/>
                <c:pt idx="1">
                  <c:v>285</c:v>
                </c:pt>
                <c:pt idx="2">
                  <c:v>285</c:v>
                </c:pt>
                <c:pt idx="3">
                  <c:v>285</c:v>
                </c:pt>
                <c:pt idx="4">
                  <c:v>285</c:v>
                </c:pt>
                <c:pt idx="5">
                  <c:v>285</c:v>
                </c:pt>
              </c:numCache>
            </c:numRef>
          </c:val>
          <c:extLst>
            <c:ext xmlns:c16="http://schemas.microsoft.com/office/drawing/2014/chart" uri="{C3380CC4-5D6E-409C-BE32-E72D297353CC}">
              <c16:uniqueId val="{00000002-2A85-4EC8-93C3-B27169056828}"/>
            </c:ext>
          </c:extLst>
        </c:ser>
        <c:ser>
          <c:idx val="3"/>
          <c:order val="3"/>
          <c:tx>
            <c:strRef>
              <c:f>Sheet1!$E$1</c:f>
              <c:strCache>
                <c:ptCount val="1"/>
                <c:pt idx="0">
                  <c:v>Niederaußem F</c:v>
                </c:pt>
              </c:strCache>
            </c:strRef>
          </c:tx>
          <c:spPr>
            <a:solidFill>
              <a:schemeClr val="accent4"/>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Sheet1!$E$2:$E$10</c:f>
              <c:numCache>
                <c:formatCode>General</c:formatCode>
                <c:ptCount val="9"/>
                <c:pt idx="2">
                  <c:v>299</c:v>
                </c:pt>
                <c:pt idx="3">
                  <c:v>299</c:v>
                </c:pt>
                <c:pt idx="4">
                  <c:v>299</c:v>
                </c:pt>
                <c:pt idx="5">
                  <c:v>299</c:v>
                </c:pt>
                <c:pt idx="6">
                  <c:v>299</c:v>
                </c:pt>
                <c:pt idx="7">
                  <c:v>299</c:v>
                </c:pt>
                <c:pt idx="8">
                  <c:v>299</c:v>
                </c:pt>
              </c:numCache>
            </c:numRef>
          </c:val>
          <c:extLst>
            <c:ext xmlns:c16="http://schemas.microsoft.com/office/drawing/2014/chart" uri="{C3380CC4-5D6E-409C-BE32-E72D297353CC}">
              <c16:uniqueId val="{00000003-2A85-4EC8-93C3-B27169056828}"/>
            </c:ext>
          </c:extLst>
        </c:ser>
        <c:ser>
          <c:idx val="4"/>
          <c:order val="4"/>
          <c:tx>
            <c:strRef>
              <c:f>Sheet1!$F$1</c:f>
              <c:strCache>
                <c:ptCount val="1"/>
                <c:pt idx="0">
                  <c:v>Niederaußem E</c:v>
                </c:pt>
              </c:strCache>
            </c:strRef>
          </c:tx>
          <c:spPr>
            <a:solidFill>
              <a:schemeClr val="accent5"/>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Sheet1!$F$2:$F$10</c:f>
              <c:numCache>
                <c:formatCode>General</c:formatCode>
                <c:ptCount val="9"/>
                <c:pt idx="2">
                  <c:v>295</c:v>
                </c:pt>
                <c:pt idx="3">
                  <c:v>295</c:v>
                </c:pt>
                <c:pt idx="4">
                  <c:v>295</c:v>
                </c:pt>
                <c:pt idx="5">
                  <c:v>295</c:v>
                </c:pt>
                <c:pt idx="6">
                  <c:v>295</c:v>
                </c:pt>
                <c:pt idx="7">
                  <c:v>295</c:v>
                </c:pt>
                <c:pt idx="8">
                  <c:v>295</c:v>
                </c:pt>
              </c:numCache>
            </c:numRef>
          </c:val>
          <c:extLst>
            <c:ext xmlns:c16="http://schemas.microsoft.com/office/drawing/2014/chart" uri="{C3380CC4-5D6E-409C-BE32-E72D297353CC}">
              <c16:uniqueId val="{00000004-2A85-4EC8-93C3-B27169056828}"/>
            </c:ext>
          </c:extLst>
        </c:ser>
        <c:ser>
          <c:idx val="5"/>
          <c:order val="5"/>
          <c:tx>
            <c:strRef>
              <c:f>Sheet1!$G$1</c:f>
              <c:strCache>
                <c:ptCount val="1"/>
                <c:pt idx="0">
                  <c:v>Jänschwalde F</c:v>
                </c:pt>
              </c:strCache>
            </c:strRef>
          </c:tx>
          <c:spPr>
            <a:solidFill>
              <a:schemeClr val="accent6"/>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Sheet1!$G$2:$G$10</c:f>
              <c:numCache>
                <c:formatCode>General</c:formatCode>
                <c:ptCount val="9"/>
                <c:pt idx="2">
                  <c:v>465</c:v>
                </c:pt>
                <c:pt idx="3">
                  <c:v>465</c:v>
                </c:pt>
                <c:pt idx="4">
                  <c:v>465</c:v>
                </c:pt>
                <c:pt idx="5">
                  <c:v>465</c:v>
                </c:pt>
                <c:pt idx="6">
                  <c:v>465</c:v>
                </c:pt>
                <c:pt idx="7">
                  <c:v>465</c:v>
                </c:pt>
                <c:pt idx="8">
                  <c:v>465</c:v>
                </c:pt>
              </c:numCache>
            </c:numRef>
          </c:val>
          <c:extLst>
            <c:ext xmlns:c16="http://schemas.microsoft.com/office/drawing/2014/chart" uri="{C3380CC4-5D6E-409C-BE32-E72D297353CC}">
              <c16:uniqueId val="{00000005-2A85-4EC8-93C3-B27169056828}"/>
            </c:ext>
          </c:extLst>
        </c:ser>
        <c:ser>
          <c:idx val="6"/>
          <c:order val="6"/>
          <c:tx>
            <c:strRef>
              <c:f>Sheet1!$H$1</c:f>
              <c:strCache>
                <c:ptCount val="1"/>
                <c:pt idx="0">
                  <c:v>Jänschwalde E</c:v>
                </c:pt>
              </c:strCache>
            </c:strRef>
          </c:tx>
          <c:spPr>
            <a:solidFill>
              <a:schemeClr val="accent1">
                <a:lumMod val="6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Sheet1!$H$2:$H$10</c:f>
              <c:numCache>
                <c:formatCode>General</c:formatCode>
                <c:ptCount val="9"/>
                <c:pt idx="3">
                  <c:v>465</c:v>
                </c:pt>
                <c:pt idx="4">
                  <c:v>465</c:v>
                </c:pt>
                <c:pt idx="5">
                  <c:v>465</c:v>
                </c:pt>
                <c:pt idx="6">
                  <c:v>465</c:v>
                </c:pt>
                <c:pt idx="7">
                  <c:v>465</c:v>
                </c:pt>
                <c:pt idx="8">
                  <c:v>465</c:v>
                </c:pt>
              </c:numCache>
            </c:numRef>
          </c:val>
          <c:extLst>
            <c:ext xmlns:c16="http://schemas.microsoft.com/office/drawing/2014/chart" uri="{C3380CC4-5D6E-409C-BE32-E72D297353CC}">
              <c16:uniqueId val="{00000006-2A85-4EC8-93C3-B27169056828}"/>
            </c:ext>
          </c:extLst>
        </c:ser>
        <c:ser>
          <c:idx val="7"/>
          <c:order val="7"/>
          <c:tx>
            <c:strRef>
              <c:f>Sheet1!$I$1</c:f>
              <c:strCache>
                <c:ptCount val="1"/>
                <c:pt idx="0">
                  <c:v>Neurath C</c:v>
                </c:pt>
              </c:strCache>
            </c:strRef>
          </c:tx>
          <c:spPr>
            <a:solidFill>
              <a:schemeClr val="accent2">
                <a:lumMod val="6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Sheet1!$I$2:$I$10</c:f>
              <c:numCache>
                <c:formatCode>General</c:formatCode>
                <c:ptCount val="9"/>
                <c:pt idx="3">
                  <c:v>292</c:v>
                </c:pt>
                <c:pt idx="4">
                  <c:v>292</c:v>
                </c:pt>
                <c:pt idx="5">
                  <c:v>292</c:v>
                </c:pt>
                <c:pt idx="6">
                  <c:v>292</c:v>
                </c:pt>
                <c:pt idx="7">
                  <c:v>292</c:v>
                </c:pt>
                <c:pt idx="8">
                  <c:v>292</c:v>
                </c:pt>
              </c:numCache>
            </c:numRef>
          </c:val>
          <c:extLst>
            <c:ext xmlns:c16="http://schemas.microsoft.com/office/drawing/2014/chart" uri="{C3380CC4-5D6E-409C-BE32-E72D297353CC}">
              <c16:uniqueId val="{00000007-2A85-4EC8-93C3-B27169056828}"/>
            </c:ext>
          </c:extLst>
        </c:ser>
        <c:ser>
          <c:idx val="8"/>
          <c:order val="8"/>
          <c:tx>
            <c:strRef>
              <c:f>Sheet1!$J$1</c:f>
              <c:strCache>
                <c:ptCount val="1"/>
                <c:pt idx="0">
                  <c:v>Stratejik Rezerv İhaleleri</c:v>
                </c:pt>
              </c:strCache>
            </c:strRef>
          </c:tx>
          <c:spPr>
            <a:solidFill>
              <a:schemeClr val="accent3">
                <a:lumMod val="6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Sheet1!$J$2:$J$10</c:f>
              <c:numCache>
                <c:formatCode>General</c:formatCode>
                <c:ptCount val="9"/>
                <c:pt idx="4">
                  <c:v>1056</c:v>
                </c:pt>
                <c:pt idx="5">
                  <c:v>1056</c:v>
                </c:pt>
                <c:pt idx="6">
                  <c:v>1086</c:v>
                </c:pt>
                <c:pt idx="7">
                  <c:v>1086</c:v>
                </c:pt>
                <c:pt idx="8">
                  <c:v>1086</c:v>
                </c:pt>
              </c:numCache>
            </c:numRef>
          </c:val>
          <c:extLst>
            <c:ext xmlns:c16="http://schemas.microsoft.com/office/drawing/2014/chart" uri="{C3380CC4-5D6E-409C-BE32-E72D297353CC}">
              <c16:uniqueId val="{00000008-2A85-4EC8-93C3-B27169056828}"/>
            </c:ext>
          </c:extLst>
        </c:ser>
        <c:dLbls>
          <c:showLegendKey val="0"/>
          <c:showVal val="0"/>
          <c:showCatName val="0"/>
          <c:showSerName val="0"/>
          <c:showPercent val="0"/>
          <c:showBubbleSize val="0"/>
        </c:dLbls>
        <c:gapWidth val="150"/>
        <c:overlap val="100"/>
        <c:axId val="343191567"/>
        <c:axId val="334008383"/>
      </c:barChart>
      <c:catAx>
        <c:axId val="343191567"/>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34008383"/>
        <c:crosses val="autoZero"/>
        <c:auto val="1"/>
        <c:lblAlgn val="ctr"/>
        <c:lblOffset val="100"/>
        <c:noMultiLvlLbl val="0"/>
      </c:catAx>
      <c:valAx>
        <c:axId val="334008383"/>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tr-TR" sz="1000" b="1">
                    <a:solidFill>
                      <a:sysClr val="windowText" lastClr="000000"/>
                    </a:solidFill>
                  </a:rPr>
                  <a:t>Kapasite</a:t>
                </a:r>
                <a:r>
                  <a:rPr lang="en-US" sz="1000" b="1">
                    <a:solidFill>
                      <a:sysClr val="windowText" lastClr="000000"/>
                    </a:solidFill>
                  </a:rPr>
                  <a:t> Rezervleri</a:t>
                </a:r>
                <a:r>
                  <a:rPr lang="tr-TR" sz="1000" b="1" baseline="0">
                    <a:solidFill>
                      <a:sysClr val="windowText" lastClr="000000"/>
                    </a:solidFill>
                  </a:rPr>
                  <a:t> (MW)</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3191567"/>
        <c:crosses val="autoZero"/>
        <c:crossBetween val="between"/>
      </c:valAx>
      <c:spPr>
        <a:noFill/>
        <a:ln>
          <a:noFill/>
        </a:ln>
        <a:effectLst/>
      </c:spPr>
    </c:plotArea>
    <c:legend>
      <c:legendPos val="b"/>
      <c:layout>
        <c:manualLayout>
          <c:xMode val="edge"/>
          <c:yMode val="edge"/>
          <c:x val="5.9390348483667262E-2"/>
          <c:y val="0.81293301684996155"/>
          <c:w val="0.89385715655464537"/>
          <c:h val="0.151786700907780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Kömür Kaynaklı Elektrik Üretimi</c:v>
                </c:pt>
              </c:strCache>
            </c:strRef>
          </c:tx>
          <c:spPr>
            <a:solidFill>
              <a:schemeClr val="tx1"/>
            </a:solidFill>
            <a:ln>
              <a:noFill/>
            </a:ln>
            <a:effectLst/>
          </c:spPr>
          <c:invertIfNegative val="0"/>
          <c:dLbls>
            <c:spPr>
              <a:solidFill>
                <a:schemeClr val="tx1"/>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Sheet1!$B$2:$B$13</c:f>
              <c:numCache>
                <c:formatCode>_-* #,##0_-;\-* #,##0_-;_-* "-"??_-;_-@_-</c:formatCode>
                <c:ptCount val="12"/>
                <c:pt idx="0">
                  <c:v>237.29999999999998</c:v>
                </c:pt>
                <c:pt idx="1">
                  <c:v>249.2</c:v>
                </c:pt>
                <c:pt idx="2">
                  <c:v>265.10000000000002</c:v>
                </c:pt>
                <c:pt idx="3">
                  <c:v>256.10000000000002</c:v>
                </c:pt>
                <c:pt idx="4">
                  <c:v>248.6</c:v>
                </c:pt>
                <c:pt idx="5">
                  <c:v>243.60000000000002</c:v>
                </c:pt>
                <c:pt idx="6">
                  <c:v>221.4</c:v>
                </c:pt>
                <c:pt idx="7">
                  <c:v>216.3</c:v>
                </c:pt>
                <c:pt idx="8">
                  <c:v>157.6</c:v>
                </c:pt>
                <c:pt idx="9">
                  <c:v>123.6</c:v>
                </c:pt>
                <c:pt idx="10">
                  <c:v>154.1</c:v>
                </c:pt>
                <c:pt idx="11">
                  <c:v>166.41495674999999</c:v>
                </c:pt>
              </c:numCache>
            </c:numRef>
          </c:val>
          <c:extLst>
            <c:ext xmlns:c16="http://schemas.microsoft.com/office/drawing/2014/chart" uri="{C3380CC4-5D6E-409C-BE32-E72D297353CC}">
              <c16:uniqueId val="{00000000-4993-4D48-AB48-81D63E3C4880}"/>
            </c:ext>
          </c:extLst>
        </c:ser>
        <c:ser>
          <c:idx val="1"/>
          <c:order val="1"/>
          <c:tx>
            <c:strRef>
              <c:f>Sheet1!$C$1</c:f>
              <c:strCache>
                <c:ptCount val="1"/>
                <c:pt idx="0">
                  <c:v>Toplam Elektrik Üretimi</c:v>
                </c:pt>
              </c:strCache>
            </c:strRef>
          </c:tx>
          <c:spPr>
            <a:solidFill>
              <a:schemeClr val="bg1">
                <a:lumMod val="65000"/>
              </a:schemeClr>
            </a:solidFill>
            <a:ln>
              <a:noFill/>
            </a:ln>
            <a:effectLst/>
          </c:spPr>
          <c:invertIfNegative val="0"/>
          <c:dLbls>
            <c:spPr>
              <a:solidFill>
                <a:schemeClr val="bg1">
                  <a:lumMod val="75000"/>
                </a:schemeClr>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Sheet1!$C$2:$C$13</c:f>
              <c:numCache>
                <c:formatCode>_-* #,##0_-;\-* #,##0_-;_-* "-"??_-;_-@_-</c:formatCode>
                <c:ptCount val="12"/>
                <c:pt idx="0">
                  <c:v>564.4</c:v>
                </c:pt>
                <c:pt idx="1">
                  <c:v>576.79999999999995</c:v>
                </c:pt>
                <c:pt idx="2">
                  <c:v>592.6</c:v>
                </c:pt>
                <c:pt idx="3">
                  <c:v>583.29999999999995</c:v>
                </c:pt>
                <c:pt idx="4">
                  <c:v>594.29999999999995</c:v>
                </c:pt>
                <c:pt idx="5">
                  <c:v>600.29999999999995</c:v>
                </c:pt>
                <c:pt idx="6">
                  <c:v>601.4</c:v>
                </c:pt>
                <c:pt idx="7">
                  <c:v>592.29999999999995</c:v>
                </c:pt>
                <c:pt idx="8">
                  <c:v>561.29999999999995</c:v>
                </c:pt>
                <c:pt idx="9">
                  <c:v>530.70000000000005</c:v>
                </c:pt>
                <c:pt idx="10">
                  <c:v>551.29999999999995</c:v>
                </c:pt>
                <c:pt idx="11">
                  <c:v>493.21793299999996</c:v>
                </c:pt>
              </c:numCache>
            </c:numRef>
          </c:val>
          <c:extLst>
            <c:ext xmlns:c16="http://schemas.microsoft.com/office/drawing/2014/chart" uri="{C3380CC4-5D6E-409C-BE32-E72D297353CC}">
              <c16:uniqueId val="{00000001-4993-4D48-AB48-81D63E3C4880}"/>
            </c:ext>
          </c:extLst>
        </c:ser>
        <c:dLbls>
          <c:showLegendKey val="0"/>
          <c:showVal val="0"/>
          <c:showCatName val="0"/>
          <c:showSerName val="0"/>
          <c:showPercent val="0"/>
          <c:showBubbleSize val="0"/>
        </c:dLbls>
        <c:gapWidth val="219"/>
        <c:axId val="271521727"/>
        <c:axId val="1831249455"/>
      </c:barChart>
      <c:lineChart>
        <c:grouping val="standard"/>
        <c:varyColors val="0"/>
        <c:ser>
          <c:idx val="2"/>
          <c:order val="2"/>
          <c:tx>
            <c:strRef>
              <c:f>Sheet1!$D$1</c:f>
              <c:strCache>
                <c:ptCount val="1"/>
                <c:pt idx="0">
                  <c:v>Toplam Elektrik Üretimindeki Kömür Payı</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Sheet1!$D$2:$D$13</c:f>
              <c:numCache>
                <c:formatCode>0%</c:formatCode>
                <c:ptCount val="12"/>
                <c:pt idx="0">
                  <c:v>0.42044649184975191</c:v>
                </c:pt>
                <c:pt idx="1">
                  <c:v>0.43203883495145634</c:v>
                </c:pt>
                <c:pt idx="2">
                  <c:v>0.44735065811677355</c:v>
                </c:pt>
                <c:pt idx="3">
                  <c:v>0.43905366020915487</c:v>
                </c:pt>
                <c:pt idx="4">
                  <c:v>0.41830725222951376</c:v>
                </c:pt>
                <c:pt idx="5">
                  <c:v>0.40579710144927544</c:v>
                </c:pt>
                <c:pt idx="6">
                  <c:v>0.36814100432324576</c:v>
                </c:pt>
                <c:pt idx="7">
                  <c:v>0.36518656086442686</c:v>
                </c:pt>
                <c:pt idx="8">
                  <c:v>0.28077676821663994</c:v>
                </c:pt>
                <c:pt idx="9">
                  <c:v>0.23289994347088747</c:v>
                </c:pt>
                <c:pt idx="10">
                  <c:v>0.27952113187012517</c:v>
                </c:pt>
                <c:pt idx="11">
                  <c:v>0.33740654103507628</c:v>
                </c:pt>
              </c:numCache>
            </c:numRef>
          </c:val>
          <c:smooth val="0"/>
          <c:extLst>
            <c:ext xmlns:c16="http://schemas.microsoft.com/office/drawing/2014/chart" uri="{C3380CC4-5D6E-409C-BE32-E72D297353CC}">
              <c16:uniqueId val="{00000002-4993-4D48-AB48-81D63E3C4880}"/>
            </c:ext>
          </c:extLst>
        </c:ser>
        <c:dLbls>
          <c:showLegendKey val="0"/>
          <c:showVal val="0"/>
          <c:showCatName val="0"/>
          <c:showSerName val="0"/>
          <c:showPercent val="0"/>
          <c:showBubbleSize val="0"/>
        </c:dLbls>
        <c:marker val="1"/>
        <c:smooth val="0"/>
        <c:axId val="164396576"/>
        <c:axId val="81085856"/>
      </c:lineChart>
      <c:catAx>
        <c:axId val="271521727"/>
        <c:scaling>
          <c:orientation val="minMax"/>
        </c:scaling>
        <c:delete val="0"/>
        <c:axPos val="b"/>
        <c:numFmt formatCode="General" sourceLinked="1"/>
        <c:majorTickMark val="out"/>
        <c:minorTickMark val="out"/>
        <c:tickLblPos val="nextTo"/>
        <c:spPr>
          <a:noFill/>
          <a:ln w="6350" cap="flat" cmpd="sng" algn="ctr">
            <a:solidFill>
              <a:schemeClr val="dk1"/>
            </a:solidFill>
            <a:prstDash val="solid"/>
            <a:miter lim="800000"/>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831249455"/>
        <c:crosses val="autoZero"/>
        <c:auto val="1"/>
        <c:lblAlgn val="ctr"/>
        <c:lblOffset val="100"/>
        <c:noMultiLvlLbl val="0"/>
      </c:catAx>
      <c:valAx>
        <c:axId val="1831249455"/>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tr-TR" b="1">
                    <a:solidFill>
                      <a:sysClr val="windowText" lastClr="000000"/>
                    </a:solidFill>
                  </a:rPr>
                  <a:t>Elektrik</a:t>
                </a:r>
                <a:r>
                  <a:rPr lang="tr-TR" b="1" baseline="0">
                    <a:solidFill>
                      <a:sysClr val="windowText" lastClr="000000"/>
                    </a:solidFill>
                  </a:rPr>
                  <a:t> Üretimi (TWh)</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1521727"/>
        <c:crosses val="autoZero"/>
        <c:crossBetween val="between"/>
      </c:valAx>
      <c:valAx>
        <c:axId val="8108585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tr-TR">
                    <a:solidFill>
                      <a:sysClr val="windowText" lastClr="000000"/>
                    </a:solidFill>
                  </a:rPr>
                  <a:t>Kömür</a:t>
                </a:r>
                <a:r>
                  <a:rPr lang="tr-TR" baseline="0">
                    <a:solidFill>
                      <a:sysClr val="windowText" lastClr="000000"/>
                    </a:solidFill>
                  </a:rPr>
                  <a:t> Payı (%)</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4396576"/>
        <c:crosses val="max"/>
        <c:crossBetween val="between"/>
      </c:valAx>
      <c:catAx>
        <c:axId val="164396576"/>
        <c:scaling>
          <c:orientation val="minMax"/>
        </c:scaling>
        <c:delete val="1"/>
        <c:axPos val="b"/>
        <c:numFmt formatCode="General" sourceLinked="1"/>
        <c:majorTickMark val="out"/>
        <c:minorTickMark val="none"/>
        <c:tickLblPos val="nextTo"/>
        <c:crossAx val="81085856"/>
        <c:crosses val="autoZero"/>
        <c:auto val="1"/>
        <c:lblAlgn val="ctr"/>
        <c:lblOffset val="100"/>
        <c:noMultiLvlLbl val="0"/>
      </c:catAx>
      <c:spPr>
        <a:noFill/>
        <a:ln>
          <a:noFill/>
        </a:ln>
        <a:effectLst/>
      </c:spPr>
    </c:plotArea>
    <c:legend>
      <c:legendPos val="b"/>
      <c:layout>
        <c:manualLayout>
          <c:xMode val="edge"/>
          <c:yMode val="edge"/>
          <c:x val="0"/>
          <c:y val="0.84821334833145856"/>
          <c:w val="1"/>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0"/>
          <c:tx>
            <c:strRef>
              <c:f>Sheet1!$D$1</c:f>
              <c:strCache>
                <c:ptCount val="1"/>
                <c:pt idx="0">
                  <c:v> Elektrik Sektöründeki Kömür Kaynaklı Emisyon</c:v>
                </c:pt>
              </c:strCache>
            </c:strRef>
          </c:tx>
          <c:spPr>
            <a:solidFill>
              <a:schemeClr val="tx1">
                <a:lumMod val="75000"/>
                <a:lumOff val="25000"/>
              </a:schemeClr>
            </a:solidFill>
            <a:ln w="25400">
              <a:noFill/>
            </a:ln>
            <a:effectLst>
              <a:outerShdw blurRad="50800" dist="50800" dir="5400000" sx="1000" sy="1000" algn="ctr" rotWithShape="0">
                <a:srgbClr val="000000">
                  <a:alpha val="43137"/>
                </a:srgbClr>
              </a:outerShdw>
            </a:effectLst>
          </c:spPr>
          <c:dLbls>
            <c:dLbl>
              <c:idx val="0"/>
              <c:layout>
                <c:manualLayout>
                  <c:x val="4.6296296296296294E-2"/>
                  <c:y val="-8.3333333333333412E-2"/>
                </c:manualLayout>
              </c:layout>
              <c:tx>
                <c:rich>
                  <a:bodyPr/>
                  <a:lstStyle/>
                  <a:p>
                    <a:fld id="{11C97DB2-2C8C-48F1-BFA6-2937A5B0E6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FF7-44A3-A9C8-5738C7D8EC11}"/>
                </c:ext>
              </c:extLst>
            </c:dLbl>
            <c:dLbl>
              <c:idx val="1"/>
              <c:layout>
                <c:manualLayout>
                  <c:x val="4.3981481481481483E-2"/>
                  <c:y val="-6.7460317460317457E-2"/>
                </c:manualLayout>
              </c:layout>
              <c:tx>
                <c:rich>
                  <a:bodyPr/>
                  <a:lstStyle/>
                  <a:p>
                    <a:fld id="{AE74361A-3BC3-4F83-8B40-F99EA38A61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FF7-44A3-A9C8-5738C7D8EC11}"/>
                </c:ext>
              </c:extLst>
            </c:dLbl>
            <c:dLbl>
              <c:idx val="2"/>
              <c:layout>
                <c:manualLayout>
                  <c:x val="4.6296296296296294E-2"/>
                  <c:y val="-6.3492063492063489E-2"/>
                </c:manualLayout>
              </c:layout>
              <c:tx>
                <c:rich>
                  <a:bodyPr/>
                  <a:lstStyle/>
                  <a:p>
                    <a:fld id="{C986DE75-F757-41FA-9EE8-43820BCF8E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FF7-44A3-A9C8-5738C7D8EC11}"/>
                </c:ext>
              </c:extLst>
            </c:dLbl>
            <c:dLbl>
              <c:idx val="3"/>
              <c:layout>
                <c:manualLayout>
                  <c:x val="4.629629629629621E-2"/>
                  <c:y val="-5.9523809523809521E-2"/>
                </c:manualLayout>
              </c:layout>
              <c:tx>
                <c:rich>
                  <a:bodyPr/>
                  <a:lstStyle/>
                  <a:p>
                    <a:fld id="{89670DCE-76AB-4CF6-B5C2-C8F91B7FB8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FF7-44A3-A9C8-5738C7D8EC11}"/>
                </c:ext>
              </c:extLst>
            </c:dLbl>
            <c:dLbl>
              <c:idx val="4"/>
              <c:layout>
                <c:manualLayout>
                  <c:x val="4.629629629629621E-2"/>
                  <c:y val="-4.3650793650793648E-2"/>
                </c:manualLayout>
              </c:layout>
              <c:tx>
                <c:rich>
                  <a:bodyPr/>
                  <a:lstStyle/>
                  <a:p>
                    <a:fld id="{06DA03E6-C515-4B5D-9299-CCD7AACAB2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FF7-44A3-A9C8-5738C7D8EC11}"/>
                </c:ext>
              </c:extLst>
            </c:dLbl>
            <c:dLbl>
              <c:idx val="5"/>
              <c:layout>
                <c:manualLayout>
                  <c:x val="4.8611111111110938E-2"/>
                  <c:y val="-2.7777777777777776E-2"/>
                </c:manualLayout>
              </c:layout>
              <c:tx>
                <c:rich>
                  <a:bodyPr/>
                  <a:lstStyle/>
                  <a:p>
                    <a:fld id="{01D10617-A17C-4E91-8477-4F3337B2799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FF7-44A3-A9C8-5738C7D8EC11}"/>
                </c:ext>
              </c:extLst>
            </c:dLbl>
            <c:dLbl>
              <c:idx val="6"/>
              <c:layout>
                <c:manualLayout>
                  <c:x val="4.3981481481481483E-2"/>
                  <c:y val="-5.9523809523809666E-2"/>
                </c:manualLayout>
              </c:layout>
              <c:tx>
                <c:rich>
                  <a:bodyPr/>
                  <a:lstStyle/>
                  <a:p>
                    <a:fld id="{3AAE738C-B743-48D9-BB9F-9B55E657A2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FF7-44A3-A9C8-5738C7D8EC11}"/>
                </c:ext>
              </c:extLst>
            </c:dLbl>
            <c:spPr>
              <a:solidFill>
                <a:schemeClr val="bg2">
                  <a:lumMod val="25000"/>
                </a:schemeClr>
              </a:solid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Sheet1!$D$2:$D$8</c:f>
              <c:numCache>
                <c:formatCode>General</c:formatCode>
                <c:ptCount val="7"/>
                <c:pt idx="0">
                  <c:v>260.2</c:v>
                </c:pt>
                <c:pt idx="1">
                  <c:v>248</c:v>
                </c:pt>
                <c:pt idx="2">
                  <c:v>230.29999999999998</c:v>
                </c:pt>
                <c:pt idx="3">
                  <c:v>225.20000000000002</c:v>
                </c:pt>
                <c:pt idx="4">
                  <c:v>164.9</c:v>
                </c:pt>
                <c:pt idx="5">
                  <c:v>130.5</c:v>
                </c:pt>
                <c:pt idx="6">
                  <c:v>160.9</c:v>
                </c:pt>
              </c:numCache>
            </c:numRef>
          </c:val>
          <c:extLst>
            <c:ext xmlns:c15="http://schemas.microsoft.com/office/drawing/2012/chart" uri="{02D57815-91ED-43cb-92C2-25804820EDAC}">
              <c15:datalabelsRange>
                <c15:f>Sheet1!$H$2:$H$8</c15:f>
                <c15:dlblRangeCache>
                  <c:ptCount val="7"/>
                  <c:pt idx="0">
                    <c:v>33%</c:v>
                  </c:pt>
                  <c:pt idx="1">
                    <c:v>31%</c:v>
                  </c:pt>
                  <c:pt idx="2">
                    <c:v>29%</c:v>
                  </c:pt>
                  <c:pt idx="3">
                    <c:v>30%</c:v>
                  </c:pt>
                  <c:pt idx="4">
                    <c:v>23%</c:v>
                  </c:pt>
                  <c:pt idx="5">
                    <c:v>20%</c:v>
                  </c:pt>
                  <c:pt idx="6">
                    <c:v>24%</c:v>
                  </c:pt>
                </c15:dlblRangeCache>
              </c15:datalabelsRange>
            </c:ext>
            <c:ext xmlns:c16="http://schemas.microsoft.com/office/drawing/2014/chart" uri="{C3380CC4-5D6E-409C-BE32-E72D297353CC}">
              <c16:uniqueId val="{00000007-DFF7-44A3-A9C8-5738C7D8EC11}"/>
            </c:ext>
          </c:extLst>
        </c:ser>
        <c:ser>
          <c:idx val="1"/>
          <c:order val="1"/>
          <c:tx>
            <c:strRef>
              <c:f>Sheet1!$C$1</c:f>
              <c:strCache>
                <c:ptCount val="1"/>
                <c:pt idx="0">
                  <c:v>Elektrik Sektörü Emisyonu </c:v>
                </c:pt>
              </c:strCache>
            </c:strRef>
          </c:tx>
          <c:spPr>
            <a:solidFill>
              <a:schemeClr val="bg1">
                <a:lumMod val="65000"/>
              </a:schemeClr>
            </a:solidFill>
            <a:ln>
              <a:noFill/>
            </a:ln>
            <a:effectLst/>
          </c:spPr>
          <c:dLbls>
            <c:dLbl>
              <c:idx val="0"/>
              <c:layout>
                <c:manualLayout>
                  <c:x val="4.6296296296296294E-2"/>
                  <c:y val="-4.7619047619047693E-2"/>
                </c:manualLayout>
              </c:layout>
              <c:tx>
                <c:rich>
                  <a:bodyPr/>
                  <a:lstStyle/>
                  <a:p>
                    <a:fld id="{C99F240F-BDA2-44A7-863D-829CDC2B58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DFF7-44A3-A9C8-5738C7D8EC11}"/>
                </c:ext>
              </c:extLst>
            </c:dLbl>
            <c:dLbl>
              <c:idx val="1"/>
              <c:layout>
                <c:manualLayout>
                  <c:x val="4.3981481481481483E-2"/>
                  <c:y val="-5.1587301587301661E-2"/>
                </c:manualLayout>
              </c:layout>
              <c:tx>
                <c:rich>
                  <a:bodyPr/>
                  <a:lstStyle/>
                  <a:p>
                    <a:fld id="{5355D871-3B73-4D41-A820-382A37F268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DFF7-44A3-A9C8-5738C7D8EC11}"/>
                </c:ext>
              </c:extLst>
            </c:dLbl>
            <c:dLbl>
              <c:idx val="2"/>
              <c:layout>
                <c:manualLayout>
                  <c:x val="4.3981481481481483E-2"/>
                  <c:y val="-5.1587301587301661E-2"/>
                </c:manualLayout>
              </c:layout>
              <c:tx>
                <c:rich>
                  <a:bodyPr/>
                  <a:lstStyle/>
                  <a:p>
                    <a:fld id="{874589F4-4536-40A2-BC8B-84F88E7698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DFF7-44A3-A9C8-5738C7D8EC11}"/>
                </c:ext>
              </c:extLst>
            </c:dLbl>
            <c:dLbl>
              <c:idx val="3"/>
              <c:layout>
                <c:manualLayout>
                  <c:x val="4.6296296296296294E-2"/>
                  <c:y val="-4.3650793650793725E-2"/>
                </c:manualLayout>
              </c:layout>
              <c:tx>
                <c:rich>
                  <a:bodyPr/>
                  <a:lstStyle/>
                  <a:p>
                    <a:fld id="{FBD88050-6F1E-443D-826D-896B39AA21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DFF7-44A3-A9C8-5738C7D8EC11}"/>
                </c:ext>
              </c:extLst>
            </c:dLbl>
            <c:dLbl>
              <c:idx val="4"/>
              <c:layout>
                <c:manualLayout>
                  <c:x val="4.6296296296296294E-2"/>
                  <c:y val="-5.5555555555555629E-2"/>
                </c:manualLayout>
              </c:layout>
              <c:tx>
                <c:rich>
                  <a:bodyPr/>
                  <a:lstStyle/>
                  <a:p>
                    <a:fld id="{9419E575-793F-4BD5-9A82-E09A792833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DFF7-44A3-A9C8-5738C7D8EC11}"/>
                </c:ext>
              </c:extLst>
            </c:dLbl>
            <c:dLbl>
              <c:idx val="5"/>
              <c:layout>
                <c:manualLayout>
                  <c:x val="4.8611111111110938E-2"/>
                  <c:y val="-6.3492063492063641E-2"/>
                </c:manualLayout>
              </c:layout>
              <c:tx>
                <c:rich>
                  <a:bodyPr/>
                  <a:lstStyle/>
                  <a:p>
                    <a:fld id="{8A7EA52F-9162-4682-AE04-D22536E991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DFF7-44A3-A9C8-5738C7D8EC11}"/>
                </c:ext>
              </c:extLst>
            </c:dLbl>
            <c:dLbl>
              <c:idx val="6"/>
              <c:layout>
                <c:manualLayout>
                  <c:x val="4.3981481481481483E-2"/>
                  <c:y val="-4.3650793650793725E-2"/>
                </c:manualLayout>
              </c:layout>
              <c:tx>
                <c:rich>
                  <a:bodyPr/>
                  <a:lstStyle/>
                  <a:p>
                    <a:fld id="{1A9B4203-8D88-4E20-A5C1-23EB8E17BB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DFF7-44A3-A9C8-5738C7D8EC11}"/>
                </c:ext>
              </c:extLst>
            </c:dLbl>
            <c:spPr>
              <a:solidFill>
                <a:schemeClr val="bg1">
                  <a:lumMod val="65000"/>
                </a:schemeClr>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Sheet1!$C$2:$C$8</c:f>
              <c:numCache>
                <c:formatCode>_(* #,##0.00_);_(* \(#,##0.00\);_(* "-"??_);_(@_)</c:formatCode>
                <c:ptCount val="7"/>
                <c:pt idx="0">
                  <c:v>40.900000000000034</c:v>
                </c:pt>
                <c:pt idx="1">
                  <c:v>53.699999999999989</c:v>
                </c:pt>
                <c:pt idx="2">
                  <c:v>55.099999999999994</c:v>
                </c:pt>
                <c:pt idx="3">
                  <c:v>49.599999999999994</c:v>
                </c:pt>
                <c:pt idx="4">
                  <c:v>52.799999999999983</c:v>
                </c:pt>
                <c:pt idx="5">
                  <c:v>46.199999999999989</c:v>
                </c:pt>
                <c:pt idx="6">
                  <c:v>51.5</c:v>
                </c:pt>
              </c:numCache>
            </c:numRef>
          </c:val>
          <c:extLst>
            <c:ext xmlns:c15="http://schemas.microsoft.com/office/drawing/2012/chart" uri="{02D57815-91ED-43cb-92C2-25804820EDAC}">
              <c15:datalabelsRange>
                <c15:f>Sheet1!$I$2:$I$8</c15:f>
                <c15:dlblRangeCache>
                  <c:ptCount val="7"/>
                  <c:pt idx="0">
                    <c:v>38%</c:v>
                  </c:pt>
                  <c:pt idx="1">
                    <c:v>38%</c:v>
                  </c:pt>
                  <c:pt idx="2">
                    <c:v>36%</c:v>
                  </c:pt>
                  <c:pt idx="3">
                    <c:v>36%</c:v>
                  </c:pt>
                  <c:pt idx="4">
                    <c:v>31%</c:v>
                  </c:pt>
                  <c:pt idx="5">
                    <c:v>28%</c:v>
                  </c:pt>
                  <c:pt idx="6">
                    <c:v>31%</c:v>
                  </c:pt>
                </c15:dlblRangeCache>
              </c15:datalabelsRange>
            </c:ext>
            <c:ext xmlns:c16="http://schemas.microsoft.com/office/drawing/2014/chart" uri="{C3380CC4-5D6E-409C-BE32-E72D297353CC}">
              <c16:uniqueId val="{0000000F-DFF7-44A3-A9C8-5738C7D8EC11}"/>
            </c:ext>
          </c:extLst>
        </c:ser>
        <c:dLbls>
          <c:showLegendKey val="0"/>
          <c:showVal val="0"/>
          <c:showCatName val="0"/>
          <c:showSerName val="0"/>
          <c:showPercent val="0"/>
          <c:showBubbleSize val="0"/>
        </c:dLbls>
        <c:axId val="164390080"/>
        <c:axId val="274102351"/>
      </c:areaChart>
      <c:barChart>
        <c:barDir val="col"/>
        <c:grouping val="clustered"/>
        <c:varyColors val="0"/>
        <c:ser>
          <c:idx val="0"/>
          <c:order val="2"/>
          <c:tx>
            <c:strRef>
              <c:f>Sheet1!$B$1</c:f>
              <c:strCache>
                <c:ptCount val="1"/>
                <c:pt idx="0">
                  <c:v>Toplam Emisyon </c:v>
                </c:pt>
              </c:strCache>
            </c:strRef>
          </c:tx>
          <c:spPr>
            <a:solidFill>
              <a:srgbClr val="C00000"/>
            </a:solidFill>
            <a:ln>
              <a:noFill/>
            </a:ln>
            <a:effectLst/>
          </c:spPr>
          <c:invertIfNegative val="0"/>
          <c:dLbls>
            <c:numFmt formatCode="#,##0" sourceLinked="0"/>
            <c:spPr>
              <a:solidFill>
                <a:srgbClr val="C00000"/>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Sheet1!$B$2:$B$8</c:f>
              <c:numCache>
                <c:formatCode>_(* #,##0.00_);_(* \(#,##0.00\);_(* "-"??_);_(@_)</c:formatCode>
                <c:ptCount val="7"/>
                <c:pt idx="0">
                  <c:v>795.5566</c:v>
                </c:pt>
                <c:pt idx="1">
                  <c:v>800.33983999999998</c:v>
                </c:pt>
                <c:pt idx="2">
                  <c:v>785.61644999999999</c:v>
                </c:pt>
                <c:pt idx="3">
                  <c:v>754.40845000000002</c:v>
                </c:pt>
                <c:pt idx="4">
                  <c:v>707.14994999999999</c:v>
                </c:pt>
                <c:pt idx="5">
                  <c:v>639.38106000000005</c:v>
                </c:pt>
                <c:pt idx="6">
                  <c:v>674.75354000000004</c:v>
                </c:pt>
              </c:numCache>
            </c:numRef>
          </c:val>
          <c:extLst>
            <c:ext xmlns:c16="http://schemas.microsoft.com/office/drawing/2014/chart" uri="{C3380CC4-5D6E-409C-BE32-E72D297353CC}">
              <c16:uniqueId val="{00000010-DFF7-44A3-A9C8-5738C7D8EC11}"/>
            </c:ext>
          </c:extLst>
        </c:ser>
        <c:dLbls>
          <c:showLegendKey val="0"/>
          <c:showVal val="0"/>
          <c:showCatName val="0"/>
          <c:showSerName val="0"/>
          <c:showPercent val="0"/>
          <c:showBubbleSize val="0"/>
        </c:dLbls>
        <c:gapWidth val="235"/>
        <c:overlap val="8"/>
        <c:axId val="164390080"/>
        <c:axId val="274102351"/>
      </c:barChart>
      <c:catAx>
        <c:axId val="164390080"/>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74102351"/>
        <c:crosses val="autoZero"/>
        <c:auto val="1"/>
        <c:lblAlgn val="ctr"/>
        <c:lblOffset val="100"/>
        <c:noMultiLvlLbl val="0"/>
      </c:catAx>
      <c:valAx>
        <c:axId val="274102351"/>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tr-TR" b="1">
                    <a:solidFill>
                      <a:sysClr val="windowText" lastClr="000000"/>
                    </a:solidFill>
                  </a:rPr>
                  <a:t>Karbon Emisyonu (mtCO</a:t>
                </a:r>
                <a:r>
                  <a:rPr lang="tr-TR" b="1" baseline="-25000">
                    <a:solidFill>
                      <a:sysClr val="windowText" lastClr="000000"/>
                    </a:solidFill>
                  </a:rPr>
                  <a:t>2</a:t>
                </a:r>
                <a:r>
                  <a:rPr lang="tr-TR" b="1">
                    <a:solidFill>
                      <a:sysClr val="windowText" lastClr="000000"/>
                    </a:solidFill>
                  </a:rPr>
                  <a:t>)</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4390080"/>
        <c:crosses val="autoZero"/>
        <c:crossBetween val="between"/>
      </c:valAx>
      <c:spPr>
        <a:noFill/>
        <a:ln>
          <a:noFill/>
        </a:ln>
        <a:effectLst/>
      </c:spPr>
    </c:plotArea>
    <c:legend>
      <c:legendPos val="b"/>
      <c:layout>
        <c:manualLayout>
          <c:xMode val="edge"/>
          <c:yMode val="edge"/>
          <c:x val="4.5370370370370373E-2"/>
          <c:y val="0.91716222972128481"/>
          <c:w val="0.9"/>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35507100074029"/>
          <c:y val="5.498625343664084E-2"/>
          <c:w val="0.84014065549498618"/>
          <c:h val="0.57421392683325234"/>
        </c:manualLayout>
      </c:layout>
      <c:lineChart>
        <c:grouping val="standard"/>
        <c:varyColors val="0"/>
        <c:ser>
          <c:idx val="2"/>
          <c:order val="0"/>
          <c:tx>
            <c:strRef>
              <c:f>Sheet1!$B$1</c:f>
              <c:strCache>
                <c:ptCount val="1"/>
                <c:pt idx="0">
                  <c:v>Nükleer</c:v>
                </c:pt>
              </c:strCache>
            </c:strRef>
          </c:tx>
          <c:spPr>
            <a:ln w="28575" cap="rnd">
              <a:solidFill>
                <a:schemeClr val="accent3"/>
              </a:solidFill>
              <a:round/>
            </a:ln>
            <a:effectLst/>
          </c:spPr>
          <c:marker>
            <c:symbol val="none"/>
          </c:marker>
          <c:cat>
            <c:strRef>
              <c:f>Sheet1!$A$2:$A$20</c:f>
              <c:strCache>
                <c:ptCount val="19"/>
                <c:pt idx="0">
                  <c:v>T-4 18/19</c:v>
                </c:pt>
                <c:pt idx="1">
                  <c:v>T-4 19/20</c:v>
                </c:pt>
                <c:pt idx="2">
                  <c:v>T-4 20/21</c:v>
                </c:pt>
                <c:pt idx="3">
                  <c:v>TA 16/17</c:v>
                </c:pt>
                <c:pt idx="4">
                  <c:v>EA&amp;TA 17/18</c:v>
                </c:pt>
                <c:pt idx="5">
                  <c:v>T-1 18/19</c:v>
                </c:pt>
                <c:pt idx="6">
                  <c:v>T-4 21/22</c:v>
                </c:pt>
                <c:pt idx="7">
                  <c:v>T-1 19/20</c:v>
                </c:pt>
                <c:pt idx="8">
                  <c:v>T-3 22/23</c:v>
                </c:pt>
                <c:pt idx="9">
                  <c:v>T-1 20/21</c:v>
                </c:pt>
                <c:pt idx="10">
                  <c:v>T-4 23/24</c:v>
                </c:pt>
                <c:pt idx="11">
                  <c:v>T-1 21/22</c:v>
                </c:pt>
                <c:pt idx="12">
                  <c:v>T-4 24/25</c:v>
                </c:pt>
                <c:pt idx="13">
                  <c:v>T-1 22/23</c:v>
                </c:pt>
                <c:pt idx="14">
                  <c:v>T-4 25/26</c:v>
                </c:pt>
                <c:pt idx="15">
                  <c:v>T-1 23/24</c:v>
                </c:pt>
                <c:pt idx="16">
                  <c:v>T-4 26/27</c:v>
                </c:pt>
                <c:pt idx="17">
                  <c:v>T-1 24/25</c:v>
                </c:pt>
                <c:pt idx="18">
                  <c:v>T-4 24/25</c:v>
                </c:pt>
              </c:strCache>
            </c:strRef>
          </c:cat>
          <c:val>
            <c:numRef>
              <c:f>Sheet1!$B$2:$B$20</c:f>
              <c:numCache>
                <c:formatCode>0.0%</c:formatCode>
                <c:ptCount val="19"/>
                <c:pt idx="0">
                  <c:v>0.82389999999999997</c:v>
                </c:pt>
                <c:pt idx="1">
                  <c:v>0.82310000000000005</c:v>
                </c:pt>
                <c:pt idx="2">
                  <c:v>0.84360000000000002</c:v>
                </c:pt>
                <c:pt idx="3">
                  <c:v>0.82310000000000005</c:v>
                </c:pt>
                <c:pt idx="4">
                  <c:v>0.84360000000000002</c:v>
                </c:pt>
                <c:pt idx="5">
                  <c:v>0.85240000000000005</c:v>
                </c:pt>
                <c:pt idx="6">
                  <c:v>0.85240000000000005</c:v>
                </c:pt>
                <c:pt idx="7">
                  <c:v>0.84199999999999997</c:v>
                </c:pt>
                <c:pt idx="8">
                  <c:v>0.81220000000000003</c:v>
                </c:pt>
                <c:pt idx="9">
                  <c:v>0.81220000000000003</c:v>
                </c:pt>
                <c:pt idx="10">
                  <c:v>0.81220000000000003</c:v>
                </c:pt>
                <c:pt idx="11">
                  <c:v>0.81430000000000002</c:v>
                </c:pt>
                <c:pt idx="12">
                  <c:v>0.81430000000000002</c:v>
                </c:pt>
                <c:pt idx="13">
                  <c:v>0.8044</c:v>
                </c:pt>
                <c:pt idx="14">
                  <c:v>0.8044</c:v>
                </c:pt>
                <c:pt idx="15">
                  <c:v>0.78249999999999997</c:v>
                </c:pt>
                <c:pt idx="16">
                  <c:v>0.78249999999999997</c:v>
                </c:pt>
                <c:pt idx="17">
                  <c:v>0.78</c:v>
                </c:pt>
                <c:pt idx="18">
                  <c:v>0.78</c:v>
                </c:pt>
              </c:numCache>
            </c:numRef>
          </c:val>
          <c:smooth val="0"/>
          <c:extLst>
            <c:ext xmlns:c16="http://schemas.microsoft.com/office/drawing/2014/chart" uri="{C3380CC4-5D6E-409C-BE32-E72D297353CC}">
              <c16:uniqueId val="{00000000-706E-481F-A53B-1DD75D09D1B0}"/>
            </c:ext>
          </c:extLst>
        </c:ser>
        <c:ser>
          <c:idx val="0"/>
          <c:order val="1"/>
          <c:tx>
            <c:strRef>
              <c:f>Sheet1!$C$1</c:f>
              <c:strCache>
                <c:ptCount val="1"/>
                <c:pt idx="0">
                  <c:v>Hidro</c:v>
                </c:pt>
              </c:strCache>
            </c:strRef>
          </c:tx>
          <c:spPr>
            <a:ln w="28575" cap="rnd">
              <a:solidFill>
                <a:schemeClr val="accent1"/>
              </a:solidFill>
              <a:round/>
            </a:ln>
            <a:effectLst/>
          </c:spPr>
          <c:marker>
            <c:symbol val="none"/>
          </c:marker>
          <c:cat>
            <c:strRef>
              <c:f>Sheet1!$A$2:$A$20</c:f>
              <c:strCache>
                <c:ptCount val="19"/>
                <c:pt idx="0">
                  <c:v>T-4 18/19</c:v>
                </c:pt>
                <c:pt idx="1">
                  <c:v>T-4 19/20</c:v>
                </c:pt>
                <c:pt idx="2">
                  <c:v>T-4 20/21</c:v>
                </c:pt>
                <c:pt idx="3">
                  <c:v>TA 16/17</c:v>
                </c:pt>
                <c:pt idx="4">
                  <c:v>EA&amp;TA 17/18</c:v>
                </c:pt>
                <c:pt idx="5">
                  <c:v>T-1 18/19</c:v>
                </c:pt>
                <c:pt idx="6">
                  <c:v>T-4 21/22</c:v>
                </c:pt>
                <c:pt idx="7">
                  <c:v>T-1 19/20</c:v>
                </c:pt>
                <c:pt idx="8">
                  <c:v>T-3 22/23</c:v>
                </c:pt>
                <c:pt idx="9">
                  <c:v>T-1 20/21</c:v>
                </c:pt>
                <c:pt idx="10">
                  <c:v>T-4 23/24</c:v>
                </c:pt>
                <c:pt idx="11">
                  <c:v>T-1 21/22</c:v>
                </c:pt>
                <c:pt idx="12">
                  <c:v>T-4 24/25</c:v>
                </c:pt>
                <c:pt idx="13">
                  <c:v>T-1 22/23</c:v>
                </c:pt>
                <c:pt idx="14">
                  <c:v>T-4 25/26</c:v>
                </c:pt>
                <c:pt idx="15">
                  <c:v>T-1 23/24</c:v>
                </c:pt>
                <c:pt idx="16">
                  <c:v>T-4 26/27</c:v>
                </c:pt>
                <c:pt idx="17">
                  <c:v>T-1 24/25</c:v>
                </c:pt>
                <c:pt idx="18">
                  <c:v>T-4 24/25</c:v>
                </c:pt>
              </c:strCache>
            </c:strRef>
          </c:cat>
          <c:val>
            <c:numRef>
              <c:f>Sheet1!$C$2:$C$20</c:f>
              <c:numCache>
                <c:formatCode>0.0%</c:formatCode>
                <c:ptCount val="19"/>
                <c:pt idx="0">
                  <c:v>0.83609999999999995</c:v>
                </c:pt>
                <c:pt idx="1">
                  <c:v>0.84870000000000001</c:v>
                </c:pt>
                <c:pt idx="2">
                  <c:v>0.86160000000000003</c:v>
                </c:pt>
                <c:pt idx="3">
                  <c:v>0.84870000000000001</c:v>
                </c:pt>
                <c:pt idx="4">
                  <c:v>0.86160000000000003</c:v>
                </c:pt>
                <c:pt idx="5">
                  <c:v>0.87919999999999998</c:v>
                </c:pt>
                <c:pt idx="6">
                  <c:v>0.87919999999999998</c:v>
                </c:pt>
                <c:pt idx="7">
                  <c:v>0.90090000000000003</c:v>
                </c:pt>
                <c:pt idx="8">
                  <c:v>0.89649999999999996</c:v>
                </c:pt>
                <c:pt idx="9">
                  <c:v>0.89649999999999996</c:v>
                </c:pt>
                <c:pt idx="10">
                  <c:v>0.89649999999999996</c:v>
                </c:pt>
                <c:pt idx="11">
                  <c:v>0.90990000000000004</c:v>
                </c:pt>
                <c:pt idx="12">
                  <c:v>0.90990000000000004</c:v>
                </c:pt>
                <c:pt idx="13">
                  <c:v>0.91149999999999998</c:v>
                </c:pt>
                <c:pt idx="14">
                  <c:v>0.91149999999999998</c:v>
                </c:pt>
                <c:pt idx="15">
                  <c:v>0.9113</c:v>
                </c:pt>
                <c:pt idx="16">
                  <c:v>0.9113</c:v>
                </c:pt>
                <c:pt idx="17">
                  <c:v>0.91200000000000003</c:v>
                </c:pt>
                <c:pt idx="18">
                  <c:v>0.91200000000000003</c:v>
                </c:pt>
              </c:numCache>
            </c:numRef>
          </c:val>
          <c:smooth val="0"/>
          <c:extLst>
            <c:ext xmlns:c16="http://schemas.microsoft.com/office/drawing/2014/chart" uri="{C3380CC4-5D6E-409C-BE32-E72D297353CC}">
              <c16:uniqueId val="{00000001-706E-481F-A53B-1DD75D09D1B0}"/>
            </c:ext>
          </c:extLst>
        </c:ser>
        <c:ser>
          <c:idx val="3"/>
          <c:order val="2"/>
          <c:tx>
            <c:strRef>
              <c:f>Sheet1!$D$1</c:f>
              <c:strCache>
                <c:ptCount val="1"/>
                <c:pt idx="0">
                  <c:v>DGKÇS</c:v>
                </c:pt>
              </c:strCache>
            </c:strRef>
          </c:tx>
          <c:spPr>
            <a:ln w="28575" cap="rnd">
              <a:solidFill>
                <a:schemeClr val="accent4"/>
              </a:solidFill>
              <a:round/>
            </a:ln>
            <a:effectLst/>
          </c:spPr>
          <c:marker>
            <c:symbol val="none"/>
          </c:marker>
          <c:cat>
            <c:strRef>
              <c:f>Sheet1!$A$2:$A$20</c:f>
              <c:strCache>
                <c:ptCount val="19"/>
                <c:pt idx="0">
                  <c:v>T-4 18/19</c:v>
                </c:pt>
                <c:pt idx="1">
                  <c:v>T-4 19/20</c:v>
                </c:pt>
                <c:pt idx="2">
                  <c:v>T-4 20/21</c:v>
                </c:pt>
                <c:pt idx="3">
                  <c:v>TA 16/17</c:v>
                </c:pt>
                <c:pt idx="4">
                  <c:v>EA&amp;TA 17/18</c:v>
                </c:pt>
                <c:pt idx="5">
                  <c:v>T-1 18/19</c:v>
                </c:pt>
                <c:pt idx="6">
                  <c:v>T-4 21/22</c:v>
                </c:pt>
                <c:pt idx="7">
                  <c:v>T-1 19/20</c:v>
                </c:pt>
                <c:pt idx="8">
                  <c:v>T-3 22/23</c:v>
                </c:pt>
                <c:pt idx="9">
                  <c:v>T-1 20/21</c:v>
                </c:pt>
                <c:pt idx="10">
                  <c:v>T-4 23/24</c:v>
                </c:pt>
                <c:pt idx="11">
                  <c:v>T-1 21/22</c:v>
                </c:pt>
                <c:pt idx="12">
                  <c:v>T-4 24/25</c:v>
                </c:pt>
                <c:pt idx="13">
                  <c:v>T-1 22/23</c:v>
                </c:pt>
                <c:pt idx="14">
                  <c:v>T-4 25/26</c:v>
                </c:pt>
                <c:pt idx="15">
                  <c:v>T-1 23/24</c:v>
                </c:pt>
                <c:pt idx="16">
                  <c:v>T-4 26/27</c:v>
                </c:pt>
                <c:pt idx="17">
                  <c:v>T-1 24/25</c:v>
                </c:pt>
                <c:pt idx="18">
                  <c:v>T-4 24/25</c:v>
                </c:pt>
              </c:strCache>
            </c:strRef>
          </c:cat>
          <c:val>
            <c:numRef>
              <c:f>Sheet1!$D$2:$D$20</c:f>
              <c:numCache>
                <c:formatCode>0.0%</c:formatCode>
                <c:ptCount val="19"/>
                <c:pt idx="0">
                  <c:v>0.88</c:v>
                </c:pt>
                <c:pt idx="1">
                  <c:v>0.89</c:v>
                </c:pt>
                <c:pt idx="2">
                  <c:v>0.9</c:v>
                </c:pt>
                <c:pt idx="3">
                  <c:v>0.89</c:v>
                </c:pt>
                <c:pt idx="4">
                  <c:v>0.876</c:v>
                </c:pt>
                <c:pt idx="5">
                  <c:v>0.88539999999999996</c:v>
                </c:pt>
                <c:pt idx="6">
                  <c:v>0.9</c:v>
                </c:pt>
                <c:pt idx="7">
                  <c:v>0.89049999999999996</c:v>
                </c:pt>
                <c:pt idx="8">
                  <c:v>0.9</c:v>
                </c:pt>
                <c:pt idx="9">
                  <c:v>0.9</c:v>
                </c:pt>
                <c:pt idx="10">
                  <c:v>0.9</c:v>
                </c:pt>
                <c:pt idx="11">
                  <c:v>0.9</c:v>
                </c:pt>
                <c:pt idx="12">
                  <c:v>0.9</c:v>
                </c:pt>
                <c:pt idx="13">
                  <c:v>0.90920000000000001</c:v>
                </c:pt>
                <c:pt idx="14">
                  <c:v>0.90920000000000001</c:v>
                </c:pt>
                <c:pt idx="15">
                  <c:v>0.91339999999999999</c:v>
                </c:pt>
                <c:pt idx="16">
                  <c:v>0.91339999999999999</c:v>
                </c:pt>
                <c:pt idx="17">
                  <c:v>0.91590000000000005</c:v>
                </c:pt>
                <c:pt idx="18">
                  <c:v>0.91590000000000005</c:v>
                </c:pt>
              </c:numCache>
            </c:numRef>
          </c:val>
          <c:smooth val="0"/>
          <c:extLst>
            <c:ext xmlns:c16="http://schemas.microsoft.com/office/drawing/2014/chart" uri="{C3380CC4-5D6E-409C-BE32-E72D297353CC}">
              <c16:uniqueId val="{00000002-706E-481F-A53B-1DD75D09D1B0}"/>
            </c:ext>
          </c:extLst>
        </c:ser>
        <c:ser>
          <c:idx val="1"/>
          <c:order val="3"/>
          <c:tx>
            <c:strRef>
              <c:f>Sheet1!$E$1</c:f>
              <c:strCache>
                <c:ptCount val="1"/>
                <c:pt idx="0">
                  <c:v>Kömür/Biyokütle</c:v>
                </c:pt>
              </c:strCache>
            </c:strRef>
          </c:tx>
          <c:spPr>
            <a:ln w="28575" cap="rnd">
              <a:solidFill>
                <a:schemeClr val="accent2"/>
              </a:solidFill>
              <a:round/>
            </a:ln>
            <a:effectLst/>
          </c:spPr>
          <c:marker>
            <c:symbol val="none"/>
          </c:marker>
          <c:cat>
            <c:strRef>
              <c:f>Sheet1!$A$2:$A$20</c:f>
              <c:strCache>
                <c:ptCount val="19"/>
                <c:pt idx="0">
                  <c:v>T-4 18/19</c:v>
                </c:pt>
                <c:pt idx="1">
                  <c:v>T-4 19/20</c:v>
                </c:pt>
                <c:pt idx="2">
                  <c:v>T-4 20/21</c:v>
                </c:pt>
                <c:pt idx="3">
                  <c:v>TA 16/17</c:v>
                </c:pt>
                <c:pt idx="4">
                  <c:v>EA&amp;TA 17/18</c:v>
                </c:pt>
                <c:pt idx="5">
                  <c:v>T-1 18/19</c:v>
                </c:pt>
                <c:pt idx="6">
                  <c:v>T-4 21/22</c:v>
                </c:pt>
                <c:pt idx="7">
                  <c:v>T-1 19/20</c:v>
                </c:pt>
                <c:pt idx="8">
                  <c:v>T-3 22/23</c:v>
                </c:pt>
                <c:pt idx="9">
                  <c:v>T-1 20/21</c:v>
                </c:pt>
                <c:pt idx="10">
                  <c:v>T-4 23/24</c:v>
                </c:pt>
                <c:pt idx="11">
                  <c:v>T-1 21/22</c:v>
                </c:pt>
                <c:pt idx="12">
                  <c:v>T-4 24/25</c:v>
                </c:pt>
                <c:pt idx="13">
                  <c:v>T-1 22/23</c:v>
                </c:pt>
                <c:pt idx="14">
                  <c:v>T-4 25/26</c:v>
                </c:pt>
                <c:pt idx="15">
                  <c:v>T-1 23/24</c:v>
                </c:pt>
                <c:pt idx="16">
                  <c:v>T-4 26/27</c:v>
                </c:pt>
                <c:pt idx="17">
                  <c:v>T-1 24/25</c:v>
                </c:pt>
                <c:pt idx="18">
                  <c:v>T-4 24/25</c:v>
                </c:pt>
              </c:strCache>
            </c:strRef>
          </c:cat>
          <c:val>
            <c:numRef>
              <c:f>Sheet1!$E$2:$E$20</c:f>
              <c:numCache>
                <c:formatCode>0.0%</c:formatCode>
                <c:ptCount val="19"/>
                <c:pt idx="0">
                  <c:v>0.87639999999999996</c:v>
                </c:pt>
                <c:pt idx="1">
                  <c:v>0.87860000000000005</c:v>
                </c:pt>
                <c:pt idx="2">
                  <c:v>0.86919999999999997</c:v>
                </c:pt>
                <c:pt idx="3">
                  <c:v>0.87860000000000005</c:v>
                </c:pt>
                <c:pt idx="4">
                  <c:v>0.86919999999999997</c:v>
                </c:pt>
                <c:pt idx="5">
                  <c:v>0.87580000000000002</c:v>
                </c:pt>
                <c:pt idx="6">
                  <c:v>0.87580000000000002</c:v>
                </c:pt>
                <c:pt idx="7">
                  <c:v>0.86560000000000004</c:v>
                </c:pt>
                <c:pt idx="8">
                  <c:v>0.85809999999999997</c:v>
                </c:pt>
                <c:pt idx="9">
                  <c:v>0.85809999999999997</c:v>
                </c:pt>
                <c:pt idx="10">
                  <c:v>0.86560000000000004</c:v>
                </c:pt>
                <c:pt idx="11">
                  <c:v>0.84889999999999999</c:v>
                </c:pt>
                <c:pt idx="12">
                  <c:v>0.84889999999999999</c:v>
                </c:pt>
                <c:pt idx="13">
                  <c:v>0.84330000000000005</c:v>
                </c:pt>
                <c:pt idx="14">
                  <c:v>0.84330000000000005</c:v>
                </c:pt>
                <c:pt idx="15">
                  <c:v>0.84199999999999997</c:v>
                </c:pt>
                <c:pt idx="16">
                  <c:v>0.84199999999999997</c:v>
                </c:pt>
                <c:pt idx="17">
                  <c:v>0.88519999999999999</c:v>
                </c:pt>
                <c:pt idx="18">
                  <c:v>0.88519999999999999</c:v>
                </c:pt>
              </c:numCache>
            </c:numRef>
          </c:val>
          <c:smooth val="0"/>
          <c:extLst>
            <c:ext xmlns:c16="http://schemas.microsoft.com/office/drawing/2014/chart" uri="{C3380CC4-5D6E-409C-BE32-E72D297353CC}">
              <c16:uniqueId val="{00000003-706E-481F-A53B-1DD75D09D1B0}"/>
            </c:ext>
          </c:extLst>
        </c:ser>
        <c:ser>
          <c:idx val="4"/>
          <c:order val="4"/>
          <c:tx>
            <c:strRef>
              <c:f>Sheet1!$F$1</c:f>
              <c:strCache>
                <c:ptCount val="1"/>
                <c:pt idx="0">
                  <c:v>Talep Tarafı</c:v>
                </c:pt>
              </c:strCache>
            </c:strRef>
          </c:tx>
          <c:spPr>
            <a:ln w="28575" cap="rnd">
              <a:solidFill>
                <a:schemeClr val="accent2">
                  <a:lumMod val="60000"/>
                  <a:lumOff val="40000"/>
                </a:schemeClr>
              </a:solidFill>
              <a:round/>
            </a:ln>
            <a:effectLst/>
          </c:spPr>
          <c:marker>
            <c:symbol val="none"/>
          </c:marker>
          <c:cat>
            <c:strRef>
              <c:f>Sheet1!$A$2:$A$20</c:f>
              <c:strCache>
                <c:ptCount val="19"/>
                <c:pt idx="0">
                  <c:v>T-4 18/19</c:v>
                </c:pt>
                <c:pt idx="1">
                  <c:v>T-4 19/20</c:v>
                </c:pt>
                <c:pt idx="2">
                  <c:v>T-4 20/21</c:v>
                </c:pt>
                <c:pt idx="3">
                  <c:v>TA 16/17</c:v>
                </c:pt>
                <c:pt idx="4">
                  <c:v>EA&amp;TA 17/18</c:v>
                </c:pt>
                <c:pt idx="5">
                  <c:v>T-1 18/19</c:v>
                </c:pt>
                <c:pt idx="6">
                  <c:v>T-4 21/22</c:v>
                </c:pt>
                <c:pt idx="7">
                  <c:v>T-1 19/20</c:v>
                </c:pt>
                <c:pt idx="8">
                  <c:v>T-3 22/23</c:v>
                </c:pt>
                <c:pt idx="9">
                  <c:v>T-1 20/21</c:v>
                </c:pt>
                <c:pt idx="10">
                  <c:v>T-4 23/24</c:v>
                </c:pt>
                <c:pt idx="11">
                  <c:v>T-1 21/22</c:v>
                </c:pt>
                <c:pt idx="12">
                  <c:v>T-4 24/25</c:v>
                </c:pt>
                <c:pt idx="13">
                  <c:v>T-1 22/23</c:v>
                </c:pt>
                <c:pt idx="14">
                  <c:v>T-4 25/26</c:v>
                </c:pt>
                <c:pt idx="15">
                  <c:v>T-1 23/24</c:v>
                </c:pt>
                <c:pt idx="16">
                  <c:v>T-4 26/27</c:v>
                </c:pt>
                <c:pt idx="17">
                  <c:v>T-1 24/25</c:v>
                </c:pt>
                <c:pt idx="18">
                  <c:v>T-4 24/25</c:v>
                </c:pt>
              </c:strCache>
            </c:strRef>
          </c:cat>
          <c:val>
            <c:numRef>
              <c:f>Sheet1!$F$2:$F$20</c:f>
              <c:numCache>
                <c:formatCode>0.0%</c:formatCode>
                <c:ptCount val="19"/>
                <c:pt idx="0">
                  <c:v>0.89700000000000002</c:v>
                </c:pt>
                <c:pt idx="1">
                  <c:v>0.86799999999999999</c:v>
                </c:pt>
                <c:pt idx="2">
                  <c:v>0.86880000000000002</c:v>
                </c:pt>
                <c:pt idx="3">
                  <c:v>0.86799999999999999</c:v>
                </c:pt>
                <c:pt idx="4">
                  <c:v>0.86880000000000002</c:v>
                </c:pt>
                <c:pt idx="5">
                  <c:v>0.86339999999999995</c:v>
                </c:pt>
                <c:pt idx="6">
                  <c:v>0.86339999999999995</c:v>
                </c:pt>
                <c:pt idx="7">
                  <c:v>0.84279999999999999</c:v>
                </c:pt>
                <c:pt idx="8">
                  <c:v>0.86140000000000005</c:v>
                </c:pt>
                <c:pt idx="9">
                  <c:v>0.86140000000000005</c:v>
                </c:pt>
                <c:pt idx="10">
                  <c:v>0.86140000000000005</c:v>
                </c:pt>
                <c:pt idx="11">
                  <c:v>0.79210000000000003</c:v>
                </c:pt>
                <c:pt idx="12">
                  <c:v>0.79210000000000003</c:v>
                </c:pt>
                <c:pt idx="13">
                  <c:v>0.78449999999999998</c:v>
                </c:pt>
                <c:pt idx="14">
                  <c:v>0.78449999999999998</c:v>
                </c:pt>
                <c:pt idx="15">
                  <c:v>0.71450000000000002</c:v>
                </c:pt>
                <c:pt idx="16">
                  <c:v>0.71450000000000002</c:v>
                </c:pt>
                <c:pt idx="17">
                  <c:v>0.79020000000000001</c:v>
                </c:pt>
                <c:pt idx="18">
                  <c:v>0.79020000000000001</c:v>
                </c:pt>
              </c:numCache>
            </c:numRef>
          </c:val>
          <c:smooth val="0"/>
          <c:extLst>
            <c:ext xmlns:c16="http://schemas.microsoft.com/office/drawing/2014/chart" uri="{C3380CC4-5D6E-409C-BE32-E72D297353CC}">
              <c16:uniqueId val="{00000004-706E-481F-A53B-1DD75D09D1B0}"/>
            </c:ext>
          </c:extLst>
        </c:ser>
        <c:dLbls>
          <c:showLegendKey val="0"/>
          <c:showVal val="0"/>
          <c:showCatName val="0"/>
          <c:showSerName val="0"/>
          <c:showPercent val="0"/>
          <c:showBubbleSize val="0"/>
        </c:dLbls>
        <c:smooth val="0"/>
        <c:axId val="1987913135"/>
        <c:axId val="2066957935"/>
      </c:lineChart>
      <c:catAx>
        <c:axId val="1987913135"/>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6957935"/>
        <c:crosses val="autoZero"/>
        <c:auto val="1"/>
        <c:lblAlgn val="ctr"/>
        <c:lblOffset val="100"/>
        <c:noMultiLvlLbl val="0"/>
      </c:catAx>
      <c:valAx>
        <c:axId val="2066957935"/>
        <c:scaling>
          <c:orientation val="minMax"/>
          <c:min val="0.70000000000000007"/>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tr-TR" b="1"/>
                  <a:t>De</a:t>
                </a:r>
                <a:r>
                  <a:rPr lang="tr-TR" b="1" baseline="0"/>
                  <a:t>-Rating Faktörleri</a:t>
                </a:r>
              </a:p>
              <a:p>
                <a:pPr>
                  <a:defRPr b="1"/>
                </a:pPr>
                <a:r>
                  <a:rPr lang="tr-TR" b="1" baseline="0"/>
                  <a:t>(%)</a:t>
                </a:r>
                <a:endParaRPr lang="en-US" b="1"/>
              </a:p>
            </c:rich>
          </c:tx>
          <c:layout>
            <c:manualLayout>
              <c:xMode val="edge"/>
              <c:yMode val="edge"/>
              <c:x val="2.136752136752137E-3"/>
              <c:y val="0.1034776738886144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913135"/>
        <c:crosses val="autoZero"/>
        <c:crossBetween val="between"/>
      </c:valAx>
      <c:spPr>
        <a:noFill/>
        <a:ln>
          <a:noFill/>
        </a:ln>
        <a:effectLst/>
      </c:spPr>
    </c:plotArea>
    <c:legend>
      <c:legendPos val="b"/>
      <c:layout>
        <c:manualLayout>
          <c:xMode val="edge"/>
          <c:yMode val="edge"/>
          <c:x val="0.11455447876707719"/>
          <c:y val="0.91564549807430029"/>
          <c:w val="0.76661753819234135"/>
          <c:h val="8.43545019256996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Sheet1!$B$1</c:f>
              <c:strCache>
                <c:ptCount val="1"/>
                <c:pt idx="0">
                  <c:v>Depolama</c:v>
                </c:pt>
              </c:strCache>
            </c:strRef>
          </c:tx>
          <c:spPr>
            <a:ln w="28575" cap="rnd">
              <a:solidFill>
                <a:srgbClr val="002060"/>
              </a:solidFill>
              <a:round/>
            </a:ln>
            <a:effectLst/>
          </c:spPr>
          <c:marker>
            <c:symbol val="none"/>
          </c:marker>
          <c:cat>
            <c:strRef>
              <c:f>Sheet1!$A$2:$A$20</c:f>
              <c:strCache>
                <c:ptCount val="19"/>
                <c:pt idx="0">
                  <c:v>T-4 18/19</c:v>
                </c:pt>
                <c:pt idx="1">
                  <c:v>T-4 19/20</c:v>
                </c:pt>
                <c:pt idx="2">
                  <c:v>T-4 20/21</c:v>
                </c:pt>
                <c:pt idx="3">
                  <c:v>TA 16/17</c:v>
                </c:pt>
                <c:pt idx="4">
                  <c:v>EA&amp;TA 17/18</c:v>
                </c:pt>
                <c:pt idx="5">
                  <c:v>T-1 18/19</c:v>
                </c:pt>
                <c:pt idx="6">
                  <c:v>T-4 21/22</c:v>
                </c:pt>
                <c:pt idx="7">
                  <c:v>T-1 19/20</c:v>
                </c:pt>
                <c:pt idx="8">
                  <c:v>T-3 22/23</c:v>
                </c:pt>
                <c:pt idx="9">
                  <c:v>T-1 20/21</c:v>
                </c:pt>
                <c:pt idx="10">
                  <c:v>T-4 23/24</c:v>
                </c:pt>
                <c:pt idx="11">
                  <c:v>T-1 21/22</c:v>
                </c:pt>
                <c:pt idx="12">
                  <c:v>T-4 24/25</c:v>
                </c:pt>
                <c:pt idx="13">
                  <c:v>T-1 22/23</c:v>
                </c:pt>
                <c:pt idx="14">
                  <c:v>T-4 25/26</c:v>
                </c:pt>
                <c:pt idx="15">
                  <c:v>T-1 23/24</c:v>
                </c:pt>
                <c:pt idx="16">
                  <c:v>T-4 26/27</c:v>
                </c:pt>
                <c:pt idx="17">
                  <c:v>T-1 24/25</c:v>
                </c:pt>
                <c:pt idx="18">
                  <c:v>T-4 24/25</c:v>
                </c:pt>
              </c:strCache>
            </c:strRef>
          </c:cat>
          <c:val>
            <c:numRef>
              <c:f>Sheet1!$B$2:$B$20</c:f>
              <c:numCache>
                <c:formatCode>0.0%</c:formatCode>
                <c:ptCount val="19"/>
                <c:pt idx="0">
                  <c:v>0.9738</c:v>
                </c:pt>
                <c:pt idx="1">
                  <c:v>0.96630000000000005</c:v>
                </c:pt>
                <c:pt idx="2">
                  <c:v>0.96289999999999998</c:v>
                </c:pt>
                <c:pt idx="3">
                  <c:v>0.96630000000000005</c:v>
                </c:pt>
                <c:pt idx="4">
                  <c:v>0.96289999999999998</c:v>
                </c:pt>
                <c:pt idx="5">
                  <c:v>0.40410000000000001</c:v>
                </c:pt>
                <c:pt idx="6">
                  <c:v>0.3644</c:v>
                </c:pt>
                <c:pt idx="7">
                  <c:v>0.34210000000000002</c:v>
                </c:pt>
                <c:pt idx="8">
                  <c:v>0.21360000000000001</c:v>
                </c:pt>
                <c:pt idx="9">
                  <c:v>0.247</c:v>
                </c:pt>
                <c:pt idx="10">
                  <c:v>0.20430000000000001</c:v>
                </c:pt>
                <c:pt idx="11">
                  <c:v>0.25319999999999998</c:v>
                </c:pt>
                <c:pt idx="12">
                  <c:v>0.23769999999999999</c:v>
                </c:pt>
                <c:pt idx="13">
                  <c:v>0.25869999999999999</c:v>
                </c:pt>
                <c:pt idx="14">
                  <c:v>0.1996</c:v>
                </c:pt>
                <c:pt idx="15">
                  <c:v>0.186</c:v>
                </c:pt>
                <c:pt idx="16">
                  <c:v>0.1181</c:v>
                </c:pt>
                <c:pt idx="17">
                  <c:v>0.1134</c:v>
                </c:pt>
                <c:pt idx="18">
                  <c:v>7.7399999999999997E-2</c:v>
                </c:pt>
              </c:numCache>
            </c:numRef>
          </c:val>
          <c:smooth val="0"/>
          <c:extLst>
            <c:ext xmlns:c16="http://schemas.microsoft.com/office/drawing/2014/chart" uri="{C3380CC4-5D6E-409C-BE32-E72D297353CC}">
              <c16:uniqueId val="{00000000-3AC5-4178-9506-5CB3C1D52F93}"/>
            </c:ext>
          </c:extLst>
        </c:ser>
        <c:dLbls>
          <c:showLegendKey val="0"/>
          <c:showVal val="0"/>
          <c:showCatName val="0"/>
          <c:showSerName val="0"/>
          <c:showPercent val="0"/>
          <c:showBubbleSize val="0"/>
        </c:dLbls>
        <c:smooth val="0"/>
        <c:axId val="1987913135"/>
        <c:axId val="2066957935"/>
      </c:lineChart>
      <c:catAx>
        <c:axId val="1987913135"/>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6957935"/>
        <c:crosses val="autoZero"/>
        <c:auto val="1"/>
        <c:lblAlgn val="ctr"/>
        <c:lblOffset val="100"/>
        <c:noMultiLvlLbl val="0"/>
      </c:catAx>
      <c:valAx>
        <c:axId val="2066957935"/>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tr-TR" b="1"/>
                  <a:t>De</a:t>
                </a:r>
                <a:r>
                  <a:rPr lang="tr-TR" b="1" baseline="0"/>
                  <a:t>-Rating Faktörleri</a:t>
                </a:r>
              </a:p>
              <a:p>
                <a:pPr>
                  <a:defRPr b="1"/>
                </a:pPr>
                <a:r>
                  <a:rPr lang="tr-TR" b="1" baseline="0"/>
                  <a:t>(%)</a:t>
                </a:r>
                <a:endParaRPr lang="en-US" b="1"/>
              </a:p>
            </c:rich>
          </c:tx>
          <c:layout>
            <c:manualLayout>
              <c:xMode val="edge"/>
              <c:yMode val="edge"/>
              <c:x val="0"/>
              <c:y val="0.137629179834898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913135"/>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Sheet1!$D$1</c:f>
              <c:strCache>
                <c:ptCount val="1"/>
                <c:pt idx="0">
                  <c:v>Denizüstü Rüzgar</c:v>
                </c:pt>
              </c:strCache>
            </c:strRef>
          </c:tx>
          <c:spPr>
            <a:ln w="28575" cap="rnd">
              <a:solidFill>
                <a:schemeClr val="accent5">
                  <a:lumMod val="75000"/>
                </a:schemeClr>
              </a:solidFill>
              <a:round/>
            </a:ln>
            <a:effectLst/>
          </c:spPr>
          <c:marker>
            <c:symbol val="none"/>
          </c:marker>
          <c:dLbls>
            <c:dLbl>
              <c:idx val="8"/>
              <c:layout>
                <c:manualLayout>
                  <c:x val="-1.5669334656024605E-16"/>
                  <c:y val="-5.0942435048395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CA-4CE8-BEEA-4F0ECAF3C0F7}"/>
                </c:ext>
              </c:extLst>
            </c:dLbl>
            <c:numFmt formatCode="0%" sourceLinked="0"/>
            <c:spPr>
              <a:solidFill>
                <a:schemeClr val="accent5">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Sheet1!$A$1:$B$10</c:f>
              <c:multiLvlStrCache>
                <c:ptCount val="10"/>
                <c:lvl>
                  <c:pt idx="0">
                    <c:v> </c:v>
                  </c:pt>
                  <c:pt idx="1">
                    <c:v>T-1 20/21</c:v>
                  </c:pt>
                  <c:pt idx="2">
                    <c:v>T-3 22/23</c:v>
                  </c:pt>
                  <c:pt idx="3">
                    <c:v>T-4 23/24</c:v>
                  </c:pt>
                  <c:pt idx="4">
                    <c:v>T-1 21/22</c:v>
                  </c:pt>
                  <c:pt idx="5">
                    <c:v>T-4 24/25</c:v>
                  </c:pt>
                  <c:pt idx="6">
                    <c:v>T-1 22/23</c:v>
                  </c:pt>
                  <c:pt idx="7">
                    <c:v>T-4 25/26</c:v>
                  </c:pt>
                  <c:pt idx="8">
                    <c:v>T-1 23/24</c:v>
                  </c:pt>
                  <c:pt idx="9">
                    <c:v>T-4 26/27</c:v>
                  </c:pt>
                </c:lvl>
                <c:lvl>
                  <c:pt idx="1">
                    <c:v>2019</c:v>
                  </c:pt>
                  <c:pt idx="4">
                    <c:v>2020</c:v>
                  </c:pt>
                  <c:pt idx="6">
                    <c:v>2021</c:v>
                  </c:pt>
                  <c:pt idx="8">
                    <c:v>2022</c:v>
                  </c:pt>
                </c:lvl>
              </c:multiLvlStrCache>
              <c:extLst/>
            </c:multiLvlStrRef>
          </c:cat>
          <c:val>
            <c:numRef>
              <c:f>Sheet1!$D$1:$D$10</c:f>
              <c:numCache>
                <c:formatCode>0.0%</c:formatCode>
                <c:ptCount val="10"/>
                <c:pt idx="0" formatCode="General">
                  <c:v>0</c:v>
                </c:pt>
                <c:pt idx="1">
                  <c:v>0.14449999999999999</c:v>
                </c:pt>
                <c:pt idx="2">
                  <c:v>0.123</c:v>
                </c:pt>
                <c:pt idx="3">
                  <c:v>0.1055</c:v>
                </c:pt>
                <c:pt idx="4">
                  <c:v>0.1211</c:v>
                </c:pt>
                <c:pt idx="5">
                  <c:v>0.1113</c:v>
                </c:pt>
                <c:pt idx="6">
                  <c:v>0.1133</c:v>
                </c:pt>
                <c:pt idx="7">
                  <c:v>8.5900000000000004E-2</c:v>
                </c:pt>
                <c:pt idx="8">
                  <c:v>0.1133</c:v>
                </c:pt>
                <c:pt idx="9">
                  <c:v>8.3000000000000004E-2</c:v>
                </c:pt>
              </c:numCache>
              <c:extLst/>
            </c:numRef>
          </c:val>
          <c:smooth val="0"/>
          <c:extLst>
            <c:ext xmlns:c16="http://schemas.microsoft.com/office/drawing/2014/chart" uri="{C3380CC4-5D6E-409C-BE32-E72D297353CC}">
              <c16:uniqueId val="{00000001-3CCA-4CE8-BEEA-4F0ECAF3C0F7}"/>
            </c:ext>
          </c:extLst>
        </c:ser>
        <c:ser>
          <c:idx val="0"/>
          <c:order val="1"/>
          <c:tx>
            <c:strRef>
              <c:f>Sheet1!$C$1</c:f>
              <c:strCache>
                <c:ptCount val="1"/>
                <c:pt idx="0">
                  <c:v>Karasal Rüzgar</c:v>
                </c:pt>
              </c:strCache>
            </c:strRef>
          </c:tx>
          <c:spPr>
            <a:ln w="28575" cap="rnd">
              <a:solidFill>
                <a:schemeClr val="accent6">
                  <a:lumMod val="75000"/>
                </a:schemeClr>
              </a:solidFill>
              <a:round/>
            </a:ln>
            <a:effectLst/>
          </c:spPr>
          <c:marker>
            <c:symbol val="none"/>
          </c:marker>
          <c:dLbls>
            <c:dLbl>
              <c:idx val="8"/>
              <c:layout>
                <c:manualLayout>
                  <c:x val="2.136752136752137E-3"/>
                  <c:y val="-9.33933853670340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CA-4CE8-BEEA-4F0ECAF3C0F7}"/>
                </c:ext>
              </c:extLst>
            </c:dLbl>
            <c:numFmt formatCode="0%" sourceLinked="0"/>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Sheet1!$A$1:$B$10</c:f>
              <c:multiLvlStrCache>
                <c:ptCount val="10"/>
                <c:lvl>
                  <c:pt idx="0">
                    <c:v> </c:v>
                  </c:pt>
                  <c:pt idx="1">
                    <c:v>T-1 20/21</c:v>
                  </c:pt>
                  <c:pt idx="2">
                    <c:v>T-3 22/23</c:v>
                  </c:pt>
                  <c:pt idx="3">
                    <c:v>T-4 23/24</c:v>
                  </c:pt>
                  <c:pt idx="4">
                    <c:v>T-1 21/22</c:v>
                  </c:pt>
                  <c:pt idx="5">
                    <c:v>T-4 24/25</c:v>
                  </c:pt>
                  <c:pt idx="6">
                    <c:v>T-1 22/23</c:v>
                  </c:pt>
                  <c:pt idx="7">
                    <c:v>T-4 25/26</c:v>
                  </c:pt>
                  <c:pt idx="8">
                    <c:v>T-1 23/24</c:v>
                  </c:pt>
                  <c:pt idx="9">
                    <c:v>T-4 26/27</c:v>
                  </c:pt>
                </c:lvl>
                <c:lvl>
                  <c:pt idx="1">
                    <c:v>2019</c:v>
                  </c:pt>
                  <c:pt idx="4">
                    <c:v>2020</c:v>
                  </c:pt>
                  <c:pt idx="6">
                    <c:v>2021</c:v>
                  </c:pt>
                  <c:pt idx="8">
                    <c:v>2022</c:v>
                  </c:pt>
                </c:lvl>
              </c:multiLvlStrCache>
              <c:extLst/>
            </c:multiLvlStrRef>
          </c:cat>
          <c:val>
            <c:numRef>
              <c:f>Sheet1!$C$1:$C$10</c:f>
              <c:numCache>
                <c:formatCode>0.0%</c:formatCode>
                <c:ptCount val="10"/>
                <c:pt idx="0" formatCode="General">
                  <c:v>0</c:v>
                </c:pt>
                <c:pt idx="1">
                  <c:v>8.9800000000000005E-2</c:v>
                </c:pt>
                <c:pt idx="2">
                  <c:v>8.2000000000000003E-2</c:v>
                </c:pt>
                <c:pt idx="3">
                  <c:v>7.4200000000000002E-2</c:v>
                </c:pt>
                <c:pt idx="4">
                  <c:v>8.0100000000000005E-2</c:v>
                </c:pt>
                <c:pt idx="5">
                  <c:v>7.8100000000000003E-2</c:v>
                </c:pt>
                <c:pt idx="6">
                  <c:v>7.8100000000000003E-2</c:v>
                </c:pt>
                <c:pt idx="7">
                  <c:v>6.25E-2</c:v>
                </c:pt>
                <c:pt idx="8">
                  <c:v>8.2000000000000003E-2</c:v>
                </c:pt>
                <c:pt idx="9">
                  <c:v>6.7400000000000002E-2</c:v>
                </c:pt>
              </c:numCache>
              <c:extLst/>
            </c:numRef>
          </c:val>
          <c:smooth val="0"/>
          <c:extLst>
            <c:ext xmlns:c16="http://schemas.microsoft.com/office/drawing/2014/chart" uri="{C3380CC4-5D6E-409C-BE32-E72D297353CC}">
              <c16:uniqueId val="{00000003-3CCA-4CE8-BEEA-4F0ECAF3C0F7}"/>
            </c:ext>
          </c:extLst>
        </c:ser>
        <c:ser>
          <c:idx val="3"/>
          <c:order val="2"/>
          <c:tx>
            <c:strRef>
              <c:f>Sheet1!$E$1</c:f>
              <c:strCache>
                <c:ptCount val="1"/>
                <c:pt idx="0">
                  <c:v>Güneş</c:v>
                </c:pt>
              </c:strCache>
            </c:strRef>
          </c:tx>
          <c:spPr>
            <a:ln w="28575" cap="rnd">
              <a:solidFill>
                <a:schemeClr val="accent4"/>
              </a:solidFill>
              <a:round/>
            </a:ln>
            <a:effectLst/>
          </c:spPr>
          <c:marker>
            <c:symbol val="none"/>
          </c:marker>
          <c:dLbls>
            <c:dLbl>
              <c:idx val="8"/>
              <c:layout>
                <c:manualLayout>
                  <c:x val="2.136752136752137E-3"/>
                  <c:y val="4.584819154355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CA-4CE8-BEEA-4F0ECAF3C0F7}"/>
                </c:ext>
              </c:extLst>
            </c:dLbl>
            <c:numFmt formatCode="0%" sourceLinked="0"/>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Sheet1!$A$1:$B$10</c:f>
              <c:multiLvlStrCache>
                <c:ptCount val="10"/>
                <c:lvl>
                  <c:pt idx="0">
                    <c:v> </c:v>
                  </c:pt>
                  <c:pt idx="1">
                    <c:v>T-1 20/21</c:v>
                  </c:pt>
                  <c:pt idx="2">
                    <c:v>T-3 22/23</c:v>
                  </c:pt>
                  <c:pt idx="3">
                    <c:v>T-4 23/24</c:v>
                  </c:pt>
                  <c:pt idx="4">
                    <c:v>T-1 21/22</c:v>
                  </c:pt>
                  <c:pt idx="5">
                    <c:v>T-4 24/25</c:v>
                  </c:pt>
                  <c:pt idx="6">
                    <c:v>T-1 22/23</c:v>
                  </c:pt>
                  <c:pt idx="7">
                    <c:v>T-4 25/26</c:v>
                  </c:pt>
                  <c:pt idx="8">
                    <c:v>T-1 23/24</c:v>
                  </c:pt>
                  <c:pt idx="9">
                    <c:v>T-4 26/27</c:v>
                  </c:pt>
                </c:lvl>
                <c:lvl>
                  <c:pt idx="1">
                    <c:v>2019</c:v>
                  </c:pt>
                  <c:pt idx="4">
                    <c:v>2020</c:v>
                  </c:pt>
                  <c:pt idx="6">
                    <c:v>2021</c:v>
                  </c:pt>
                  <c:pt idx="8">
                    <c:v>2022</c:v>
                  </c:pt>
                </c:lvl>
              </c:multiLvlStrCache>
              <c:extLst/>
            </c:multiLvlStrRef>
          </c:cat>
          <c:val>
            <c:numRef>
              <c:f>Sheet1!$E$1:$E$10</c:f>
              <c:numCache>
                <c:formatCode>0.0%</c:formatCode>
                <c:ptCount val="10"/>
                <c:pt idx="0" formatCode="General">
                  <c:v>0</c:v>
                </c:pt>
                <c:pt idx="1">
                  <c:v>2.3400000000000001E-2</c:v>
                </c:pt>
                <c:pt idx="2">
                  <c:v>3.1300000000000001E-2</c:v>
                </c:pt>
                <c:pt idx="3">
                  <c:v>3.2199999999999999E-2</c:v>
                </c:pt>
                <c:pt idx="4">
                  <c:v>2.5399999999999999E-2</c:v>
                </c:pt>
                <c:pt idx="5">
                  <c:v>2.3400000000000001E-2</c:v>
                </c:pt>
                <c:pt idx="6">
                  <c:v>2.1499999999999998E-2</c:v>
                </c:pt>
                <c:pt idx="7">
                  <c:v>3.32E-2</c:v>
                </c:pt>
                <c:pt idx="8">
                  <c:v>3.32E-2</c:v>
                </c:pt>
                <c:pt idx="9">
                  <c:v>4.9799999999999997E-2</c:v>
                </c:pt>
              </c:numCache>
              <c:extLst/>
            </c:numRef>
          </c:val>
          <c:smooth val="0"/>
          <c:extLst>
            <c:ext xmlns:c16="http://schemas.microsoft.com/office/drawing/2014/chart" uri="{C3380CC4-5D6E-409C-BE32-E72D297353CC}">
              <c16:uniqueId val="{00000005-3CCA-4CE8-BEEA-4F0ECAF3C0F7}"/>
            </c:ext>
          </c:extLst>
        </c:ser>
        <c:dLbls>
          <c:showLegendKey val="0"/>
          <c:showVal val="0"/>
          <c:showCatName val="0"/>
          <c:showSerName val="0"/>
          <c:showPercent val="0"/>
          <c:showBubbleSize val="0"/>
        </c:dLbls>
        <c:smooth val="0"/>
        <c:axId val="1987913135"/>
        <c:axId val="2066957935"/>
      </c:lineChart>
      <c:catAx>
        <c:axId val="1987913135"/>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6957935"/>
        <c:crosses val="autoZero"/>
        <c:auto val="1"/>
        <c:lblAlgn val="ctr"/>
        <c:lblOffset val="100"/>
        <c:noMultiLvlLbl val="0"/>
      </c:catAx>
      <c:valAx>
        <c:axId val="206695793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tr-TR"/>
                  <a:t>De</a:t>
                </a:r>
                <a:r>
                  <a:rPr lang="tr-TR" baseline="0"/>
                  <a:t>-Rating Faktörleri</a:t>
                </a:r>
              </a:p>
              <a:p>
                <a:pPr>
                  <a:defRPr/>
                </a:pPr>
                <a:r>
                  <a:rPr lang="tr-TR"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913135"/>
        <c:crosses val="autoZero"/>
        <c:crossBetween val="between"/>
      </c:valAx>
      <c:spPr>
        <a:noFill/>
        <a:ln>
          <a:noFill/>
        </a:ln>
        <a:effectLst/>
      </c:spPr>
    </c:plotArea>
    <c:legend>
      <c:legendPos val="b"/>
      <c:layout>
        <c:manualLayout>
          <c:xMode val="edge"/>
          <c:yMode val="edge"/>
          <c:x val="0.2714395315970119"/>
          <c:y val="0.91403403917352921"/>
          <c:w val="0.5425910222760616"/>
          <c:h val="8.59659608264708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Sheet1!$B$1</c:f>
              <c:strCache>
                <c:ptCount val="1"/>
                <c:pt idx="0">
                  <c:v>T-4 18/19</c:v>
                </c:pt>
              </c:strCache>
            </c:strRef>
          </c:tx>
          <c:spPr>
            <a:solidFill>
              <a:schemeClr val="accent4"/>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Sheet1!$B$2:$B$26</c:f>
              <c:numCache>
                <c:formatCode>General</c:formatCode>
                <c:ptCount val="25"/>
                <c:pt idx="2" formatCode="_-* #,##0_-;\-* #,##0_-;_-* &quot;-&quot;??_-;_-@_-">
                  <c:v>49258.938000000002</c:v>
                </c:pt>
                <c:pt idx="3" formatCode="_-* #,##0_-;\-* #,##0_-;_-* &quot;-&quot;??_-;_-@_-">
                  <c:v>760.29600000000005</c:v>
                </c:pt>
                <c:pt idx="4" formatCode="_-* #,##0_-;\-* #,##0_-;_-* &quot;-&quot;??_-;_-@_-">
                  <c:v>760.29600000000005</c:v>
                </c:pt>
                <c:pt idx="5" formatCode="_-* #,##0_-;\-* #,##0_-;_-* &quot;-&quot;??_-;_-@_-">
                  <c:v>741.57399999999996</c:v>
                </c:pt>
                <c:pt idx="6" formatCode="_-* #,##0_-;\-* #,##0_-;_-* &quot;-&quot;??_-;_-@_-">
                  <c:v>741.57399999999996</c:v>
                </c:pt>
                <c:pt idx="7" formatCode="_-* #,##0_-;\-* #,##0_-;_-* &quot;-&quot;??_-;_-@_-">
                  <c:v>741.57399999999996</c:v>
                </c:pt>
                <c:pt idx="8" formatCode="_-* #,##0_-;\-* #,##0_-;_-* &quot;-&quot;??_-;_-@_-">
                  <c:v>741.57399999999996</c:v>
                </c:pt>
                <c:pt idx="9" formatCode="_-* #,##0_-;\-* #,##0_-;_-* &quot;-&quot;??_-;_-@_-">
                  <c:v>741.57399999999996</c:v>
                </c:pt>
                <c:pt idx="10" formatCode="_-* #,##0_-;\-* #,##0_-;_-* &quot;-&quot;??_-;_-@_-">
                  <c:v>741.57399999999996</c:v>
                </c:pt>
                <c:pt idx="11" formatCode="_-* #,##0_-;\-* #,##0_-;_-* &quot;-&quot;??_-;_-@_-">
                  <c:v>741.57399999999996</c:v>
                </c:pt>
                <c:pt idx="12" formatCode="_-* #,##0_-;\-* #,##0_-;_-* &quot;-&quot;??_-;_-@_-">
                  <c:v>741.57399999999996</c:v>
                </c:pt>
                <c:pt idx="13" formatCode="_-* #,##0_-;\-* #,##0_-;_-* &quot;-&quot;??_-;_-@_-">
                  <c:v>741.57399999999996</c:v>
                </c:pt>
                <c:pt idx="14" formatCode="_-* #,##0_-;\-* #,##0_-;_-* &quot;-&quot;??_-;_-@_-">
                  <c:v>741.57399999999996</c:v>
                </c:pt>
                <c:pt idx="15" formatCode="_-* #,##0_-;\-* #,##0_-;_-* &quot;-&quot;??_-;_-@_-">
                  <c:v>741.57399999999996</c:v>
                </c:pt>
                <c:pt idx="16" formatCode="_-* #,##0_-;\-* #,##0_-;_-* &quot;-&quot;??_-;_-@_-">
                  <c:v>709.28200000000004</c:v>
                </c:pt>
              </c:numCache>
            </c:numRef>
          </c:val>
          <c:extLst>
            <c:ext xmlns:c16="http://schemas.microsoft.com/office/drawing/2014/chart" uri="{C3380CC4-5D6E-409C-BE32-E72D297353CC}">
              <c16:uniqueId val="{00000000-2F90-4727-8785-0211EF9E563B}"/>
            </c:ext>
          </c:extLst>
        </c:ser>
        <c:ser>
          <c:idx val="4"/>
          <c:order val="1"/>
          <c:tx>
            <c:strRef>
              <c:f>Sheet1!$C$1</c:f>
              <c:strCache>
                <c:ptCount val="1"/>
                <c:pt idx="0">
                  <c:v>T-4 19/20</c:v>
                </c:pt>
              </c:strCache>
            </c:strRef>
          </c:tx>
          <c:spPr>
            <a:solidFill>
              <a:schemeClr val="accent5"/>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Sheet1!$C$2:$C$26</c:f>
              <c:numCache>
                <c:formatCode>General</c:formatCode>
                <c:ptCount val="25"/>
                <c:pt idx="3" formatCode="_-* #,##0_-;\-* #,##0_-;_-* &quot;-&quot;??_-;_-@_-">
                  <c:v>46353.569000000003</c:v>
                </c:pt>
                <c:pt idx="4" formatCode="_-* #,##0_-;\-* #,##0_-;_-* &quot;-&quot;??_-;_-@_-">
                  <c:v>870.73699999999997</c:v>
                </c:pt>
                <c:pt idx="5" formatCode="_-* #,##0_-;\-* #,##0_-;_-* &quot;-&quot;??_-;_-@_-">
                  <c:v>870.73699999999997</c:v>
                </c:pt>
                <c:pt idx="6" formatCode="_-* #,##0_-;\-* #,##0_-;_-* &quot;-&quot;??_-;_-@_-">
                  <c:v>870.73699999999997</c:v>
                </c:pt>
                <c:pt idx="7" formatCode="_-* #,##0_-;\-* #,##0_-;_-* &quot;-&quot;??_-;_-@_-">
                  <c:v>870.73699999999997</c:v>
                </c:pt>
                <c:pt idx="8" formatCode="_-* #,##0_-;\-* #,##0_-;_-* &quot;-&quot;??_-;_-@_-">
                  <c:v>870.73699999999997</c:v>
                </c:pt>
                <c:pt idx="9" formatCode="_-* #,##0_-;\-* #,##0_-;_-* &quot;-&quot;??_-;_-@_-">
                  <c:v>870.73699999999997</c:v>
                </c:pt>
                <c:pt idx="10" formatCode="_-* #,##0_-;\-* #,##0_-;_-* &quot;-&quot;??_-;_-@_-">
                  <c:v>870.73699999999997</c:v>
                </c:pt>
                <c:pt idx="11" formatCode="_-* #,##0_-;\-* #,##0_-;_-* &quot;-&quot;??_-;_-@_-">
                  <c:v>870.73699999999997</c:v>
                </c:pt>
                <c:pt idx="12" formatCode="_-* #,##0_-;\-* #,##0_-;_-* &quot;-&quot;??_-;_-@_-">
                  <c:v>870.73699999999997</c:v>
                </c:pt>
                <c:pt idx="13" formatCode="_-* #,##0_-;\-* #,##0_-;_-* &quot;-&quot;??_-;_-@_-">
                  <c:v>870.73699999999997</c:v>
                </c:pt>
                <c:pt idx="14" formatCode="_-* #,##0_-;\-* #,##0_-;_-* &quot;-&quot;??_-;_-@_-">
                  <c:v>870.73699999999997</c:v>
                </c:pt>
                <c:pt idx="15" formatCode="_-* #,##0_-;\-* #,##0_-;_-* &quot;-&quot;??_-;_-@_-">
                  <c:v>870.73699999999997</c:v>
                </c:pt>
                <c:pt idx="16" formatCode="_-* #,##0_-;\-* #,##0_-;_-* &quot;-&quot;??_-;_-@_-">
                  <c:v>870.73699999999997</c:v>
                </c:pt>
                <c:pt idx="17" formatCode="_-* #,##0_-;\-* #,##0_-;_-* &quot;-&quot;??_-;_-@_-">
                  <c:v>857.81700000000001</c:v>
                </c:pt>
              </c:numCache>
            </c:numRef>
          </c:val>
          <c:extLst>
            <c:ext xmlns:c16="http://schemas.microsoft.com/office/drawing/2014/chart" uri="{C3380CC4-5D6E-409C-BE32-E72D297353CC}">
              <c16:uniqueId val="{00000001-2F90-4727-8785-0211EF9E563B}"/>
            </c:ext>
          </c:extLst>
        </c:ser>
        <c:ser>
          <c:idx val="5"/>
          <c:order val="2"/>
          <c:tx>
            <c:strRef>
              <c:f>Sheet1!$D$1</c:f>
              <c:strCache>
                <c:ptCount val="1"/>
                <c:pt idx="0">
                  <c:v>T-4 20/21</c:v>
                </c:pt>
              </c:strCache>
            </c:strRef>
          </c:tx>
          <c:spPr>
            <a:solidFill>
              <a:schemeClr val="accent6"/>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Sheet1!$D$2:$D$26</c:f>
              <c:numCache>
                <c:formatCode>General</c:formatCode>
                <c:ptCount val="25"/>
                <c:pt idx="4" formatCode="_-* #,##0_-;\-* #,##0_-;_-* &quot;-&quot;??_-;_-@_-">
                  <c:v>52425.302000000003</c:v>
                </c:pt>
                <c:pt idx="5" formatCode="_-* #,##0_-;\-* #,##0_-;_-* &quot;-&quot;??_-;_-@_-">
                  <c:v>2640.509</c:v>
                </c:pt>
                <c:pt idx="6" formatCode="_-* #,##0_-;\-* #,##0_-;_-* &quot;-&quot;??_-;_-@_-">
                  <c:v>2640.509</c:v>
                </c:pt>
                <c:pt idx="7" formatCode="_-* #,##0_-;\-* #,##0_-;_-* &quot;-&quot;??_-;_-@_-">
                  <c:v>2640.509</c:v>
                </c:pt>
                <c:pt idx="8" formatCode="_-* #,##0_-;\-* #,##0_-;_-* &quot;-&quot;??_-;_-@_-">
                  <c:v>2640.509</c:v>
                </c:pt>
                <c:pt idx="9" formatCode="_-* #,##0_-;\-* #,##0_-;_-* &quot;-&quot;??_-;_-@_-">
                  <c:v>2640.509</c:v>
                </c:pt>
                <c:pt idx="10" formatCode="_-* #,##0_-;\-* #,##0_-;_-* &quot;-&quot;??_-;_-@_-">
                  <c:v>2640.509</c:v>
                </c:pt>
                <c:pt idx="11" formatCode="_-* #,##0_-;\-* #,##0_-;_-* &quot;-&quot;??_-;_-@_-">
                  <c:v>2640.509</c:v>
                </c:pt>
                <c:pt idx="12" formatCode="_-* #,##0_-;\-* #,##0_-;_-* &quot;-&quot;??_-;_-@_-">
                  <c:v>2640.509</c:v>
                </c:pt>
                <c:pt idx="13" formatCode="_-* #,##0_-;\-* #,##0_-;_-* &quot;-&quot;??_-;_-@_-">
                  <c:v>2640.509</c:v>
                </c:pt>
                <c:pt idx="14" formatCode="_-* #,##0_-;\-* #,##0_-;_-* &quot;-&quot;??_-;_-@_-">
                  <c:v>2640.509</c:v>
                </c:pt>
                <c:pt idx="15" formatCode="_-* #,##0_-;\-* #,##0_-;_-* &quot;-&quot;??_-;_-@_-">
                  <c:v>2640.509</c:v>
                </c:pt>
                <c:pt idx="16" formatCode="_-* #,##0_-;\-* #,##0_-;_-* &quot;-&quot;??_-;_-@_-">
                  <c:v>2607.1120000000001</c:v>
                </c:pt>
                <c:pt idx="17" formatCode="_-* #,##0_-;\-* #,##0_-;_-* &quot;-&quot;??_-;_-@_-">
                  <c:v>2607.1120000000001</c:v>
                </c:pt>
                <c:pt idx="18" formatCode="_-* #,##0_-;\-* #,##0_-;_-* &quot;-&quot;??_-;_-@_-">
                  <c:v>2607.1120000000001</c:v>
                </c:pt>
              </c:numCache>
            </c:numRef>
          </c:val>
          <c:extLst>
            <c:ext xmlns:c16="http://schemas.microsoft.com/office/drawing/2014/chart" uri="{C3380CC4-5D6E-409C-BE32-E72D297353CC}">
              <c16:uniqueId val="{00000002-2F90-4727-8785-0211EF9E563B}"/>
            </c:ext>
          </c:extLst>
        </c:ser>
        <c:ser>
          <c:idx val="6"/>
          <c:order val="3"/>
          <c:tx>
            <c:strRef>
              <c:f>Sheet1!$E$1</c:f>
              <c:strCache>
                <c:ptCount val="1"/>
                <c:pt idx="0">
                  <c:v>TA 16/17</c:v>
                </c:pt>
              </c:strCache>
            </c:strRef>
          </c:tx>
          <c:spPr>
            <a:solidFill>
              <a:schemeClr val="accent1">
                <a:lumMod val="6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Sheet1!$E$2:$E$26</c:f>
              <c:numCache>
                <c:formatCode>General</c:formatCode>
                <c:ptCount val="25"/>
                <c:pt idx="0" formatCode="_-* #,##0_-;\-* #,##0_-;_-* &quot;-&quot;??_-;_-@_-">
                  <c:v>802.71</c:v>
                </c:pt>
              </c:numCache>
            </c:numRef>
          </c:val>
          <c:extLst>
            <c:ext xmlns:c16="http://schemas.microsoft.com/office/drawing/2014/chart" uri="{C3380CC4-5D6E-409C-BE32-E72D297353CC}">
              <c16:uniqueId val="{00000003-2F90-4727-8785-0211EF9E563B}"/>
            </c:ext>
          </c:extLst>
        </c:ser>
        <c:ser>
          <c:idx val="7"/>
          <c:order val="4"/>
          <c:tx>
            <c:strRef>
              <c:f>Sheet1!$F$1</c:f>
              <c:strCache>
                <c:ptCount val="1"/>
                <c:pt idx="0">
                  <c:v>EA&amp;TA 17/18</c:v>
                </c:pt>
              </c:strCache>
            </c:strRef>
          </c:tx>
          <c:spPr>
            <a:solidFill>
              <a:schemeClr val="accent2">
                <a:lumMod val="6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Sheet1!$F$2:$F$26</c:f>
              <c:numCache>
                <c:formatCode>#,##0.00</c:formatCode>
                <c:ptCount val="25"/>
                <c:pt idx="1">
                  <c:v>54745.805</c:v>
                </c:pt>
              </c:numCache>
            </c:numRef>
          </c:val>
          <c:extLst>
            <c:ext xmlns:c16="http://schemas.microsoft.com/office/drawing/2014/chart" uri="{C3380CC4-5D6E-409C-BE32-E72D297353CC}">
              <c16:uniqueId val="{00000004-2F90-4727-8785-0211EF9E563B}"/>
            </c:ext>
          </c:extLst>
        </c:ser>
        <c:ser>
          <c:idx val="8"/>
          <c:order val="5"/>
          <c:tx>
            <c:strRef>
              <c:f>Sheet1!$G$1</c:f>
              <c:strCache>
                <c:ptCount val="1"/>
                <c:pt idx="0">
                  <c:v>T-1 18/19</c:v>
                </c:pt>
              </c:strCache>
            </c:strRef>
          </c:tx>
          <c:spPr>
            <a:solidFill>
              <a:schemeClr val="accent3">
                <a:lumMod val="6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Sheet1!$G$2:$G$26</c:f>
              <c:numCache>
                <c:formatCode>General</c:formatCode>
                <c:ptCount val="25"/>
                <c:pt idx="2" formatCode="_-* #,##0_-;\-* #,##0_-;_-* &quot;-&quot;??_-;_-@_-">
                  <c:v>5798.2139999999999</c:v>
                </c:pt>
              </c:numCache>
            </c:numRef>
          </c:val>
          <c:extLst>
            <c:ext xmlns:c16="http://schemas.microsoft.com/office/drawing/2014/chart" uri="{C3380CC4-5D6E-409C-BE32-E72D297353CC}">
              <c16:uniqueId val="{00000005-2F90-4727-8785-0211EF9E563B}"/>
            </c:ext>
          </c:extLst>
        </c:ser>
        <c:ser>
          <c:idx val="9"/>
          <c:order val="6"/>
          <c:tx>
            <c:strRef>
              <c:f>Sheet1!$H$1</c:f>
              <c:strCache>
                <c:ptCount val="1"/>
                <c:pt idx="0">
                  <c:v>T-4 21/22</c:v>
                </c:pt>
              </c:strCache>
            </c:strRef>
          </c:tx>
          <c:spPr>
            <a:solidFill>
              <a:schemeClr val="accent4">
                <a:lumMod val="6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Sheet1!$H$2:$H$26</c:f>
              <c:numCache>
                <c:formatCode>General</c:formatCode>
                <c:ptCount val="25"/>
                <c:pt idx="5" formatCode="#,##0.00">
                  <c:v>50415.402999999998</c:v>
                </c:pt>
                <c:pt idx="6" formatCode="_-* #,##0_-;\-* #,##0_-;_-* &quot;-&quot;??_-;_-@_-">
                  <c:v>659.18399999999997</c:v>
                </c:pt>
                <c:pt idx="7" formatCode="_-* #,##0_-;\-* #,##0_-;_-* &quot;-&quot;??_-;_-@_-">
                  <c:v>659.18399999999997</c:v>
                </c:pt>
                <c:pt idx="8" formatCode="_-* #,##0_-;\-* #,##0_-;_-* &quot;-&quot;??_-;_-@_-">
                  <c:v>651.96900000000005</c:v>
                </c:pt>
                <c:pt idx="9" formatCode="_-* #,##0_-;\-* #,##0_-;_-* &quot;-&quot;??_-;_-@_-">
                  <c:v>651.24</c:v>
                </c:pt>
                <c:pt idx="10" formatCode="_-* #,##0_-;\-* #,##0_-;_-* &quot;-&quot;??_-;_-@_-">
                  <c:v>651.24</c:v>
                </c:pt>
                <c:pt idx="11" formatCode="_-* #,##0_-;\-* #,##0_-;_-* &quot;-&quot;??_-;_-@_-">
                  <c:v>651.24</c:v>
                </c:pt>
                <c:pt idx="12" formatCode="_-* #,##0_-;\-* #,##0_-;_-* &quot;-&quot;??_-;_-@_-">
                  <c:v>651.24</c:v>
                </c:pt>
                <c:pt idx="13" formatCode="_-* #,##0_-;\-* #,##0_-;_-* &quot;-&quot;??_-;_-@_-">
                  <c:v>651.24</c:v>
                </c:pt>
                <c:pt idx="14" formatCode="_-* #,##0_-;\-* #,##0_-;_-* &quot;-&quot;??_-;_-@_-">
                  <c:v>651.24</c:v>
                </c:pt>
                <c:pt idx="15" formatCode="_-* #,##0_-;\-* #,##0_-;_-* &quot;-&quot;??_-;_-@_-">
                  <c:v>651.24</c:v>
                </c:pt>
                <c:pt idx="16" formatCode="_-* #,##0_-;\-* #,##0_-;_-* &quot;-&quot;??_-;_-@_-">
                  <c:v>651.24</c:v>
                </c:pt>
                <c:pt idx="17" formatCode="_-* #,##0_-;\-* #,##0_-;_-* &quot;-&quot;??_-;_-@_-">
                  <c:v>649.63</c:v>
                </c:pt>
                <c:pt idx="18" formatCode="_-* #,##0_-;\-* #,##0_-;_-* &quot;-&quot;??_-;_-@_-">
                  <c:v>649.63</c:v>
                </c:pt>
                <c:pt idx="19" formatCode="_-* #,##0_-;\-* #,##0_-;_-* &quot;-&quot;??_-;_-@_-">
                  <c:v>641.48800000000006</c:v>
                </c:pt>
              </c:numCache>
            </c:numRef>
          </c:val>
          <c:extLst>
            <c:ext xmlns:c16="http://schemas.microsoft.com/office/drawing/2014/chart" uri="{C3380CC4-5D6E-409C-BE32-E72D297353CC}">
              <c16:uniqueId val="{00000006-2F90-4727-8785-0211EF9E563B}"/>
            </c:ext>
          </c:extLst>
        </c:ser>
        <c:ser>
          <c:idx val="10"/>
          <c:order val="7"/>
          <c:tx>
            <c:strRef>
              <c:f>Sheet1!$I$1</c:f>
              <c:strCache>
                <c:ptCount val="1"/>
                <c:pt idx="0">
                  <c:v>T-1 19/20</c:v>
                </c:pt>
              </c:strCache>
            </c:strRef>
          </c:tx>
          <c:spPr>
            <a:solidFill>
              <a:schemeClr val="accent5">
                <a:lumMod val="6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Sheet1!$I$2:$I$26</c:f>
              <c:numCache>
                <c:formatCode>General</c:formatCode>
                <c:ptCount val="25"/>
                <c:pt idx="3" formatCode="_-* #,##0_-;\-* #,##0_-;_-* &quot;-&quot;??_-;_-@_-">
                  <c:v>3626.1959999999999</c:v>
                </c:pt>
              </c:numCache>
            </c:numRef>
          </c:val>
          <c:extLst>
            <c:ext xmlns:c16="http://schemas.microsoft.com/office/drawing/2014/chart" uri="{C3380CC4-5D6E-409C-BE32-E72D297353CC}">
              <c16:uniqueId val="{00000007-2F90-4727-8785-0211EF9E563B}"/>
            </c:ext>
          </c:extLst>
        </c:ser>
        <c:ser>
          <c:idx val="11"/>
          <c:order val="8"/>
          <c:tx>
            <c:strRef>
              <c:f>Sheet1!$J$1</c:f>
              <c:strCache>
                <c:ptCount val="1"/>
                <c:pt idx="0">
                  <c:v>T-3 22/23</c:v>
                </c:pt>
              </c:strCache>
            </c:strRef>
          </c:tx>
          <c:spPr>
            <a:solidFill>
              <a:schemeClr val="accent6">
                <a:lumMod val="6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Sheet1!$J$2:$J$26</c:f>
              <c:numCache>
                <c:formatCode>General</c:formatCode>
                <c:ptCount val="25"/>
                <c:pt idx="6" formatCode="_-* #,##0_-;\-* #,##0_-;_-* &quot;-&quot;??_-;_-@_-">
                  <c:v>45058.832000000002</c:v>
                </c:pt>
                <c:pt idx="7" formatCode="_-* #,##0_-;\-* #,##0_-;_-* &quot;-&quot;??_-;_-@_-">
                  <c:v>214.98400000000001</c:v>
                </c:pt>
                <c:pt idx="8" formatCode="_-* #,##0_-;\-* #,##0_-;_-* &quot;-&quot;??_-;_-@_-">
                  <c:v>214.98400000000001</c:v>
                </c:pt>
                <c:pt idx="9" formatCode="_-* #,##0_-;\-* #,##0_-;_-* &quot;-&quot;??_-;_-@_-">
                  <c:v>212.083</c:v>
                </c:pt>
                <c:pt idx="10" formatCode="_-* #,##0_-;\-* #,##0_-;_-* &quot;-&quot;??_-;_-@_-">
                  <c:v>212.083</c:v>
                </c:pt>
                <c:pt idx="11" formatCode="_-* #,##0_-;\-* #,##0_-;_-* &quot;-&quot;??_-;_-@_-">
                  <c:v>212.083</c:v>
                </c:pt>
                <c:pt idx="12" formatCode="_-* #,##0_-;\-* #,##0_-;_-* &quot;-&quot;??_-;_-@_-">
                  <c:v>212.083</c:v>
                </c:pt>
                <c:pt idx="13" formatCode="_-* #,##0_-;\-* #,##0_-;_-* &quot;-&quot;??_-;_-@_-">
                  <c:v>212.083</c:v>
                </c:pt>
                <c:pt idx="14" formatCode="_-* #,##0_-;\-* #,##0_-;_-* &quot;-&quot;??_-;_-@_-">
                  <c:v>212.083</c:v>
                </c:pt>
                <c:pt idx="15" formatCode="_-* #,##0_-;\-* #,##0_-;_-* &quot;-&quot;??_-;_-@_-">
                  <c:v>212.083</c:v>
                </c:pt>
                <c:pt idx="16" formatCode="_-* #,##0_-;\-* #,##0_-;_-* &quot;-&quot;??_-;_-@_-">
                  <c:v>212.083</c:v>
                </c:pt>
                <c:pt idx="17" formatCode="_-* #,##0_-;\-* #,##0_-;_-* &quot;-&quot;??_-;_-@_-">
                  <c:v>212.083</c:v>
                </c:pt>
                <c:pt idx="18" formatCode="_-* #,##0_-;\-* #,##0_-;_-* &quot;-&quot;??_-;_-@_-">
                  <c:v>208.114</c:v>
                </c:pt>
                <c:pt idx="19" formatCode="_-* #,##0_-;\-* #,##0_-;_-* &quot;-&quot;??_-;_-@_-">
                  <c:v>208.114</c:v>
                </c:pt>
                <c:pt idx="20" formatCode="_-* #,##0_-;\-* #,##0_-;_-* &quot;-&quot;??_-;_-@_-">
                  <c:v>208.114</c:v>
                </c:pt>
              </c:numCache>
            </c:numRef>
          </c:val>
          <c:extLst>
            <c:ext xmlns:c16="http://schemas.microsoft.com/office/drawing/2014/chart" uri="{C3380CC4-5D6E-409C-BE32-E72D297353CC}">
              <c16:uniqueId val="{00000008-2F90-4727-8785-0211EF9E563B}"/>
            </c:ext>
          </c:extLst>
        </c:ser>
        <c:ser>
          <c:idx val="13"/>
          <c:order val="9"/>
          <c:tx>
            <c:strRef>
              <c:f>Sheet1!$K$1</c:f>
              <c:strCache>
                <c:ptCount val="1"/>
                <c:pt idx="0">
                  <c:v>T-1 20/21</c:v>
                </c:pt>
              </c:strCache>
            </c:strRef>
          </c:tx>
          <c:spPr>
            <a:solidFill>
              <a:schemeClr val="accent2">
                <a:lumMod val="80000"/>
                <a:lumOff val="2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Sheet1!$K$2:$K$26</c:f>
              <c:numCache>
                <c:formatCode>General</c:formatCode>
                <c:ptCount val="25"/>
                <c:pt idx="4">
                  <c:v>1024.4090000000001</c:v>
                </c:pt>
              </c:numCache>
            </c:numRef>
          </c:val>
          <c:extLst>
            <c:ext xmlns:c16="http://schemas.microsoft.com/office/drawing/2014/chart" uri="{C3380CC4-5D6E-409C-BE32-E72D297353CC}">
              <c16:uniqueId val="{00000009-2F90-4727-8785-0211EF9E563B}"/>
            </c:ext>
          </c:extLst>
        </c:ser>
        <c:ser>
          <c:idx val="14"/>
          <c:order val="10"/>
          <c:tx>
            <c:strRef>
              <c:f>Sheet1!$L$1</c:f>
              <c:strCache>
                <c:ptCount val="1"/>
                <c:pt idx="0">
                  <c:v>T-4 23/24</c:v>
                </c:pt>
              </c:strCache>
            </c:strRef>
          </c:tx>
          <c:spPr>
            <a:solidFill>
              <a:schemeClr val="accent3">
                <a:lumMod val="80000"/>
                <a:lumOff val="2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Sheet1!$L$2:$L$26</c:f>
              <c:numCache>
                <c:formatCode>General</c:formatCode>
                <c:ptCount val="25"/>
                <c:pt idx="7" formatCode="_-* #,##0_-;\-* #,##0_-;_-* &quot;-&quot;??_-;_-@_-">
                  <c:v>43748.987999999998</c:v>
                </c:pt>
                <c:pt idx="8" formatCode="_-* #,##0_-;\-* #,##0_-;_-* &quot;-&quot;??_-;_-@_-">
                  <c:v>1626.577</c:v>
                </c:pt>
                <c:pt idx="9" formatCode="_-* #,##0_-;\-* #,##0_-;_-* &quot;-&quot;??_-;_-@_-">
                  <c:v>1626.577</c:v>
                </c:pt>
                <c:pt idx="10" formatCode="_-* #,##0_-;\-* #,##0_-;_-* &quot;-&quot;??_-;_-@_-">
                  <c:v>1623.7280000000001</c:v>
                </c:pt>
                <c:pt idx="11" formatCode="_-* #,##0_-;\-* #,##0_-;_-* &quot;-&quot;??_-;_-@_-">
                  <c:v>1623.7280000000001</c:v>
                </c:pt>
                <c:pt idx="12" formatCode="_-* #,##0_-;\-* #,##0_-;_-* &quot;-&quot;??_-;_-@_-">
                  <c:v>1614.7180000000001</c:v>
                </c:pt>
                <c:pt idx="13" formatCode="_-* #,##0_-;\-* #,##0_-;_-* &quot;-&quot;??_-;_-@_-">
                  <c:v>1614.7180000000001</c:v>
                </c:pt>
                <c:pt idx="14" formatCode="_-* #,##0_-;\-* #,##0_-;_-* &quot;-&quot;??_-;_-@_-">
                  <c:v>1614.7180000000001</c:v>
                </c:pt>
                <c:pt idx="15" formatCode="_-* #,##0_-;\-* #,##0_-;_-* &quot;-&quot;??_-;_-@_-">
                  <c:v>1614.7180000000001</c:v>
                </c:pt>
                <c:pt idx="16" formatCode="_-* #,##0_-;\-* #,##0_-;_-* &quot;-&quot;??_-;_-@_-">
                  <c:v>1614.7180000000001</c:v>
                </c:pt>
                <c:pt idx="17" formatCode="_-* #,##0_-;\-* #,##0_-;_-* &quot;-&quot;??_-;_-@_-">
                  <c:v>1614.7180000000001</c:v>
                </c:pt>
                <c:pt idx="18" formatCode="_-* #,##0_-;\-* #,##0_-;_-* &quot;-&quot;??_-;_-@_-">
                  <c:v>1614.7180000000001</c:v>
                </c:pt>
                <c:pt idx="19" formatCode="_-* #,##0_-;\-* #,##0_-;_-* &quot;-&quot;??_-;_-@_-">
                  <c:v>1614.7180000000001</c:v>
                </c:pt>
                <c:pt idx="20" formatCode="_-* #,##0_-;\-* #,##0_-;_-* &quot;-&quot;??_-;_-@_-">
                  <c:v>1614.7180000000001</c:v>
                </c:pt>
                <c:pt idx="21" formatCode="_-* #,##0_-;\-* #,##0_-;_-* &quot;-&quot;??_-;_-@_-">
                  <c:v>1614.7180000000001</c:v>
                </c:pt>
              </c:numCache>
            </c:numRef>
          </c:val>
          <c:extLst>
            <c:ext xmlns:c16="http://schemas.microsoft.com/office/drawing/2014/chart" uri="{C3380CC4-5D6E-409C-BE32-E72D297353CC}">
              <c16:uniqueId val="{0000000A-2F90-4727-8785-0211EF9E563B}"/>
            </c:ext>
          </c:extLst>
        </c:ser>
        <c:ser>
          <c:idx val="15"/>
          <c:order val="11"/>
          <c:tx>
            <c:strRef>
              <c:f>Sheet1!$M$1</c:f>
              <c:strCache>
                <c:ptCount val="1"/>
                <c:pt idx="0">
                  <c:v>T-1 21/22</c:v>
                </c:pt>
              </c:strCache>
            </c:strRef>
          </c:tx>
          <c:spPr>
            <a:solidFill>
              <a:schemeClr val="accent4">
                <a:lumMod val="80000"/>
                <a:lumOff val="2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Sheet1!$M$2:$M$26</c:f>
              <c:numCache>
                <c:formatCode>General</c:formatCode>
                <c:ptCount val="25"/>
                <c:pt idx="5" formatCode="_-* #,##0_-;\-* #,##0_-;_-* &quot;-&quot;??_-;_-@_-">
                  <c:v>2252.116</c:v>
                </c:pt>
              </c:numCache>
            </c:numRef>
          </c:val>
          <c:extLst>
            <c:ext xmlns:c16="http://schemas.microsoft.com/office/drawing/2014/chart" uri="{C3380CC4-5D6E-409C-BE32-E72D297353CC}">
              <c16:uniqueId val="{0000000B-2F90-4727-8785-0211EF9E563B}"/>
            </c:ext>
          </c:extLst>
        </c:ser>
        <c:ser>
          <c:idx val="0"/>
          <c:order val="12"/>
          <c:tx>
            <c:strRef>
              <c:f>Sheet1!$N$1</c:f>
              <c:strCache>
                <c:ptCount val="1"/>
                <c:pt idx="0">
                  <c:v>T-4 24/25</c:v>
                </c:pt>
              </c:strCache>
            </c:strRef>
          </c:tx>
          <c:spPr>
            <a:solidFill>
              <a:schemeClr val="accent1"/>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Sheet1!$N$2:$N$26</c:f>
              <c:numCache>
                <c:formatCode>General</c:formatCode>
                <c:ptCount val="25"/>
                <c:pt idx="8" formatCode="_-* #,##0_-;\-* #,##0_-;_-* &quot;-&quot;??_-;_-@_-">
                  <c:v>40819.894999999997</c:v>
                </c:pt>
                <c:pt idx="9" formatCode="_-* #,##0_-;\-* #,##0_-;_-* &quot;-&quot;??_-;_-@_-">
                  <c:v>1602.0619999999999</c:v>
                </c:pt>
                <c:pt idx="10" formatCode="_-* #,##0_-;\-* #,##0_-;_-* &quot;-&quot;??_-;_-@_-">
                  <c:v>1602.0619999999999</c:v>
                </c:pt>
                <c:pt idx="11" formatCode="_-* #,##0_-;\-* #,##0_-;_-* &quot;-&quot;??_-;_-@_-">
                  <c:v>1602.0619999999999</c:v>
                </c:pt>
                <c:pt idx="12" formatCode="_-* #,##0_-;\-* #,##0_-;_-* &quot;-&quot;??_-;_-@_-">
                  <c:v>1602.0619999999999</c:v>
                </c:pt>
                <c:pt idx="13" formatCode="_-* #,##0_-;\-* #,##0_-;_-* &quot;-&quot;??_-;_-@_-">
                  <c:v>1602.0619999999999</c:v>
                </c:pt>
                <c:pt idx="14" formatCode="_-* #,##0_-;\-* #,##0_-;_-* &quot;-&quot;??_-;_-@_-">
                  <c:v>1602.0619999999999</c:v>
                </c:pt>
                <c:pt idx="15" formatCode="_-* #,##0_-;\-* #,##0_-;_-* &quot;-&quot;??_-;_-@_-">
                  <c:v>1602.0619999999999</c:v>
                </c:pt>
                <c:pt idx="16" formatCode="_-* #,##0_-;\-* #,##0_-;_-* &quot;-&quot;??_-;_-@_-">
                  <c:v>1602.0619999999999</c:v>
                </c:pt>
                <c:pt idx="17" formatCode="_-* #,##0_-;\-* #,##0_-;_-* &quot;-&quot;??_-;_-@_-">
                  <c:v>1602.0619999999999</c:v>
                </c:pt>
                <c:pt idx="18" formatCode="_-* #,##0_-;\-* #,##0_-;_-* &quot;-&quot;??_-;_-@_-">
                  <c:v>1602.0619999999999</c:v>
                </c:pt>
                <c:pt idx="19" formatCode="_-* #,##0_-;\-* #,##0_-;_-* &quot;-&quot;??_-;_-@_-">
                  <c:v>1599.069</c:v>
                </c:pt>
                <c:pt idx="20" formatCode="_-* #,##0_-;\-* #,##0_-;_-* &quot;-&quot;??_-;_-@_-">
                  <c:v>1596.076</c:v>
                </c:pt>
                <c:pt idx="21" formatCode="_-* #,##0_-;\-* #,##0_-;_-* &quot;-&quot;??_-;_-@_-">
                  <c:v>1596.076</c:v>
                </c:pt>
                <c:pt idx="22" formatCode="_-* #,##0_-;\-* #,##0_-;_-* &quot;-&quot;??_-;_-@_-">
                  <c:v>1596.076</c:v>
                </c:pt>
              </c:numCache>
            </c:numRef>
          </c:val>
          <c:extLst>
            <c:ext xmlns:c16="http://schemas.microsoft.com/office/drawing/2014/chart" uri="{C3380CC4-5D6E-409C-BE32-E72D297353CC}">
              <c16:uniqueId val="{0000000C-2F90-4727-8785-0211EF9E563B}"/>
            </c:ext>
          </c:extLst>
        </c:ser>
        <c:ser>
          <c:idx val="12"/>
          <c:order val="13"/>
          <c:tx>
            <c:strRef>
              <c:f>Sheet1!$O$1</c:f>
              <c:strCache>
                <c:ptCount val="1"/>
                <c:pt idx="0">
                  <c:v>T-1 22/23</c:v>
                </c:pt>
              </c:strCache>
            </c:strRef>
          </c:tx>
          <c:spPr>
            <a:solidFill>
              <a:schemeClr val="accent1">
                <a:lumMod val="80000"/>
                <a:lumOff val="2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Sheet1!$O$2:$O$26</c:f>
              <c:numCache>
                <c:formatCode>General</c:formatCode>
                <c:ptCount val="25"/>
                <c:pt idx="6" formatCode="_-* #,##0_-;\-* #,##0_-;_-* &quot;-&quot;??_-;_-@_-">
                  <c:v>4996.2240000000002</c:v>
                </c:pt>
              </c:numCache>
            </c:numRef>
          </c:val>
          <c:extLst>
            <c:ext xmlns:c16="http://schemas.microsoft.com/office/drawing/2014/chart" uri="{C3380CC4-5D6E-409C-BE32-E72D297353CC}">
              <c16:uniqueId val="{0000000D-2F90-4727-8785-0211EF9E563B}"/>
            </c:ext>
          </c:extLst>
        </c:ser>
        <c:ser>
          <c:idx val="1"/>
          <c:order val="14"/>
          <c:tx>
            <c:strRef>
              <c:f>Sheet1!$P$1</c:f>
              <c:strCache>
                <c:ptCount val="1"/>
                <c:pt idx="0">
                  <c:v>T-4 25/26</c:v>
                </c:pt>
              </c:strCache>
            </c:strRef>
          </c:tx>
          <c:spPr>
            <a:solidFill>
              <a:schemeClr val="accent2"/>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Sheet1!$P$2:$P$26</c:f>
              <c:numCache>
                <c:formatCode>General</c:formatCode>
                <c:ptCount val="25"/>
                <c:pt idx="9" formatCode="_-* #,##0_-;\-* #,##0_-;_-* &quot;-&quot;??_-;_-@_-">
                  <c:v>42364.313999999998</c:v>
                </c:pt>
                <c:pt idx="10" formatCode="_-* #,##0_-;\-* #,##0_-;_-* &quot;-&quot;??_-;_-@_-">
                  <c:v>1989.3589999999999</c:v>
                </c:pt>
                <c:pt idx="11" formatCode="_-* #,##0_-;\-* #,##0_-;_-* &quot;-&quot;??_-;_-@_-">
                  <c:v>1989.3589999999999</c:v>
                </c:pt>
                <c:pt idx="12" formatCode="_-* #,##0_-;\-* #,##0_-;_-* &quot;-&quot;??_-;_-@_-">
                  <c:v>1969.4939999999999</c:v>
                </c:pt>
                <c:pt idx="13" formatCode="_-* #,##0_-;\-* #,##0_-;_-* &quot;-&quot;??_-;_-@_-">
                  <c:v>1964.673</c:v>
                </c:pt>
                <c:pt idx="14" formatCode="_-* #,##0_-;\-* #,##0_-;_-* &quot;-&quot;??_-;_-@_-">
                  <c:v>1964.673</c:v>
                </c:pt>
                <c:pt idx="15" formatCode="_-* #,##0_-;\-* #,##0_-;_-* &quot;-&quot;??_-;_-@_-">
                  <c:v>1964.673</c:v>
                </c:pt>
                <c:pt idx="16" formatCode="_-* #,##0_-;\-* #,##0_-;_-* &quot;-&quot;??_-;_-@_-">
                  <c:v>1964.673</c:v>
                </c:pt>
                <c:pt idx="17" formatCode="_-* #,##0_-;\-* #,##0_-;_-* &quot;-&quot;??_-;_-@_-">
                  <c:v>1962.182</c:v>
                </c:pt>
                <c:pt idx="18" formatCode="_-* #,##0_-;\-* #,##0_-;_-* &quot;-&quot;??_-;_-@_-">
                  <c:v>1962.182</c:v>
                </c:pt>
                <c:pt idx="19" formatCode="_-* #,##0_-;\-* #,##0_-;_-* &quot;-&quot;??_-;_-@_-">
                  <c:v>1958.954</c:v>
                </c:pt>
                <c:pt idx="20" formatCode="_-* #,##0_-;\-* #,##0_-;_-* &quot;-&quot;??_-;_-@_-">
                  <c:v>1958.954</c:v>
                </c:pt>
                <c:pt idx="21" formatCode="_-* #,##0_-;\-* #,##0_-;_-* &quot;-&quot;??_-;_-@_-">
                  <c:v>1958.0450000000001</c:v>
                </c:pt>
                <c:pt idx="22" formatCode="_-* #,##0_-;\-* #,##0_-;_-* &quot;-&quot;??_-;_-@_-">
                  <c:v>1958.0450000000001</c:v>
                </c:pt>
                <c:pt idx="23" formatCode="_-* #,##0_-;\-* #,##0_-;_-* &quot;-&quot;??_-;_-@_-">
                  <c:v>1958.0450000000001</c:v>
                </c:pt>
              </c:numCache>
            </c:numRef>
          </c:val>
          <c:extLst>
            <c:ext xmlns:c16="http://schemas.microsoft.com/office/drawing/2014/chart" uri="{C3380CC4-5D6E-409C-BE32-E72D297353CC}">
              <c16:uniqueId val="{0000000E-2F90-4727-8785-0211EF9E563B}"/>
            </c:ext>
          </c:extLst>
        </c:ser>
        <c:ser>
          <c:idx val="2"/>
          <c:order val="15"/>
          <c:tx>
            <c:strRef>
              <c:f>Sheet1!$Q$1</c:f>
              <c:strCache>
                <c:ptCount val="1"/>
                <c:pt idx="0">
                  <c:v>T-1 23/24</c:v>
                </c:pt>
              </c:strCache>
            </c:strRef>
          </c:tx>
          <c:spPr>
            <a:solidFill>
              <a:schemeClr val="accent3"/>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Sheet1!$Q$2:$Q$26</c:f>
              <c:numCache>
                <c:formatCode>General</c:formatCode>
                <c:ptCount val="25"/>
                <c:pt idx="7" formatCode="#,##0.00">
                  <c:v>5782.777</c:v>
                </c:pt>
              </c:numCache>
            </c:numRef>
          </c:val>
          <c:extLst>
            <c:ext xmlns:c16="http://schemas.microsoft.com/office/drawing/2014/chart" uri="{C3380CC4-5D6E-409C-BE32-E72D297353CC}">
              <c16:uniqueId val="{0000000F-2F90-4727-8785-0211EF9E563B}"/>
            </c:ext>
          </c:extLst>
        </c:ser>
        <c:ser>
          <c:idx val="16"/>
          <c:order val="16"/>
          <c:tx>
            <c:strRef>
              <c:f>Sheet1!$R$1</c:f>
              <c:strCache>
                <c:ptCount val="1"/>
                <c:pt idx="0">
                  <c:v>T-4 26/27</c:v>
                </c:pt>
              </c:strCache>
            </c:strRef>
          </c:tx>
          <c:spPr>
            <a:solidFill>
              <a:schemeClr val="accent5">
                <a:lumMod val="80000"/>
                <a:lumOff val="20000"/>
              </a:schemeClr>
            </a:solidFill>
            <a:ln>
              <a:noFill/>
            </a:ln>
            <a:effectLst/>
          </c:spPr>
          <c:invertIfNegative val="0"/>
          <c:cat>
            <c:numRef>
              <c:f>Sheet1!$A$2:$A$26</c:f>
              <c:numCache>
                <c:formatCode>General</c:formatCode>
                <c:ptCount val="2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numCache>
            </c:numRef>
          </c:cat>
          <c:val>
            <c:numRef>
              <c:f>Sheet1!$R$2:$R$26</c:f>
              <c:numCache>
                <c:formatCode>General</c:formatCode>
                <c:ptCount val="25"/>
                <c:pt idx="10" formatCode="#,##0.00">
                  <c:v>43000.955000000002</c:v>
                </c:pt>
                <c:pt idx="11" formatCode="#,##0.00">
                  <c:v>3444.623</c:v>
                </c:pt>
                <c:pt idx="12" formatCode="#,##0.00">
                  <c:v>3444.623</c:v>
                </c:pt>
                <c:pt idx="13" formatCode="#,##0.00">
                  <c:v>3436.8249999999998</c:v>
                </c:pt>
                <c:pt idx="14" formatCode="#,##0.00">
                  <c:v>3436.8249999999998</c:v>
                </c:pt>
                <c:pt idx="15" formatCode="#,##0.00">
                  <c:v>3436.8249999999998</c:v>
                </c:pt>
                <c:pt idx="16" formatCode="#,##0.00">
                  <c:v>3423.2339999999999</c:v>
                </c:pt>
                <c:pt idx="17" formatCode="#,##0.00">
                  <c:v>3414.9659999999999</c:v>
                </c:pt>
                <c:pt idx="18" formatCode="#,##0.00">
                  <c:v>3414.9659999999999</c:v>
                </c:pt>
                <c:pt idx="19" formatCode="#,##0.00">
                  <c:v>3414.9659999999999</c:v>
                </c:pt>
                <c:pt idx="20" formatCode="#,##0.00">
                  <c:v>3414.9659999999999</c:v>
                </c:pt>
                <c:pt idx="21" formatCode="#,##0.00">
                  <c:v>3414.9659999999999</c:v>
                </c:pt>
                <c:pt idx="22" formatCode="#,##0.00">
                  <c:v>3412.623</c:v>
                </c:pt>
                <c:pt idx="23" formatCode="#,##0.00">
                  <c:v>3412.623</c:v>
                </c:pt>
                <c:pt idx="24" formatCode="#,##0.00">
                  <c:v>3412.623</c:v>
                </c:pt>
              </c:numCache>
            </c:numRef>
          </c:val>
          <c:extLst>
            <c:ext xmlns:c16="http://schemas.microsoft.com/office/drawing/2014/chart" uri="{C3380CC4-5D6E-409C-BE32-E72D297353CC}">
              <c16:uniqueId val="{00000010-2F90-4727-8785-0211EF9E563B}"/>
            </c:ext>
          </c:extLst>
        </c:ser>
        <c:dLbls>
          <c:showLegendKey val="0"/>
          <c:showVal val="0"/>
          <c:showCatName val="0"/>
          <c:showSerName val="0"/>
          <c:showPercent val="0"/>
          <c:showBubbleSize val="0"/>
        </c:dLbls>
        <c:gapWidth val="55"/>
        <c:overlap val="100"/>
        <c:axId val="1331666224"/>
        <c:axId val="1271989072"/>
      </c:barChart>
      <c:catAx>
        <c:axId val="1331666224"/>
        <c:scaling>
          <c:orientation val="minMax"/>
        </c:scaling>
        <c:delete val="0"/>
        <c:axPos val="b"/>
        <c:numFmt formatCode="General" sourceLinked="1"/>
        <c:majorTickMark val="out"/>
        <c:minorTickMark val="out"/>
        <c:tickLblPos val="nextTo"/>
        <c:spPr>
          <a:noFill/>
          <a:ln w="6350" cap="flat" cmpd="sng" algn="ctr">
            <a:solidFill>
              <a:schemeClr val="dk1"/>
            </a:solidFill>
            <a:prstDash val="solid"/>
            <a:miter lim="800000"/>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1271989072"/>
        <c:crosses val="autoZero"/>
        <c:auto val="1"/>
        <c:lblAlgn val="ctr"/>
        <c:lblOffset val="100"/>
        <c:noMultiLvlLbl val="0"/>
      </c:catAx>
      <c:valAx>
        <c:axId val="12719890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1" i="0" u="none" strike="noStrike" kern="1200" spc="0" baseline="0">
                    <a:solidFill>
                      <a:sysClr val="windowText" lastClr="000000"/>
                    </a:solidFill>
                  </a:rPr>
                  <a:t>Toplam Kapasite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31666224"/>
        <c:crosses val="autoZero"/>
        <c:crossBetween val="between"/>
      </c:valAx>
      <c:spPr>
        <a:noFill/>
        <a:ln w="25400">
          <a:noFill/>
        </a:ln>
        <a:effectLst/>
      </c:spPr>
    </c:plotArea>
    <c:legend>
      <c:legendPos val="b"/>
      <c:layout>
        <c:manualLayout>
          <c:xMode val="edge"/>
          <c:yMode val="edge"/>
          <c:x val="8.8666768595673129E-2"/>
          <c:y val="0.80417086614173228"/>
          <c:w val="0.89031006099204391"/>
          <c:h val="0.1890297085019900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'Yıl Bazlı Kömürv2.0'!$B$1</c:f>
              <c:strCache>
                <c:ptCount val="1"/>
                <c:pt idx="0">
                  <c:v>Kömür Santrali Kapasitesi</c:v>
                </c:pt>
              </c:strCache>
            </c:strRef>
          </c:tx>
          <c:spPr>
            <a:solidFill>
              <a:schemeClr val="tx1">
                <a:lumMod val="65000"/>
                <a:lumOff val="35000"/>
              </a:schemeClr>
            </a:solidFill>
            <a:ln>
              <a:noFill/>
            </a:ln>
            <a:effectLst/>
          </c:spPr>
          <c:invertIfNegative val="0"/>
          <c:dLbls>
            <c:dLbl>
              <c:idx val="0"/>
              <c:layout>
                <c:manualLayout>
                  <c:x val="0"/>
                  <c:y val="-6.80881562444007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37-4370-8C48-70EE7BB7EA18}"/>
                </c:ext>
              </c:extLst>
            </c:dLbl>
            <c:dLbl>
              <c:idx val="1"/>
              <c:layout>
                <c:manualLayout>
                  <c:x val="2.0435271278225844E-3"/>
                  <c:y val="-5.01702203906110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37-4370-8C48-70EE7BB7EA18}"/>
                </c:ext>
              </c:extLst>
            </c:dLbl>
            <c:dLbl>
              <c:idx val="2"/>
              <c:layout>
                <c:manualLayout>
                  <c:x val="0"/>
                  <c:y val="-5.73373947321268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37-4370-8C48-70EE7BB7EA18}"/>
                </c:ext>
              </c:extLst>
            </c:dLbl>
            <c:dLbl>
              <c:idx val="3"/>
              <c:layout>
                <c:manualLayout>
                  <c:x val="-7.4928462440170802E-17"/>
                  <c:y val="-8.24225049274324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37-4370-8C48-70EE7BB7EA18}"/>
                </c:ext>
              </c:extLst>
            </c:dLbl>
            <c:dLbl>
              <c:idx val="4"/>
              <c:delete val="1"/>
              <c:extLst>
                <c:ext xmlns:c15="http://schemas.microsoft.com/office/drawing/2012/chart" uri="{CE6537A1-D6FC-4f65-9D91-7224C49458BB}"/>
                <c:ext xmlns:c16="http://schemas.microsoft.com/office/drawing/2014/chart" uri="{C3380CC4-5D6E-409C-BE32-E72D297353CC}">
                  <c16:uniqueId val="{00000004-1E37-4370-8C48-70EE7BB7EA18}"/>
                </c:ext>
              </c:extLst>
            </c:dLbl>
            <c:dLbl>
              <c:idx val="5"/>
              <c:layout>
                <c:manualLayout>
                  <c:x val="7.4928462440170802E-17"/>
                  <c:y val="-4.65866332198532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37-4370-8C48-70EE7BB7EA18}"/>
                </c:ext>
              </c:extLst>
            </c:dLbl>
            <c:dLbl>
              <c:idx val="6"/>
              <c:layout>
                <c:manualLayout>
                  <c:x val="-1.498569248803416E-16"/>
                  <c:y val="-6.09209819028849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37-4370-8C48-70EE7BB7EA18}"/>
                </c:ext>
              </c:extLst>
            </c:dLbl>
            <c:dLbl>
              <c:idx val="7"/>
              <c:layout>
                <c:manualLayout>
                  <c:x val="0"/>
                  <c:y val="-5.73373947321269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37-4370-8C48-70EE7BB7EA18}"/>
                </c:ext>
              </c:extLst>
            </c:dLbl>
            <c:dLbl>
              <c:idx val="8"/>
              <c:layout>
                <c:manualLayout>
                  <c:x val="-1.498569248803416E-16"/>
                  <c:y val="-5.73373947321268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37-4370-8C48-70EE7BB7EA18}"/>
                </c:ext>
              </c:extLst>
            </c:dLbl>
            <c:spPr>
              <a:solidFill>
                <a:schemeClr val="tx1">
                  <a:lumMod val="65000"/>
                  <a:lumOff val="3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'Yıl Bazlı Kömürv2.0'!$A$2:$A$10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'Yıl Bazlı Kömürv2.0'!$B$2:$B$10</c:f>
              <c:numCache>
                <c:formatCode>#,##0</c:formatCode>
                <c:ptCount val="9"/>
                <c:pt idx="0">
                  <c:v>9232.1830000000009</c:v>
                </c:pt>
                <c:pt idx="1">
                  <c:v>4684.1959999999999</c:v>
                </c:pt>
                <c:pt idx="2">
                  <c:v>6089.6540000000005</c:v>
                </c:pt>
                <c:pt idx="3">
                  <c:v>13990.741460000001</c:v>
                </c:pt>
                <c:pt idx="4">
                  <c:v>0</c:v>
                </c:pt>
                <c:pt idx="5">
                  <c:v>2201.625</c:v>
                </c:pt>
                <c:pt idx="6">
                  <c:v>435.17899999999997</c:v>
                </c:pt>
                <c:pt idx="7">
                  <c:v>411.13</c:v>
                </c:pt>
                <c:pt idx="8">
                  <c:v>412.56</c:v>
                </c:pt>
              </c:numCache>
            </c:numRef>
          </c:val>
          <c:extLst>
            <c:ext xmlns:c16="http://schemas.microsoft.com/office/drawing/2014/chart" uri="{C3380CC4-5D6E-409C-BE32-E72D297353CC}">
              <c16:uniqueId val="{00000009-1E37-4370-8C48-70EE7BB7EA18}"/>
            </c:ext>
          </c:extLst>
        </c:ser>
        <c:ser>
          <c:idx val="2"/>
          <c:order val="1"/>
          <c:tx>
            <c:strRef>
              <c:f>'Yıl Bazlı Kömürv2.0'!$C$1</c:f>
              <c:strCache>
                <c:ptCount val="1"/>
                <c:pt idx="0">
                  <c:v>Toplam Kapasite</c:v>
                </c:pt>
              </c:strCache>
            </c:strRef>
          </c:tx>
          <c:spPr>
            <a:solidFill>
              <a:schemeClr val="accent2"/>
            </a:solidFill>
            <a:ln>
              <a:noFill/>
            </a:ln>
            <a:effectLst/>
          </c:spPr>
          <c:invertIfNegative val="0"/>
          <c:dLbls>
            <c:dLbl>
              <c:idx val="0"/>
              <c:layout>
                <c:manualLayout>
                  <c:x val="2.0435271278226217E-3"/>
                  <c:y val="-0.15767783551334885"/>
                </c:manualLayout>
              </c:layout>
              <c:tx>
                <c:rich>
                  <a:bodyPr/>
                  <a:lstStyle/>
                  <a:p>
                    <a:fld id="{5FBE6702-EDD4-4F7F-A877-3F5C936A30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E37-4370-8C48-70EE7BB7EA18}"/>
                </c:ext>
              </c:extLst>
            </c:dLbl>
            <c:dLbl>
              <c:idx val="1"/>
              <c:layout>
                <c:manualLayout>
                  <c:x val="-3.7464231220085401E-17"/>
                  <c:y val="-0.15767783551334885"/>
                </c:manualLayout>
              </c:layout>
              <c:tx>
                <c:rich>
                  <a:bodyPr/>
                  <a:lstStyle/>
                  <a:p>
                    <a:fld id="{262284A0-58FE-481A-A5D6-CC0CB501AD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E37-4370-8C48-70EE7BB7EA18}"/>
                </c:ext>
              </c:extLst>
            </c:dLbl>
            <c:dLbl>
              <c:idx val="2"/>
              <c:layout>
                <c:manualLayout>
                  <c:x val="-3.7464231220085401E-17"/>
                  <c:y val="-0.17201218419638051"/>
                </c:manualLayout>
              </c:layout>
              <c:tx>
                <c:rich>
                  <a:bodyPr/>
                  <a:lstStyle/>
                  <a:p>
                    <a:fld id="{9EAE19FA-6B09-4346-A3BC-AC31D22BB9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1E37-4370-8C48-70EE7BB7EA18}"/>
                </c:ext>
              </c:extLst>
            </c:dLbl>
            <c:dLbl>
              <c:idx val="3"/>
              <c:layout>
                <c:manualLayout>
                  <c:x val="0"/>
                  <c:y val="-0.32610643253897154"/>
                </c:manualLayout>
              </c:layout>
              <c:tx>
                <c:rich>
                  <a:bodyPr/>
                  <a:lstStyle/>
                  <a:p>
                    <a:fld id="{2CEAE5BD-2963-403D-99ED-7EF39412A8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1E37-4370-8C48-70EE7BB7EA18}"/>
                </c:ext>
              </c:extLst>
            </c:dLbl>
            <c:dLbl>
              <c:idx val="4"/>
              <c:layout>
                <c:manualLayout>
                  <c:x val="0"/>
                  <c:y val="-5.0170220390611135E-2"/>
                </c:manualLayout>
              </c:layout>
              <c:tx>
                <c:rich>
                  <a:bodyPr/>
                  <a:lstStyle/>
                  <a:p>
                    <a:fld id="{45C2F0FD-ED13-4884-B905-89104AC213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E37-4370-8C48-70EE7BB7EA18}"/>
                </c:ext>
              </c:extLst>
            </c:dLbl>
            <c:dLbl>
              <c:idx val="5"/>
              <c:layout>
                <c:manualLayout>
                  <c:x val="-7.4928462440170802E-17"/>
                  <c:y val="-0.29743773517290817"/>
                </c:manualLayout>
              </c:layout>
              <c:tx>
                <c:rich>
                  <a:bodyPr/>
                  <a:lstStyle/>
                  <a:p>
                    <a:fld id="{CE82DAA7-6553-415C-8269-EC3A02475E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1E37-4370-8C48-70EE7BB7EA18}"/>
                </c:ext>
              </c:extLst>
            </c:dLbl>
            <c:dLbl>
              <c:idx val="6"/>
              <c:layout>
                <c:manualLayout>
                  <c:x val="-2.0435271278226217E-3"/>
                  <c:y val="-0.15767783551334894"/>
                </c:manualLayout>
              </c:layout>
              <c:tx>
                <c:rich>
                  <a:bodyPr/>
                  <a:lstStyle/>
                  <a:p>
                    <a:fld id="{7F42ADC6-9A28-43EC-A19E-919333474F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1E37-4370-8C48-70EE7BB7EA18}"/>
                </c:ext>
              </c:extLst>
            </c:dLbl>
            <c:dLbl>
              <c:idx val="7"/>
              <c:layout>
                <c:manualLayout>
                  <c:x val="0"/>
                  <c:y val="-0.17201218419638065"/>
                </c:manualLayout>
              </c:layout>
              <c:tx>
                <c:rich>
                  <a:bodyPr/>
                  <a:lstStyle/>
                  <a:p>
                    <a:fld id="{0643F0AB-D0F8-40BF-AFDF-D73AAE11DF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1E37-4370-8C48-70EE7BB7EA18}"/>
                </c:ext>
              </c:extLst>
            </c:dLbl>
            <c:dLbl>
              <c:idx val="8"/>
              <c:layout>
                <c:manualLayout>
                  <c:x val="-2.0435271278226217E-3"/>
                  <c:y val="-0.17917935853789649"/>
                </c:manualLayout>
              </c:layout>
              <c:tx>
                <c:rich>
                  <a:bodyPr/>
                  <a:lstStyle/>
                  <a:p>
                    <a:fld id="{28DA7997-A4CD-4BBD-B84F-22FE773F05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1E37-4370-8C48-70EE7BB7EA18}"/>
                </c:ext>
              </c:extLst>
            </c:dLbl>
            <c:numFmt formatCode="#,##0" sourceLinked="0"/>
            <c:spPr>
              <a:solidFill>
                <a:schemeClr val="accent2"/>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numRef>
              <c:f>'Yıl Bazlı Kömürv2.0'!$A$2:$A$10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'Yıl Bazlı Kömürv2.0'!$C$2:$C$10</c:f>
              <c:numCache>
                <c:formatCode>_-* #,##0_-;\-* #,##0_-;_-* "-"??_-;_-@_-</c:formatCode>
                <c:ptCount val="9"/>
                <c:pt idx="0">
                  <c:v>40026.755000000005</c:v>
                </c:pt>
                <c:pt idx="1">
                  <c:v>41669.373000000007</c:v>
                </c:pt>
                <c:pt idx="2">
                  <c:v>47138.358</c:v>
                </c:pt>
                <c:pt idx="3">
                  <c:v>96968.680539999987</c:v>
                </c:pt>
                <c:pt idx="4">
                  <c:v>3626.1959999999999</c:v>
                </c:pt>
                <c:pt idx="5">
                  <c:v>87630.603999999992</c:v>
                </c:pt>
                <c:pt idx="6">
                  <c:v>42636.832000000002</c:v>
                </c:pt>
                <c:pt idx="7">
                  <c:v>46949.408000000003</c:v>
                </c:pt>
                <c:pt idx="8">
                  <c:v>48371.172000000006</c:v>
                </c:pt>
              </c:numCache>
            </c:numRef>
          </c:val>
          <c:extLst>
            <c:ext xmlns:c15="http://schemas.microsoft.com/office/drawing/2012/chart" uri="{02D57815-91ED-43cb-92C2-25804820EDAC}">
              <c15:datalabelsRange>
                <c15:f>'Yıl Bazlı Kömürv2.0'!$I$2:$I$10</c15:f>
                <c15:dlblRangeCache>
                  <c:ptCount val="9"/>
                  <c:pt idx="0">
                    <c:v> 49,259 </c:v>
                  </c:pt>
                  <c:pt idx="1">
                    <c:v> 46,354 </c:v>
                  </c:pt>
                  <c:pt idx="2">
                    <c:v> 53,228 </c:v>
                  </c:pt>
                  <c:pt idx="3">
                    <c:v> 110,959 </c:v>
                  </c:pt>
                  <c:pt idx="4">
                    <c:v> 3,626 </c:v>
                  </c:pt>
                  <c:pt idx="5">
                    <c:v> 89,832 </c:v>
                  </c:pt>
                  <c:pt idx="6">
                    <c:v> 43,072 </c:v>
                  </c:pt>
                  <c:pt idx="7">
                    <c:v> 47,361 </c:v>
                  </c:pt>
                  <c:pt idx="8">
                    <c:v> 48,784 </c:v>
                  </c:pt>
                </c15:dlblRangeCache>
              </c15:datalabelsRange>
            </c:ext>
            <c:ext xmlns:c16="http://schemas.microsoft.com/office/drawing/2014/chart" uri="{C3380CC4-5D6E-409C-BE32-E72D297353CC}">
              <c16:uniqueId val="{00000013-1E37-4370-8C48-70EE7BB7EA18}"/>
            </c:ext>
          </c:extLst>
        </c:ser>
        <c:dLbls>
          <c:showLegendKey val="0"/>
          <c:showVal val="0"/>
          <c:showCatName val="0"/>
          <c:showSerName val="0"/>
          <c:showPercent val="0"/>
          <c:showBubbleSize val="0"/>
        </c:dLbls>
        <c:gapWidth val="80"/>
        <c:overlap val="100"/>
        <c:axId val="660724848"/>
        <c:axId val="1006830400"/>
      </c:barChart>
      <c:catAx>
        <c:axId val="660724848"/>
        <c:scaling>
          <c:orientation val="minMax"/>
        </c:scaling>
        <c:delete val="0"/>
        <c:axPos val="b"/>
        <c:numFmt formatCode="General" sourceLinked="1"/>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06830400"/>
        <c:crosses val="autoZero"/>
        <c:auto val="1"/>
        <c:lblAlgn val="ctr"/>
        <c:lblOffset val="100"/>
        <c:noMultiLvlLbl val="0"/>
      </c:catAx>
      <c:valAx>
        <c:axId val="10068304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kumimoji="0" lang="en-US" sz="1000" b="1" i="0" u="none" strike="noStrike" kern="1200" cap="none" spc="0" normalizeH="0" baseline="0" noProof="0">
                    <a:ln>
                      <a:noFill/>
                    </a:ln>
                    <a:solidFill>
                      <a:sysClr val="windowText" lastClr="000000"/>
                    </a:solidFill>
                    <a:effectLst/>
                    <a:uLnTx/>
                    <a:uFillTx/>
                    <a:latin typeface="Calibri" panose="020F0502020204030204"/>
                  </a:rPr>
                  <a:t>İhale Yıllarında Dağıtılan Toplam Kömür Santrali Kapasitesi</a:t>
                </a:r>
                <a:r>
                  <a:rPr kumimoji="0" lang="tr-TR" sz="1000" b="1" i="0" u="none" strike="noStrike" kern="1200" cap="none" spc="0" normalizeH="0" baseline="0" noProof="0">
                    <a:ln>
                      <a:noFill/>
                    </a:ln>
                    <a:solidFill>
                      <a:sysClr val="windowText" lastClr="000000"/>
                    </a:solidFill>
                    <a:effectLst/>
                    <a:uLnTx/>
                    <a:uFillTx/>
                    <a:latin typeface="Calibri" panose="020F0502020204030204"/>
                  </a:rPr>
                  <a:t> </a:t>
                </a:r>
                <a:r>
                  <a:rPr lang="en-US" sz="1000" baseline="0">
                    <a:solidFill>
                      <a:sysClr val="windowText" lastClr="000000"/>
                    </a:solidFill>
                    <a:latin typeface="+mn-lt"/>
                  </a:rPr>
                  <a:t>(MW)</a:t>
                </a:r>
                <a:endParaRPr lang="en-US" sz="1000">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0724848"/>
        <c:crosses val="autoZero"/>
        <c:crossBetween val="between"/>
        <c:majorUnit val="20000"/>
        <c:minorUnit val="4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Maliyetler!$B$1</c:f>
              <c:strCache>
                <c:ptCount val="1"/>
                <c:pt idx="0">
                  <c:v>Tahmini Kömür Kapasitesi Maliyeti</c:v>
                </c:pt>
              </c:strCache>
            </c:strRef>
          </c:tx>
          <c:spPr>
            <a:solidFill>
              <a:schemeClr val="tx1">
                <a:lumMod val="65000"/>
                <a:lumOff val="35000"/>
              </a:schemeClr>
            </a:solidFill>
            <a:ln>
              <a:noFill/>
            </a:ln>
            <a:effectLst/>
          </c:spPr>
          <c:invertIfNegative val="0"/>
          <c:dLbls>
            <c:dLbl>
              <c:idx val="8"/>
              <c:layout>
                <c:manualLayout>
                  <c:x val="-2.0435271278226217E-3"/>
                  <c:y val="-1.7917935853789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7F-42A8-A68C-00B29DA448BA}"/>
                </c:ext>
              </c:extLst>
            </c:dLbl>
            <c:spPr>
              <a:solidFill>
                <a:schemeClr val="tx1">
                  <a:lumMod val="65000"/>
                  <a:lumOff val="35000"/>
                </a:schemeClr>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Maliyetler!$A$2:$A$10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Maliyetler!$B$2:$B$10</c:f>
              <c:numCache>
                <c:formatCode>_-* #,##0_-;\-* #,##0_-;_-* "-"??_-;_-@_-</c:formatCode>
                <c:ptCount val="9"/>
                <c:pt idx="0">
                  <c:v>179.10435020000003</c:v>
                </c:pt>
                <c:pt idx="1">
                  <c:v>84.315528</c:v>
                </c:pt>
                <c:pt idx="2">
                  <c:v>137.01721499999999</c:v>
                </c:pt>
                <c:pt idx="3">
                  <c:v>101.008119697</c:v>
                </c:pt>
                <c:pt idx="4">
                  <c:v>0</c:v>
                </c:pt>
                <c:pt idx="5">
                  <c:v>21.095970749999999</c:v>
                </c:pt>
                <c:pt idx="6">
                  <c:v>19.583055000000002</c:v>
                </c:pt>
                <c:pt idx="7">
                  <c:v>30.83475</c:v>
                </c:pt>
                <c:pt idx="8">
                  <c:v>24.753599999999999</c:v>
                </c:pt>
              </c:numCache>
            </c:numRef>
          </c:val>
          <c:extLst>
            <c:ext xmlns:c16="http://schemas.microsoft.com/office/drawing/2014/chart" uri="{C3380CC4-5D6E-409C-BE32-E72D297353CC}">
              <c16:uniqueId val="{00000001-337F-42A8-A68C-00B29DA448BA}"/>
            </c:ext>
          </c:extLst>
        </c:ser>
        <c:ser>
          <c:idx val="2"/>
          <c:order val="1"/>
          <c:tx>
            <c:strRef>
              <c:f>Maliyetler!$C$1</c:f>
              <c:strCache>
                <c:ptCount val="1"/>
                <c:pt idx="0">
                  <c:v>Tahmini Toplam Kapasite Maliyeti</c:v>
                </c:pt>
              </c:strCache>
            </c:strRef>
          </c:tx>
          <c:spPr>
            <a:solidFill>
              <a:schemeClr val="accent2"/>
            </a:solidFill>
            <a:ln>
              <a:noFill/>
            </a:ln>
            <a:effectLst/>
          </c:spPr>
          <c:invertIfNegative val="0"/>
          <c:dLbls>
            <c:spPr>
              <a:solidFill>
                <a:schemeClr val="accent2"/>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Maliyetler!$A$2:$A$10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Maliyetler!$C$2:$C$10</c:f>
              <c:numCache>
                <c:formatCode>_-* #,##0_-;\-* #,##0_-;_-* "-"??_-;_-@_-</c:formatCode>
                <c:ptCount val="9"/>
                <c:pt idx="0">
                  <c:v>955.6233972</c:v>
                </c:pt>
                <c:pt idx="1">
                  <c:v>834.36424199999999</c:v>
                </c:pt>
                <c:pt idx="2">
                  <c:v>1201.64382</c:v>
                </c:pt>
                <c:pt idx="3">
                  <c:v>850.64012049999997</c:v>
                </c:pt>
                <c:pt idx="4">
                  <c:v>2.7921709199999998</c:v>
                </c:pt>
                <c:pt idx="5">
                  <c:v>699.69574736000004</c:v>
                </c:pt>
                <c:pt idx="6">
                  <c:v>836.10333000000003</c:v>
                </c:pt>
                <c:pt idx="7">
                  <c:v>1670.64116526</c:v>
                </c:pt>
                <c:pt idx="8">
                  <c:v>3056.026785</c:v>
                </c:pt>
              </c:numCache>
            </c:numRef>
          </c:val>
          <c:extLst>
            <c:ext xmlns:c16="http://schemas.microsoft.com/office/drawing/2014/chart" uri="{C3380CC4-5D6E-409C-BE32-E72D297353CC}">
              <c16:uniqueId val="{00000002-337F-42A8-A68C-00B29DA448BA}"/>
            </c:ext>
          </c:extLst>
        </c:ser>
        <c:dLbls>
          <c:showLegendKey val="0"/>
          <c:showVal val="0"/>
          <c:showCatName val="0"/>
          <c:showSerName val="0"/>
          <c:showPercent val="0"/>
          <c:showBubbleSize val="0"/>
        </c:dLbls>
        <c:gapWidth val="55"/>
        <c:axId val="660724848"/>
        <c:axId val="1006830400"/>
      </c:barChart>
      <c:lineChart>
        <c:grouping val="standard"/>
        <c:varyColors val="0"/>
        <c:ser>
          <c:idx val="0"/>
          <c:order val="2"/>
          <c:tx>
            <c:strRef>
              <c:f>Maliyetler!$D$1</c:f>
              <c:strCache>
                <c:ptCount val="1"/>
                <c:pt idx="0">
                  <c:v>Tahmini Toplam Maliyet İçerisindeki Kömür Payı</c:v>
                </c:pt>
              </c:strCache>
            </c:strRef>
          </c:tx>
          <c:spPr>
            <a:ln w="28575" cap="rnd">
              <a:solidFill>
                <a:srgbClr val="C00000"/>
              </a:solidFill>
              <a:round/>
            </a:ln>
            <a:effectLst/>
          </c:spPr>
          <c:marker>
            <c:symbol val="none"/>
          </c:marker>
          <c:dLbls>
            <c:dLbl>
              <c:idx val="0"/>
              <c:layout>
                <c:manualLayout>
                  <c:x val="-2.6565852661694103E-2"/>
                  <c:y val="-7.1671743415158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7F-42A8-A68C-00B29DA448BA}"/>
                </c:ext>
              </c:extLst>
            </c:dLbl>
            <c:dLbl>
              <c:idx val="1"/>
              <c:delete val="1"/>
              <c:extLst>
                <c:ext xmlns:c15="http://schemas.microsoft.com/office/drawing/2012/chart" uri="{CE6537A1-D6FC-4f65-9D91-7224C49458BB}"/>
                <c:ext xmlns:c16="http://schemas.microsoft.com/office/drawing/2014/chart" uri="{C3380CC4-5D6E-409C-BE32-E72D297353CC}">
                  <c16:uniqueId val="{00000004-337F-42A8-A68C-00B29DA448BA}"/>
                </c:ext>
              </c:extLst>
            </c:dLbl>
            <c:dLbl>
              <c:idx val="2"/>
              <c:delete val="1"/>
              <c:extLst>
                <c:ext xmlns:c15="http://schemas.microsoft.com/office/drawing/2012/chart" uri="{CE6537A1-D6FC-4f65-9D91-7224C49458BB}"/>
                <c:ext xmlns:c16="http://schemas.microsoft.com/office/drawing/2014/chart" uri="{C3380CC4-5D6E-409C-BE32-E72D297353CC}">
                  <c16:uniqueId val="{00000005-337F-42A8-A68C-00B29DA448BA}"/>
                </c:ext>
              </c:extLst>
            </c:dLbl>
            <c:dLbl>
              <c:idx val="3"/>
              <c:layout>
                <c:manualLayout>
                  <c:x val="-3.0652906917339327E-2"/>
                  <c:y val="-6.56983391777415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7F-42A8-A68C-00B29DA448BA}"/>
                </c:ext>
              </c:extLst>
            </c:dLbl>
            <c:dLbl>
              <c:idx val="4"/>
              <c:delete val="1"/>
              <c:extLst>
                <c:ext xmlns:c15="http://schemas.microsoft.com/office/drawing/2012/chart" uri="{CE6537A1-D6FC-4f65-9D91-7224C49458BB}"/>
                <c:ext xmlns:c16="http://schemas.microsoft.com/office/drawing/2014/chart" uri="{C3380CC4-5D6E-409C-BE32-E72D297353CC}">
                  <c16:uniqueId val="{00000007-337F-42A8-A68C-00B29DA448BA}"/>
                </c:ext>
              </c:extLst>
            </c:dLbl>
            <c:dLbl>
              <c:idx val="5"/>
              <c:delete val="1"/>
              <c:extLst>
                <c:ext xmlns:c15="http://schemas.microsoft.com/office/drawing/2012/chart" uri="{CE6537A1-D6FC-4f65-9D91-7224C49458BB}"/>
                <c:ext xmlns:c16="http://schemas.microsoft.com/office/drawing/2014/chart" uri="{C3380CC4-5D6E-409C-BE32-E72D297353CC}">
                  <c16:uniqueId val="{00000008-337F-42A8-A68C-00B29DA448BA}"/>
                </c:ext>
              </c:extLst>
            </c:dLbl>
            <c:dLbl>
              <c:idx val="6"/>
              <c:delete val="1"/>
              <c:extLst>
                <c:ext xmlns:c15="http://schemas.microsoft.com/office/drawing/2012/chart" uri="{CE6537A1-D6FC-4f65-9D91-7224C49458BB}"/>
                <c:ext xmlns:c16="http://schemas.microsoft.com/office/drawing/2014/chart" uri="{C3380CC4-5D6E-409C-BE32-E72D297353CC}">
                  <c16:uniqueId val="{00000009-337F-42A8-A68C-00B29DA448BA}"/>
                </c:ext>
              </c:extLst>
            </c:dLbl>
            <c:dLbl>
              <c:idx val="7"/>
              <c:delete val="1"/>
              <c:extLst>
                <c:ext xmlns:c15="http://schemas.microsoft.com/office/drawing/2012/chart" uri="{CE6537A1-D6FC-4f65-9D91-7224C49458BB}"/>
                <c:ext xmlns:c16="http://schemas.microsoft.com/office/drawing/2014/chart" uri="{C3380CC4-5D6E-409C-BE32-E72D297353CC}">
                  <c16:uniqueId val="{0000000A-337F-42A8-A68C-00B29DA448BA}"/>
                </c:ext>
              </c:extLst>
            </c:dLbl>
            <c:dLbl>
              <c:idx val="8"/>
              <c:delete val="1"/>
              <c:extLst>
                <c:ext xmlns:c15="http://schemas.microsoft.com/office/drawing/2012/chart" uri="{CE6537A1-D6FC-4f65-9D91-7224C49458BB}"/>
                <c:ext xmlns:c16="http://schemas.microsoft.com/office/drawing/2014/chart" uri="{C3380CC4-5D6E-409C-BE32-E72D297353CC}">
                  <c16:uniqueId val="{0000000B-337F-42A8-A68C-00B29DA448BA}"/>
                </c:ext>
              </c:extLst>
            </c:dLbl>
            <c:spPr>
              <a:solidFill>
                <a:srgbClr val="C00000"/>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Maliyetler!$A$2:$A$10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Maliyetler!$D$2:$D$10</c:f>
              <c:numCache>
                <c:formatCode>0%</c:formatCode>
                <c:ptCount val="9"/>
                <c:pt idx="0">
                  <c:v>0.18742147871722287</c:v>
                </c:pt>
                <c:pt idx="1">
                  <c:v>0.10105362113540815</c:v>
                </c:pt>
                <c:pt idx="2">
                  <c:v>0.11402481560634165</c:v>
                </c:pt>
                <c:pt idx="3">
                  <c:v>0.11874365817312751</c:v>
                </c:pt>
                <c:pt idx="4">
                  <c:v>0</c:v>
                </c:pt>
                <c:pt idx="5">
                  <c:v>3.0150205756711457E-2</c:v>
                </c:pt>
                <c:pt idx="6">
                  <c:v>2.3421811990630394E-2</c:v>
                </c:pt>
                <c:pt idx="7">
                  <c:v>1.84568359987713E-2</c:v>
                </c:pt>
                <c:pt idx="8">
                  <c:v>8.099929006348679E-3</c:v>
                </c:pt>
              </c:numCache>
            </c:numRef>
          </c:val>
          <c:smooth val="0"/>
          <c:extLst>
            <c:ext xmlns:c16="http://schemas.microsoft.com/office/drawing/2014/chart" uri="{C3380CC4-5D6E-409C-BE32-E72D297353CC}">
              <c16:uniqueId val="{0000000C-337F-42A8-A68C-00B29DA448BA}"/>
            </c:ext>
          </c:extLst>
        </c:ser>
        <c:dLbls>
          <c:showLegendKey val="0"/>
          <c:showVal val="0"/>
          <c:showCatName val="0"/>
          <c:showSerName val="0"/>
          <c:showPercent val="0"/>
          <c:showBubbleSize val="0"/>
        </c:dLbls>
        <c:marker val="1"/>
        <c:smooth val="0"/>
        <c:axId val="1062748688"/>
        <c:axId val="1974864976"/>
      </c:lineChart>
      <c:catAx>
        <c:axId val="660724848"/>
        <c:scaling>
          <c:orientation val="minMax"/>
        </c:scaling>
        <c:delete val="0"/>
        <c:axPos val="b"/>
        <c:numFmt formatCode="General" sourceLinked="1"/>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6830400"/>
        <c:crosses val="autoZero"/>
        <c:auto val="1"/>
        <c:lblAlgn val="ctr"/>
        <c:lblOffset val="100"/>
        <c:noMultiLvlLbl val="0"/>
      </c:catAx>
      <c:valAx>
        <c:axId val="100683040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kumimoji="0" lang="en-US" sz="1000" b="1" i="0" u="none" strike="noStrike" kern="1200" cap="none" spc="0" normalizeH="0" baseline="0" noProof="0">
                    <a:ln>
                      <a:noFill/>
                    </a:ln>
                    <a:solidFill>
                      <a:sysClr val="windowText" lastClr="000000"/>
                    </a:solidFill>
                    <a:effectLst/>
                    <a:uLnTx/>
                    <a:uFillTx/>
                    <a:latin typeface="Calibri" panose="020F0502020204030204"/>
                  </a:rPr>
                  <a:t>Tahmini </a:t>
                </a:r>
                <a:r>
                  <a:rPr lang="en-US" b="1">
                    <a:solidFill>
                      <a:sysClr val="windowText" lastClr="000000"/>
                    </a:solidFill>
                    <a:latin typeface="+mn-lt"/>
                  </a:rPr>
                  <a:t>Maliyet</a:t>
                </a:r>
                <a:r>
                  <a:rPr lang="en-US" b="1" baseline="0">
                    <a:solidFill>
                      <a:sysClr val="windowText" lastClr="000000"/>
                    </a:solidFill>
                    <a:latin typeface="+mn-lt"/>
                  </a:rPr>
                  <a:t> (</a:t>
                </a:r>
                <a:r>
                  <a:rPr kumimoji="0" lang="en-US" sz="1000" b="1" i="0" u="none" strike="noStrike" kern="1200" cap="none" spc="0" normalizeH="0" baseline="0" noProof="0">
                    <a:ln>
                      <a:noFill/>
                    </a:ln>
                    <a:solidFill>
                      <a:sysClr val="windowText" lastClr="000000"/>
                    </a:solidFill>
                    <a:effectLst/>
                    <a:uLnTx/>
                    <a:uFillTx/>
                  </a:rPr>
                  <a:t>milyon </a:t>
                </a:r>
                <a:r>
                  <a:rPr lang="en-US" sz="1000" b="1" i="0" u="none" strike="noStrike" kern="1200" baseline="0">
                    <a:solidFill>
                      <a:sysClr val="windowText" lastClr="000000"/>
                    </a:solidFill>
                  </a:rPr>
                  <a:t>£/Yıl</a:t>
                </a:r>
                <a:r>
                  <a:rPr lang="en-US" b="1" baseline="0">
                    <a:solidFill>
                      <a:sysClr val="windowText" lastClr="000000"/>
                    </a:solidFill>
                    <a:latin typeface="+mn-lt"/>
                  </a:rPr>
                  <a:t>)</a:t>
                </a:r>
                <a:endParaRPr lang="en-US" b="1">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60724848"/>
        <c:crosses val="autoZero"/>
        <c:crossBetween val="between"/>
      </c:valAx>
      <c:valAx>
        <c:axId val="197486497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Tahmini</a:t>
                </a:r>
                <a:r>
                  <a:rPr lang="en-US" baseline="0">
                    <a:solidFill>
                      <a:sysClr val="windowText" lastClr="000000"/>
                    </a:solidFill>
                  </a:rPr>
                  <a:t> Toplam Maliyet İçerisindeki Kömür Payı</a:t>
                </a:r>
              </a:p>
              <a:p>
                <a:pPr>
                  <a:defRPr>
                    <a:solidFill>
                      <a:sysClr val="windowText" lastClr="000000"/>
                    </a:solidFill>
                  </a:defRPr>
                </a:pPr>
                <a:r>
                  <a:rPr lang="en-US" baseline="0">
                    <a:solidFill>
                      <a:sysClr val="windowText" lastClr="000000"/>
                    </a:solidFill>
                  </a:rPr>
                  <a:t>(%)</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62748688"/>
        <c:crosses val="max"/>
        <c:crossBetween val="between"/>
      </c:valAx>
      <c:catAx>
        <c:axId val="1062748688"/>
        <c:scaling>
          <c:orientation val="minMax"/>
        </c:scaling>
        <c:delete val="1"/>
        <c:axPos val="b"/>
        <c:numFmt formatCode="General" sourceLinked="1"/>
        <c:majorTickMark val="out"/>
        <c:minorTickMark val="none"/>
        <c:tickLblPos val="nextTo"/>
        <c:crossAx val="1974864976"/>
        <c:crosses val="autoZero"/>
        <c:auto val="1"/>
        <c:lblAlgn val="ctr"/>
        <c:lblOffset val="100"/>
        <c:noMultiLvlLbl val="0"/>
      </c:catAx>
      <c:spPr>
        <a:noFill/>
        <a:ln>
          <a:noFill/>
        </a:ln>
        <a:effectLst/>
      </c:spPr>
    </c:plotArea>
    <c:legend>
      <c:legendPos val="b"/>
      <c:layout>
        <c:manualLayout>
          <c:xMode val="edge"/>
          <c:yMode val="edge"/>
          <c:x val="3.039545468076325E-2"/>
          <c:y val="0.86292694420185467"/>
          <c:w val="0.96960454531923679"/>
          <c:h val="0.11557153277359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Doğal Gaz</c:v>
                </c:pt>
              </c:strCache>
            </c:strRef>
          </c:tx>
          <c:spPr>
            <a:solidFill>
              <a:schemeClr val="tx2">
                <a:lumMod val="60000"/>
                <a:lumOff val="40000"/>
              </a:schemeClr>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0.73372085530999998</c:v>
                </c:pt>
                <c:pt idx="1">
                  <c:v>0.66272530777999994</c:v>
                </c:pt>
                <c:pt idx="2">
                  <c:v>0.81657717836449506</c:v>
                </c:pt>
                <c:pt idx="3">
                  <c:v>1.07509306619</c:v>
                </c:pt>
                <c:pt idx="4">
                  <c:v>2.0205837116899996</c:v>
                </c:pt>
                <c:pt idx="5">
                  <c:v>2.182516481</c:v>
                </c:pt>
              </c:numCache>
            </c:numRef>
          </c:val>
          <c:extLst>
            <c:ext xmlns:c16="http://schemas.microsoft.com/office/drawing/2014/chart" uri="{C3380CC4-5D6E-409C-BE32-E72D297353CC}">
              <c16:uniqueId val="{00000000-11C2-4842-B256-4014787F0934}"/>
            </c:ext>
          </c:extLst>
        </c:ser>
        <c:ser>
          <c:idx val="1"/>
          <c:order val="1"/>
          <c:tx>
            <c:strRef>
              <c:f>Sheet1!$C$1</c:f>
              <c:strCache>
                <c:ptCount val="1"/>
                <c:pt idx="0">
                  <c:v>Yerli Kömür</c:v>
                </c:pt>
              </c:strCache>
            </c:strRef>
          </c:tx>
          <c:spPr>
            <a:solidFill>
              <a:schemeClr val="bg1">
                <a:lumMod val="75000"/>
              </a:schemeClr>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0.65539751850999994</c:v>
                </c:pt>
                <c:pt idx="1">
                  <c:v>1.1835545382700001</c:v>
                </c:pt>
                <c:pt idx="2">
                  <c:v>1.1830603000319875</c:v>
                </c:pt>
                <c:pt idx="3">
                  <c:v>1.54040533753</c:v>
                </c:pt>
                <c:pt idx="4">
                  <c:v>0.69387538234000001</c:v>
                </c:pt>
                <c:pt idx="5">
                  <c:v>0.98939610300000003</c:v>
                </c:pt>
              </c:numCache>
            </c:numRef>
          </c:val>
          <c:extLst>
            <c:ext xmlns:c16="http://schemas.microsoft.com/office/drawing/2014/chart" uri="{C3380CC4-5D6E-409C-BE32-E72D297353CC}">
              <c16:uniqueId val="{00000001-11C2-4842-B256-4014787F0934}"/>
            </c:ext>
          </c:extLst>
        </c:ser>
        <c:ser>
          <c:idx val="2"/>
          <c:order val="2"/>
          <c:tx>
            <c:strRef>
              <c:f>Sheet1!$D$1</c:f>
              <c:strCache>
                <c:ptCount val="1"/>
                <c:pt idx="0">
                  <c:v>İthal ve Yerli Kömür</c:v>
                </c:pt>
              </c:strCache>
            </c:strRef>
          </c:tx>
          <c:spPr>
            <a:solidFill>
              <a:schemeClr val="tx1"/>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Sheet1!$D$2:$D$7</c:f>
              <c:numCache>
                <c:formatCode>General</c:formatCode>
                <c:ptCount val="6"/>
                <c:pt idx="0">
                  <c:v>1.7997883669999999E-2</c:v>
                </c:pt>
                <c:pt idx="1">
                  <c:v>1.8683609949999999E-2</c:v>
                </c:pt>
                <c:pt idx="2">
                  <c:v>4.5066177059092924E-2</c:v>
                </c:pt>
                <c:pt idx="3">
                  <c:v>7.756409253999999E-2</c:v>
                </c:pt>
                <c:pt idx="4">
                  <c:v>1.4820336509999999E-2</c:v>
                </c:pt>
                <c:pt idx="5">
                  <c:v>1.4614561E-2</c:v>
                </c:pt>
              </c:numCache>
            </c:numRef>
          </c:val>
          <c:extLst>
            <c:ext xmlns:c16="http://schemas.microsoft.com/office/drawing/2014/chart" uri="{C3380CC4-5D6E-409C-BE32-E72D297353CC}">
              <c16:uniqueId val="{00000002-11C2-4842-B256-4014787F0934}"/>
            </c:ext>
          </c:extLst>
        </c:ser>
        <c:ser>
          <c:idx val="3"/>
          <c:order val="3"/>
          <c:tx>
            <c:strRef>
              <c:f>Sheet1!$E$1</c:f>
              <c:strCache>
                <c:ptCount val="1"/>
                <c:pt idx="0">
                  <c:v>Hidro</c:v>
                </c:pt>
              </c:strCache>
            </c:strRef>
          </c:tx>
          <c:spPr>
            <a:solidFill>
              <a:schemeClr val="accent1"/>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Sheet1!$E$2:$E$7</c:f>
              <c:numCache>
                <c:formatCode>General</c:formatCode>
                <c:ptCount val="6"/>
                <c:pt idx="0">
                  <c:v>0</c:v>
                </c:pt>
                <c:pt idx="1">
                  <c:v>0.13503654400999998</c:v>
                </c:pt>
                <c:pt idx="2">
                  <c:v>0.15529634460759051</c:v>
                </c:pt>
                <c:pt idx="3">
                  <c:v>0.16535279461999999</c:v>
                </c:pt>
                <c:pt idx="4">
                  <c:v>0.27072056939</c:v>
                </c:pt>
                <c:pt idx="5">
                  <c:v>0.299662288</c:v>
                </c:pt>
              </c:numCache>
            </c:numRef>
          </c:val>
          <c:extLst>
            <c:ext xmlns:c16="http://schemas.microsoft.com/office/drawing/2014/chart" uri="{C3380CC4-5D6E-409C-BE32-E72D297353CC}">
              <c16:uniqueId val="{00000003-11C2-4842-B256-4014787F0934}"/>
            </c:ext>
          </c:extLst>
        </c:ser>
        <c:dLbls>
          <c:showLegendKey val="0"/>
          <c:showVal val="0"/>
          <c:showCatName val="0"/>
          <c:showSerName val="0"/>
          <c:showPercent val="0"/>
          <c:showBubbleSize val="0"/>
        </c:dLbls>
        <c:gapWidth val="150"/>
        <c:overlap val="100"/>
        <c:axId val="1397887647"/>
        <c:axId val="1394896671"/>
      </c:barChart>
      <c:catAx>
        <c:axId val="139788764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4896671"/>
        <c:crosses val="autoZero"/>
        <c:auto val="1"/>
        <c:lblAlgn val="ctr"/>
        <c:lblOffset val="100"/>
        <c:noMultiLvlLbl val="0"/>
      </c:catAx>
      <c:valAx>
        <c:axId val="13948966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tr-TR"/>
                  <a:t>Kapasite Mekanizması Ödemesi </a:t>
                </a:r>
              </a:p>
              <a:p>
                <a:pPr>
                  <a:defRPr/>
                </a:pPr>
                <a:r>
                  <a:rPr lang="tr-TR"/>
                  <a:t>(milyar TL)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788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Kömür Kaynaklı Elektrik Üretimi</c:v>
                </c:pt>
              </c:strCache>
            </c:strRef>
          </c:tx>
          <c:spPr>
            <a:solidFill>
              <a:schemeClr val="tx1"/>
            </a:solidFill>
            <a:ln>
              <a:noFill/>
            </a:ln>
            <a:effectLst/>
          </c:spPr>
          <c:invertIfNegative val="0"/>
          <c:dLbls>
            <c:spPr>
              <a:solidFill>
                <a:schemeClr val="tx1"/>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Sheet1!$B$2:$B$16</c:f>
              <c:numCache>
                <c:formatCode>_-* #,##0_-;\-* #,##0_-;_-* "-"??_-;_-@_-</c:formatCode>
                <c:ptCount val="14"/>
                <c:pt idx="0">
                  <c:v>197.62714099999999</c:v>
                </c:pt>
                <c:pt idx="1">
                  <c:v>205.688166</c:v>
                </c:pt>
                <c:pt idx="2">
                  <c:v>206.79590300000001</c:v>
                </c:pt>
                <c:pt idx="3">
                  <c:v>274.34814399999999</c:v>
                </c:pt>
                <c:pt idx="4">
                  <c:v>251.538354</c:v>
                </c:pt>
                <c:pt idx="5">
                  <c:v>193.36287100000001</c:v>
                </c:pt>
                <c:pt idx="6">
                  <c:v>149.001317</c:v>
                </c:pt>
                <c:pt idx="7">
                  <c:v>56.047497</c:v>
                </c:pt>
                <c:pt idx="8">
                  <c:v>41.224373</c:v>
                </c:pt>
                <c:pt idx="9">
                  <c:v>30.800664000000001</c:v>
                </c:pt>
                <c:pt idx="10">
                  <c:v>11.873238000000001</c:v>
                </c:pt>
                <c:pt idx="11">
                  <c:v>8.7638770000000008</c:v>
                </c:pt>
                <c:pt idx="12">
                  <c:v>9.9468750000000004</c:v>
                </c:pt>
                <c:pt idx="13">
                  <c:v>8.5441090000000006</c:v>
                </c:pt>
              </c:numCache>
            </c:numRef>
          </c:val>
          <c:extLst>
            <c:ext xmlns:c16="http://schemas.microsoft.com/office/drawing/2014/chart" uri="{C3380CC4-5D6E-409C-BE32-E72D297353CC}">
              <c16:uniqueId val="{00000000-2CC9-4F83-BD2C-2436AD8C909F}"/>
            </c:ext>
          </c:extLst>
        </c:ser>
        <c:ser>
          <c:idx val="1"/>
          <c:order val="1"/>
          <c:tx>
            <c:strRef>
              <c:f>Sheet1!$C$1</c:f>
              <c:strCache>
                <c:ptCount val="1"/>
                <c:pt idx="0">
                  <c:v>Toplam Elektrik Üretimi</c:v>
                </c:pt>
              </c:strCache>
            </c:strRef>
          </c:tx>
          <c:spPr>
            <a:solidFill>
              <a:schemeClr val="bg1">
                <a:lumMod val="65000"/>
              </a:schemeClr>
            </a:solidFill>
            <a:ln>
              <a:noFill/>
            </a:ln>
            <a:effectLst/>
          </c:spPr>
          <c:invertIfNegative val="0"/>
          <c:dLbls>
            <c:spPr>
              <a:solidFill>
                <a:schemeClr val="bg1">
                  <a:lumMod val="75000"/>
                </a:schemeClr>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Sheet1!$C$2:$C$16</c:f>
              <c:numCache>
                <c:formatCode>_-* #,##0_-;\-* #,##0_-;_-* "-"??_-;_-@_-</c:formatCode>
                <c:ptCount val="14"/>
                <c:pt idx="0">
                  <c:v>658.49558100000002</c:v>
                </c:pt>
                <c:pt idx="1">
                  <c:v>670.40207099999998</c:v>
                </c:pt>
                <c:pt idx="2">
                  <c:v>644.70587999999998</c:v>
                </c:pt>
                <c:pt idx="3">
                  <c:v>647.65149099999996</c:v>
                </c:pt>
                <c:pt idx="4">
                  <c:v>644.90232100000003</c:v>
                </c:pt>
                <c:pt idx="5">
                  <c:v>619.92041400000005</c:v>
                </c:pt>
                <c:pt idx="6">
                  <c:v>609.76592700000003</c:v>
                </c:pt>
                <c:pt idx="7">
                  <c:v>606.398368</c:v>
                </c:pt>
                <c:pt idx="8">
                  <c:v>601.44386999999995</c:v>
                </c:pt>
                <c:pt idx="9">
                  <c:v>596.74679300000003</c:v>
                </c:pt>
                <c:pt idx="10">
                  <c:v>583.04800699999998</c:v>
                </c:pt>
                <c:pt idx="11">
                  <c:v>551.029674</c:v>
                </c:pt>
                <c:pt idx="12">
                  <c:v>569.64404500000001</c:v>
                </c:pt>
                <c:pt idx="13">
                  <c:v>579.44875200000001</c:v>
                </c:pt>
              </c:numCache>
            </c:numRef>
          </c:val>
          <c:extLst>
            <c:ext xmlns:c16="http://schemas.microsoft.com/office/drawing/2014/chart" uri="{C3380CC4-5D6E-409C-BE32-E72D297353CC}">
              <c16:uniqueId val="{00000001-2CC9-4F83-BD2C-2436AD8C909F}"/>
            </c:ext>
          </c:extLst>
        </c:ser>
        <c:dLbls>
          <c:showLegendKey val="0"/>
          <c:showVal val="0"/>
          <c:showCatName val="0"/>
          <c:showSerName val="0"/>
          <c:showPercent val="0"/>
          <c:showBubbleSize val="0"/>
        </c:dLbls>
        <c:gapWidth val="219"/>
        <c:axId val="271521727"/>
        <c:axId val="1831249455"/>
      </c:barChart>
      <c:lineChart>
        <c:grouping val="standard"/>
        <c:varyColors val="0"/>
        <c:ser>
          <c:idx val="2"/>
          <c:order val="2"/>
          <c:tx>
            <c:strRef>
              <c:f>Sheet1!$D$1</c:f>
              <c:strCache>
                <c:ptCount val="1"/>
                <c:pt idx="0">
                  <c:v>Toplam Elektrik Üretimindeki Kömür Payı</c:v>
                </c:pt>
              </c:strCache>
            </c:strRef>
          </c:tx>
          <c:spPr>
            <a:ln w="28575" cap="rnd">
              <a:solidFill>
                <a:srgbClr val="C00000"/>
              </a:solidFill>
              <a:round/>
            </a:ln>
            <a:effectLst/>
          </c:spPr>
          <c:marker>
            <c:symbol val="none"/>
          </c:marker>
          <c:dLbls>
            <c:dLbl>
              <c:idx val="9"/>
              <c:layout>
                <c:manualLayout>
                  <c:x val="-3.0839165937591135E-2"/>
                  <c:y val="-2.3809523809523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C9-4F83-BD2C-2436AD8C909F}"/>
                </c:ext>
              </c:extLst>
            </c:dLbl>
            <c:dLbl>
              <c:idx val="10"/>
              <c:layout>
                <c:manualLayout>
                  <c:x val="-3.0839165937591218E-2"/>
                  <c:y val="-6.3492063492063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C9-4F83-BD2C-2436AD8C909F}"/>
                </c:ext>
              </c:extLst>
            </c:dLbl>
            <c:dLbl>
              <c:idx val="11"/>
              <c:layout>
                <c:manualLayout>
                  <c:x val="-3.0839165937591218E-2"/>
                  <c:y val="-6.7460317460317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C9-4F83-BD2C-2436AD8C909F}"/>
                </c:ext>
              </c:extLst>
            </c:dLbl>
            <c:dLbl>
              <c:idx val="12"/>
              <c:layout>
                <c:manualLayout>
                  <c:x val="-3.0839165937591218E-2"/>
                  <c:y val="-7.1428571428571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C9-4F83-BD2C-2436AD8C909F}"/>
                </c:ext>
              </c:extLst>
            </c:dLbl>
            <c:dLbl>
              <c:idx val="13"/>
              <c:layout>
                <c:manualLayout>
                  <c:x val="-3.0839165937591305E-2"/>
                  <c:y val="-7.9365079365079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C9-4F83-BD2C-2436AD8C909F}"/>
                </c:ext>
              </c:extLst>
            </c:dLbl>
            <c:spPr>
              <a:solidFill>
                <a:srgbClr val="C00000"/>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Sheet1!$A$2:$A$16</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Sheet1!$D$2:$D$16</c:f>
              <c:numCache>
                <c:formatCode>0%</c:formatCode>
                <c:ptCount val="14"/>
                <c:pt idx="0">
                  <c:v>0.30011916055667504</c:v>
                </c:pt>
                <c:pt idx="1">
                  <c:v>0.30681314228815981</c:v>
                </c:pt>
                <c:pt idx="2">
                  <c:v>0.32076006969255499</c:v>
                </c:pt>
                <c:pt idx="3">
                  <c:v>0.42360458952452251</c:v>
                </c:pt>
                <c:pt idx="4">
                  <c:v>0.39004101211786457</c:v>
                </c:pt>
                <c:pt idx="5">
                  <c:v>0.31191563728695021</c:v>
                </c:pt>
                <c:pt idx="6">
                  <c:v>0.2443582207570611</c:v>
                </c:pt>
                <c:pt idx="7">
                  <c:v>9.2426859895506849E-2</c:v>
                </c:pt>
                <c:pt idx="8">
                  <c:v>6.8542344608151048E-2</c:v>
                </c:pt>
                <c:pt idx="9">
                  <c:v>5.1614293300441753E-2</c:v>
                </c:pt>
                <c:pt idx="10">
                  <c:v>2.0364082987080683E-2</c:v>
                </c:pt>
                <c:pt idx="11">
                  <c:v>1.5904546367497444E-2</c:v>
                </c:pt>
                <c:pt idx="12">
                  <c:v>1.7461562334071271E-2</c:v>
                </c:pt>
                <c:pt idx="13">
                  <c:v>1.4745236693511767E-2</c:v>
                </c:pt>
              </c:numCache>
            </c:numRef>
          </c:val>
          <c:smooth val="0"/>
          <c:extLst>
            <c:ext xmlns:c16="http://schemas.microsoft.com/office/drawing/2014/chart" uri="{C3380CC4-5D6E-409C-BE32-E72D297353CC}">
              <c16:uniqueId val="{00000007-2CC9-4F83-BD2C-2436AD8C909F}"/>
            </c:ext>
          </c:extLst>
        </c:ser>
        <c:dLbls>
          <c:showLegendKey val="0"/>
          <c:showVal val="0"/>
          <c:showCatName val="0"/>
          <c:showSerName val="0"/>
          <c:showPercent val="0"/>
          <c:showBubbleSize val="0"/>
        </c:dLbls>
        <c:marker val="1"/>
        <c:smooth val="0"/>
        <c:axId val="164396576"/>
        <c:axId val="81085856"/>
      </c:lineChart>
      <c:catAx>
        <c:axId val="271521727"/>
        <c:scaling>
          <c:orientation val="minMax"/>
        </c:scaling>
        <c:delete val="0"/>
        <c:axPos val="b"/>
        <c:numFmt formatCode="General" sourceLinked="1"/>
        <c:majorTickMark val="out"/>
        <c:minorTickMark val="out"/>
        <c:tickLblPos val="nextTo"/>
        <c:spPr>
          <a:noFill/>
          <a:ln w="6350" cap="flat" cmpd="sng" algn="ctr">
            <a:solidFill>
              <a:schemeClr val="dk1"/>
            </a:solidFill>
            <a:prstDash val="solid"/>
            <a:miter lim="800000"/>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831249455"/>
        <c:crosses val="autoZero"/>
        <c:auto val="1"/>
        <c:lblAlgn val="ctr"/>
        <c:lblOffset val="100"/>
        <c:noMultiLvlLbl val="0"/>
      </c:catAx>
      <c:valAx>
        <c:axId val="1831249455"/>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tr-TR" b="1">
                    <a:solidFill>
                      <a:sysClr val="windowText" lastClr="000000"/>
                    </a:solidFill>
                  </a:rPr>
                  <a:t>Elektrik</a:t>
                </a:r>
                <a:r>
                  <a:rPr lang="tr-TR" b="1" baseline="0">
                    <a:solidFill>
                      <a:sysClr val="windowText" lastClr="000000"/>
                    </a:solidFill>
                  </a:rPr>
                  <a:t> Üretimi (TWh)</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out"/>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71521727"/>
        <c:crosses val="autoZero"/>
        <c:crossBetween val="between"/>
      </c:valAx>
      <c:valAx>
        <c:axId val="8108585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tr-TR">
                    <a:solidFill>
                      <a:sysClr val="windowText" lastClr="000000"/>
                    </a:solidFill>
                  </a:rPr>
                  <a:t>Kömür</a:t>
                </a:r>
                <a:r>
                  <a:rPr lang="tr-TR" baseline="0">
                    <a:solidFill>
                      <a:sysClr val="windowText" lastClr="000000"/>
                    </a:solidFill>
                  </a:rPr>
                  <a:t> Payı (%)</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4396576"/>
        <c:crosses val="max"/>
        <c:crossBetween val="between"/>
      </c:valAx>
      <c:catAx>
        <c:axId val="164396576"/>
        <c:scaling>
          <c:orientation val="minMax"/>
        </c:scaling>
        <c:delete val="1"/>
        <c:axPos val="b"/>
        <c:numFmt formatCode="General" sourceLinked="1"/>
        <c:majorTickMark val="out"/>
        <c:minorTickMark val="none"/>
        <c:tickLblPos val="nextTo"/>
        <c:crossAx val="81085856"/>
        <c:crosses val="autoZero"/>
        <c:auto val="1"/>
        <c:lblAlgn val="ctr"/>
        <c:lblOffset val="100"/>
        <c:noMultiLvlLbl val="0"/>
      </c:catAx>
      <c:spPr>
        <a:noFill/>
        <a:ln>
          <a:noFill/>
        </a:ln>
        <a:effectLst/>
      </c:spPr>
    </c:plotArea>
    <c:legend>
      <c:legendPos val="b"/>
      <c:layout>
        <c:manualLayout>
          <c:xMode val="edge"/>
          <c:yMode val="edge"/>
          <c:x val="0"/>
          <c:y val="0.84821334833145856"/>
          <c:w val="1"/>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0"/>
          <c:tx>
            <c:strRef>
              <c:f>'[İspanya Üretim ve Kapasite Datası.xlsx]kurulu güç'!$B$14</c:f>
              <c:strCache>
                <c:ptCount val="1"/>
                <c:pt idx="0">
                  <c:v>Kömür</c:v>
                </c:pt>
              </c:strCache>
            </c:strRef>
          </c:tx>
          <c:spPr>
            <a:solidFill>
              <a:srgbClr val="404040"/>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güç'!$B$15:$B$21</c:f>
              <c:numCache>
                <c:formatCode>_-* #,##0_-;\-* #,##0_-;_-* "-"??_-;_-@_-</c:formatCode>
                <c:ptCount val="7"/>
                <c:pt idx="0">
                  <c:v>9535</c:v>
                </c:pt>
                <c:pt idx="1">
                  <c:v>9535</c:v>
                </c:pt>
                <c:pt idx="2">
                  <c:v>9561</c:v>
                </c:pt>
                <c:pt idx="3">
                  <c:v>9214</c:v>
                </c:pt>
                <c:pt idx="4">
                  <c:v>5977</c:v>
                </c:pt>
                <c:pt idx="5">
                  <c:v>4642</c:v>
                </c:pt>
                <c:pt idx="6">
                  <c:v>3223</c:v>
                </c:pt>
              </c:numCache>
            </c:numRef>
          </c:val>
          <c:extLst>
            <c:ext xmlns:c16="http://schemas.microsoft.com/office/drawing/2014/chart" uri="{C3380CC4-5D6E-409C-BE32-E72D297353CC}">
              <c16:uniqueId val="{00000000-D403-494D-90C5-F2DA19241854}"/>
            </c:ext>
          </c:extLst>
        </c:ser>
        <c:ser>
          <c:idx val="0"/>
          <c:order val="1"/>
          <c:tx>
            <c:strRef>
              <c:f>'[İspanya Üretim ve Kapasite Datası.xlsx]kurulu güç'!$C$14</c:f>
              <c:strCache>
                <c:ptCount val="1"/>
                <c:pt idx="0">
                  <c:v>Doğal Gaz</c:v>
                </c:pt>
              </c:strCache>
            </c:strRef>
          </c:tx>
          <c:spPr>
            <a:solidFill>
              <a:srgbClr val="AFABAB"/>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güç'!$C$15:$C$21</c:f>
              <c:numCache>
                <c:formatCode>_-* #,##0_-;\-* #,##0_-;_-* "-"??_-;_-@_-</c:formatCode>
                <c:ptCount val="7"/>
                <c:pt idx="0">
                  <c:v>30723</c:v>
                </c:pt>
                <c:pt idx="1">
                  <c:v>30683</c:v>
                </c:pt>
                <c:pt idx="2">
                  <c:v>30266</c:v>
                </c:pt>
                <c:pt idx="3">
                  <c:v>30012</c:v>
                </c:pt>
                <c:pt idx="4">
                  <c:v>29970</c:v>
                </c:pt>
                <c:pt idx="5">
                  <c:v>29927</c:v>
                </c:pt>
                <c:pt idx="6">
                  <c:v>29903</c:v>
                </c:pt>
              </c:numCache>
            </c:numRef>
          </c:val>
          <c:extLst>
            <c:ext xmlns:c16="http://schemas.microsoft.com/office/drawing/2014/chart" uri="{C3380CC4-5D6E-409C-BE32-E72D297353CC}">
              <c16:uniqueId val="{00000001-D403-494D-90C5-F2DA19241854}"/>
            </c:ext>
          </c:extLst>
        </c:ser>
        <c:ser>
          <c:idx val="2"/>
          <c:order val="2"/>
          <c:tx>
            <c:strRef>
              <c:f>'[İspanya Üretim ve Kapasite Datası.xlsx]kurulu güç'!$D$14</c:f>
              <c:strCache>
                <c:ptCount val="1"/>
                <c:pt idx="0">
                  <c:v>Oil</c:v>
                </c:pt>
              </c:strCache>
            </c:strRef>
          </c:tx>
          <c:spPr>
            <a:solidFill>
              <a:srgbClr val="8497B0"/>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güç'!$D$15:$D$21</c:f>
              <c:numCache>
                <c:formatCode>_-* #,##0_-;\-* #,##0_-;_-* "-"??_-;_-@_-</c:formatCode>
                <c:ptCount val="7"/>
                <c:pt idx="0">
                  <c:v>715</c:v>
                </c:pt>
                <c:pt idx="1">
                  <c:v>715</c:v>
                </c:pt>
                <c:pt idx="2">
                  <c:v>714</c:v>
                </c:pt>
                <c:pt idx="3">
                  <c:v>707</c:v>
                </c:pt>
                <c:pt idx="4">
                  <c:v>678</c:v>
                </c:pt>
                <c:pt idx="5">
                  <c:v>669</c:v>
                </c:pt>
                <c:pt idx="6">
                  <c:v>670</c:v>
                </c:pt>
              </c:numCache>
            </c:numRef>
          </c:val>
          <c:extLst>
            <c:ext xmlns:c16="http://schemas.microsoft.com/office/drawing/2014/chart" uri="{C3380CC4-5D6E-409C-BE32-E72D297353CC}">
              <c16:uniqueId val="{00000002-D403-494D-90C5-F2DA19241854}"/>
            </c:ext>
          </c:extLst>
        </c:ser>
        <c:ser>
          <c:idx val="5"/>
          <c:order val="3"/>
          <c:tx>
            <c:strRef>
              <c:f>'[İspanya Üretim ve Kapasite Datası.xlsx]kurulu güç'!$G$14</c:f>
              <c:strCache>
                <c:ptCount val="1"/>
                <c:pt idx="0">
                  <c:v>Nükleer</c:v>
                </c:pt>
              </c:strCache>
            </c:strRef>
          </c:tx>
          <c:spPr>
            <a:solidFill>
              <a:srgbClr val="177075"/>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güç'!$G$15:$G$21</c:f>
              <c:numCache>
                <c:formatCode>_-* #,##0_-;\-* #,##0_-;_-* "-"??_-;_-@_-</c:formatCode>
                <c:ptCount val="7"/>
                <c:pt idx="0">
                  <c:v>7572</c:v>
                </c:pt>
                <c:pt idx="1">
                  <c:v>7117</c:v>
                </c:pt>
                <c:pt idx="2">
                  <c:v>7117</c:v>
                </c:pt>
                <c:pt idx="3">
                  <c:v>7117</c:v>
                </c:pt>
                <c:pt idx="4">
                  <c:v>7117</c:v>
                </c:pt>
                <c:pt idx="5">
                  <c:v>7117</c:v>
                </c:pt>
                <c:pt idx="6">
                  <c:v>7117</c:v>
                </c:pt>
              </c:numCache>
            </c:numRef>
          </c:val>
          <c:extLst>
            <c:ext xmlns:c16="http://schemas.microsoft.com/office/drawing/2014/chart" uri="{C3380CC4-5D6E-409C-BE32-E72D297353CC}">
              <c16:uniqueId val="{00000003-D403-494D-90C5-F2DA19241854}"/>
            </c:ext>
          </c:extLst>
        </c:ser>
        <c:ser>
          <c:idx val="3"/>
          <c:order val="4"/>
          <c:tx>
            <c:strRef>
              <c:f>'[İspanya Üretim ve Kapasite Datası.xlsx]kurulu güç'!$E$14</c:f>
              <c:strCache>
                <c:ptCount val="1"/>
                <c:pt idx="0">
                  <c:v>Bioyakıt</c:v>
                </c:pt>
              </c:strCache>
            </c:strRef>
          </c:tx>
          <c:spPr>
            <a:solidFill>
              <a:srgbClr val="00B050"/>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güç'!$E$15:$E$21</c:f>
              <c:numCache>
                <c:formatCode>_-* #,##0_-;\-* #,##0_-;_-* "-"??_-;_-@_-</c:formatCode>
                <c:ptCount val="7"/>
                <c:pt idx="0">
                  <c:v>541</c:v>
                </c:pt>
                <c:pt idx="1">
                  <c:v>520</c:v>
                </c:pt>
                <c:pt idx="2">
                  <c:v>507</c:v>
                </c:pt>
                <c:pt idx="3">
                  <c:v>555</c:v>
                </c:pt>
                <c:pt idx="4">
                  <c:v>704</c:v>
                </c:pt>
                <c:pt idx="5">
                  <c:v>702</c:v>
                </c:pt>
                <c:pt idx="6">
                  <c:v>707</c:v>
                </c:pt>
              </c:numCache>
            </c:numRef>
          </c:val>
          <c:extLst>
            <c:ext xmlns:c16="http://schemas.microsoft.com/office/drawing/2014/chart" uri="{C3380CC4-5D6E-409C-BE32-E72D297353CC}">
              <c16:uniqueId val="{00000004-D403-494D-90C5-F2DA19241854}"/>
            </c:ext>
          </c:extLst>
        </c:ser>
        <c:ser>
          <c:idx val="4"/>
          <c:order val="5"/>
          <c:tx>
            <c:strRef>
              <c:f>'[İspanya Üretim ve Kapasite Datası.xlsx]kurulu güç'!$F$14</c:f>
              <c:strCache>
                <c:ptCount val="1"/>
                <c:pt idx="0">
                  <c:v>Atık Isı</c:v>
                </c:pt>
              </c:strCache>
            </c:strRef>
          </c:tx>
          <c:spPr>
            <a:solidFill>
              <a:srgbClr val="FF7F71"/>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güç'!$F$15:$F$21</c:f>
              <c:numCache>
                <c:formatCode>_-* #,##0_-;\-* #,##0_-;_-* "-"??_-;_-@_-</c:formatCode>
                <c:ptCount val="7"/>
                <c:pt idx="0">
                  <c:v>536</c:v>
                </c:pt>
                <c:pt idx="1">
                  <c:v>544</c:v>
                </c:pt>
                <c:pt idx="2">
                  <c:v>538</c:v>
                </c:pt>
                <c:pt idx="3">
                  <c:v>543</c:v>
                </c:pt>
                <c:pt idx="4">
                  <c:v>537</c:v>
                </c:pt>
                <c:pt idx="5">
                  <c:v>565</c:v>
                </c:pt>
                <c:pt idx="6">
                  <c:v>546</c:v>
                </c:pt>
              </c:numCache>
            </c:numRef>
          </c:val>
          <c:extLst>
            <c:ext xmlns:c16="http://schemas.microsoft.com/office/drawing/2014/chart" uri="{C3380CC4-5D6E-409C-BE32-E72D297353CC}">
              <c16:uniqueId val="{00000005-D403-494D-90C5-F2DA19241854}"/>
            </c:ext>
          </c:extLst>
        </c:ser>
        <c:ser>
          <c:idx val="6"/>
          <c:order val="6"/>
          <c:tx>
            <c:strRef>
              <c:f>'[İspanya Üretim ve Kapasite Datası.xlsx]kurulu güç'!$H$14</c:f>
              <c:strCache>
                <c:ptCount val="1"/>
                <c:pt idx="0">
                  <c:v>Hidro</c:v>
                </c:pt>
              </c:strCache>
            </c:strRef>
          </c:tx>
          <c:spPr>
            <a:solidFill>
              <a:srgbClr val="0067B4"/>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güç'!$H$15:$H$21</c:f>
              <c:numCache>
                <c:formatCode>_-* #,##0_-;\-* #,##0_-;_-* "-"??_-;_-@_-</c:formatCode>
                <c:ptCount val="7"/>
                <c:pt idx="0">
                  <c:v>25914</c:v>
                </c:pt>
                <c:pt idx="1">
                  <c:v>25926</c:v>
                </c:pt>
                <c:pt idx="2">
                  <c:v>25947</c:v>
                </c:pt>
                <c:pt idx="3">
                  <c:v>25939</c:v>
                </c:pt>
                <c:pt idx="4">
                  <c:v>25986</c:v>
                </c:pt>
                <c:pt idx="5">
                  <c:v>26037</c:v>
                </c:pt>
                <c:pt idx="6">
                  <c:v>20346</c:v>
                </c:pt>
              </c:numCache>
            </c:numRef>
          </c:val>
          <c:extLst>
            <c:ext xmlns:c16="http://schemas.microsoft.com/office/drawing/2014/chart" uri="{C3380CC4-5D6E-409C-BE32-E72D297353CC}">
              <c16:uniqueId val="{00000006-D403-494D-90C5-F2DA19241854}"/>
            </c:ext>
          </c:extLst>
        </c:ser>
        <c:ser>
          <c:idx val="7"/>
          <c:order val="7"/>
          <c:tx>
            <c:strRef>
              <c:f>'[İspanya Üretim ve Kapasite Datası.xlsx]kurulu güç'!$I$14</c:f>
              <c:strCache>
                <c:ptCount val="1"/>
                <c:pt idx="0">
                  <c:v>Rüzgar</c:v>
                </c:pt>
              </c:strCache>
            </c:strRef>
          </c:tx>
          <c:spPr>
            <a:solidFill>
              <a:srgbClr val="81D5AB"/>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güç'!$I$15:$I$21</c:f>
              <c:numCache>
                <c:formatCode>_-* #,##0_-;\-* #,##0_-;_-* "-"??_-;_-@_-</c:formatCode>
                <c:ptCount val="7"/>
                <c:pt idx="0">
                  <c:v>22813</c:v>
                </c:pt>
                <c:pt idx="1">
                  <c:v>22834</c:v>
                </c:pt>
                <c:pt idx="2">
                  <c:v>22961</c:v>
                </c:pt>
                <c:pt idx="3">
                  <c:v>24447</c:v>
                </c:pt>
                <c:pt idx="4">
                  <c:v>26664</c:v>
                </c:pt>
                <c:pt idx="5">
                  <c:v>27735</c:v>
                </c:pt>
                <c:pt idx="6">
                  <c:v>29320</c:v>
                </c:pt>
              </c:numCache>
            </c:numRef>
          </c:val>
          <c:extLst>
            <c:ext xmlns:c16="http://schemas.microsoft.com/office/drawing/2014/chart" uri="{C3380CC4-5D6E-409C-BE32-E72D297353CC}">
              <c16:uniqueId val="{00000007-D403-494D-90C5-F2DA19241854}"/>
            </c:ext>
          </c:extLst>
        </c:ser>
        <c:ser>
          <c:idx val="8"/>
          <c:order val="8"/>
          <c:tx>
            <c:strRef>
              <c:f>'[İspanya Üretim ve Kapasite Datası.xlsx]kurulu güç'!$J$14</c:f>
              <c:strCache>
                <c:ptCount val="1"/>
                <c:pt idx="0">
                  <c:v>Güneş</c:v>
                </c:pt>
              </c:strCache>
            </c:strRef>
          </c:tx>
          <c:spPr>
            <a:solidFill>
              <a:srgbClr val="FFC000"/>
            </a:solidFill>
            <a:ln>
              <a:noFill/>
            </a:ln>
            <a:effectLst/>
          </c:spPr>
          <c:cat>
            <c:numRef>
              <c:f>'[İspanya Üretim ve Kapasite Datası.xlsx]kurulu güç'!$A$15:$A$21</c:f>
              <c:numCache>
                <c:formatCode>General</c:formatCode>
                <c:ptCount val="7"/>
                <c:pt idx="0">
                  <c:v>2017</c:v>
                </c:pt>
                <c:pt idx="1">
                  <c:v>2018</c:v>
                </c:pt>
                <c:pt idx="2">
                  <c:v>2019</c:v>
                </c:pt>
                <c:pt idx="3">
                  <c:v>2020</c:v>
                </c:pt>
                <c:pt idx="4">
                  <c:v>2021</c:v>
                </c:pt>
                <c:pt idx="5">
                  <c:v>2022</c:v>
                </c:pt>
                <c:pt idx="6">
                  <c:v>2023</c:v>
                </c:pt>
              </c:numCache>
            </c:numRef>
          </c:cat>
          <c:val>
            <c:numRef>
              <c:f>'[İspanya Üretim ve Kapasite Datası.xlsx]kurulu güç'!$J$15:$J$21</c:f>
              <c:numCache>
                <c:formatCode>_-* #,##0_-;\-* #,##0_-;_-* "-"??_-;_-@_-</c:formatCode>
                <c:ptCount val="7"/>
                <c:pt idx="0">
                  <c:v>6720</c:v>
                </c:pt>
                <c:pt idx="1">
                  <c:v>6722</c:v>
                </c:pt>
                <c:pt idx="2">
                  <c:v>6751</c:v>
                </c:pt>
                <c:pt idx="3">
                  <c:v>8466</c:v>
                </c:pt>
                <c:pt idx="4">
                  <c:v>11390</c:v>
                </c:pt>
                <c:pt idx="5">
                  <c:v>14640</c:v>
                </c:pt>
                <c:pt idx="6">
                  <c:v>18523</c:v>
                </c:pt>
              </c:numCache>
            </c:numRef>
          </c:val>
          <c:extLst>
            <c:ext xmlns:c16="http://schemas.microsoft.com/office/drawing/2014/chart" uri="{C3380CC4-5D6E-409C-BE32-E72D297353CC}">
              <c16:uniqueId val="{00000008-D403-494D-90C5-F2DA19241854}"/>
            </c:ext>
          </c:extLst>
        </c:ser>
        <c:dLbls>
          <c:showLegendKey val="0"/>
          <c:showVal val="0"/>
          <c:showCatName val="0"/>
          <c:showSerName val="0"/>
          <c:showPercent val="0"/>
          <c:showBubbleSize val="0"/>
        </c:dLbls>
        <c:axId val="647557040"/>
        <c:axId val="226537408"/>
      </c:areaChart>
      <c:catAx>
        <c:axId val="6475570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6537408"/>
        <c:crosses val="autoZero"/>
        <c:auto val="1"/>
        <c:lblAlgn val="ctr"/>
        <c:lblOffset val="100"/>
        <c:noMultiLvlLbl val="0"/>
      </c:catAx>
      <c:valAx>
        <c:axId val="22653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_-* #,##0_-;\-* #,##0_-;_-* &quot;-&quot;??_-;_-@_-"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75570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'[İspanya Üretim - Kapasite Datası - Emisyon.xlsx]elektrik üretim'!$B$1</c:f>
              <c:strCache>
                <c:ptCount val="1"/>
                <c:pt idx="0">
                  <c:v>Kömür</c:v>
                </c:pt>
              </c:strCache>
            </c:strRef>
          </c:tx>
          <c:spPr>
            <a:solidFill>
              <a:schemeClr val="tx1"/>
            </a:solidFill>
            <a:ln>
              <a:noFill/>
            </a:ln>
            <a:effectLst/>
          </c:spPr>
          <c:invertIfNegative val="0"/>
          <c:cat>
            <c:numRef>
              <c:f>'[İspanya Üretim - Kapasite Datası - Emisyon.xlsx]elektrik üretim'!$A$2:$A$24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'[İspanya Üretim - Kapasite Datası - Emisyon.xlsx]elektrik üretim'!$B$2:$B$24</c:f>
              <c:numCache>
                <c:formatCode>_-* #,##0_-;\-* #,##0_-;_-* "-"??_-;_-@_-</c:formatCode>
                <c:ptCount val="23"/>
                <c:pt idx="0">
                  <c:v>80858</c:v>
                </c:pt>
                <c:pt idx="1">
                  <c:v>71734</c:v>
                </c:pt>
                <c:pt idx="2">
                  <c:v>82457</c:v>
                </c:pt>
                <c:pt idx="3">
                  <c:v>75955</c:v>
                </c:pt>
                <c:pt idx="4">
                  <c:v>80323</c:v>
                </c:pt>
                <c:pt idx="5">
                  <c:v>80767</c:v>
                </c:pt>
                <c:pt idx="6">
                  <c:v>67987</c:v>
                </c:pt>
                <c:pt idx="7">
                  <c:v>74085</c:v>
                </c:pt>
                <c:pt idx="8">
                  <c:v>49973</c:v>
                </c:pt>
                <c:pt idx="9">
                  <c:v>36938</c:v>
                </c:pt>
                <c:pt idx="10">
                  <c:v>26323</c:v>
                </c:pt>
                <c:pt idx="11">
                  <c:v>45126</c:v>
                </c:pt>
                <c:pt idx="12">
                  <c:v>55991</c:v>
                </c:pt>
                <c:pt idx="13">
                  <c:v>41332</c:v>
                </c:pt>
                <c:pt idx="14">
                  <c:v>45295</c:v>
                </c:pt>
                <c:pt idx="15">
                  <c:v>52676</c:v>
                </c:pt>
                <c:pt idx="16">
                  <c:v>37453</c:v>
                </c:pt>
                <c:pt idx="17">
                  <c:v>46349</c:v>
                </c:pt>
                <c:pt idx="18">
                  <c:v>38716</c:v>
                </c:pt>
                <c:pt idx="19">
                  <c:v>13982</c:v>
                </c:pt>
                <c:pt idx="20">
                  <c:v>6149</c:v>
                </c:pt>
                <c:pt idx="21">
                  <c:v>6013</c:v>
                </c:pt>
                <c:pt idx="22">
                  <c:v>9008</c:v>
                </c:pt>
              </c:numCache>
            </c:numRef>
          </c:val>
          <c:extLst>
            <c:ext xmlns:c16="http://schemas.microsoft.com/office/drawing/2014/chart" uri="{C3380CC4-5D6E-409C-BE32-E72D297353CC}">
              <c16:uniqueId val="{00000000-0FC2-4FA8-954D-DC1721089F09}"/>
            </c:ext>
          </c:extLst>
        </c:ser>
        <c:ser>
          <c:idx val="1"/>
          <c:order val="1"/>
          <c:tx>
            <c:strRef>
              <c:f>'[İspanya Üretim - Kapasite Datası - Emisyon.xlsx]elektrik üretim'!$K$1</c:f>
              <c:strCache>
                <c:ptCount val="1"/>
                <c:pt idx="0">
                  <c:v>Toplam</c:v>
                </c:pt>
              </c:strCache>
            </c:strRef>
          </c:tx>
          <c:spPr>
            <a:solidFill>
              <a:srgbClr val="AFABAB"/>
            </a:solidFill>
            <a:ln>
              <a:noFill/>
            </a:ln>
            <a:effectLst/>
          </c:spPr>
          <c:invertIfNegative val="0"/>
          <c:cat>
            <c:numRef>
              <c:f>'[İspanya Üretim - Kapasite Datası - Emisyon.xlsx]elektrik üretim'!$A$2:$A$24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'[İspanya Üretim - Kapasite Datası - Emisyon.xlsx]elektrik üretim'!$K$2:$K$24</c:f>
              <c:numCache>
                <c:formatCode>_-* #,##0_-;\-* #,##0_-;_-* "-"??_-;_-@_-</c:formatCode>
                <c:ptCount val="23"/>
                <c:pt idx="0">
                  <c:v>224468</c:v>
                </c:pt>
                <c:pt idx="1">
                  <c:v>236036</c:v>
                </c:pt>
                <c:pt idx="2">
                  <c:v>244951</c:v>
                </c:pt>
                <c:pt idx="3">
                  <c:v>260706</c:v>
                </c:pt>
                <c:pt idx="4">
                  <c:v>277023</c:v>
                </c:pt>
                <c:pt idx="5">
                  <c:v>289090</c:v>
                </c:pt>
                <c:pt idx="6">
                  <c:v>299140</c:v>
                </c:pt>
                <c:pt idx="7">
                  <c:v>304735</c:v>
                </c:pt>
                <c:pt idx="8">
                  <c:v>313450</c:v>
                </c:pt>
                <c:pt idx="9">
                  <c:v>294279</c:v>
                </c:pt>
                <c:pt idx="10">
                  <c:v>301368</c:v>
                </c:pt>
                <c:pt idx="11">
                  <c:v>293676</c:v>
                </c:pt>
                <c:pt idx="12">
                  <c:v>297384</c:v>
                </c:pt>
                <c:pt idx="13">
                  <c:v>285631</c:v>
                </c:pt>
                <c:pt idx="14">
                  <c:v>278750</c:v>
                </c:pt>
                <c:pt idx="15">
                  <c:v>280479</c:v>
                </c:pt>
                <c:pt idx="16">
                  <c:v>275418</c:v>
                </c:pt>
                <c:pt idx="17">
                  <c:v>273982</c:v>
                </c:pt>
                <c:pt idx="18">
                  <c:v>272117</c:v>
                </c:pt>
                <c:pt idx="19">
                  <c:v>273118</c:v>
                </c:pt>
                <c:pt idx="20">
                  <c:v>263186</c:v>
                </c:pt>
                <c:pt idx="21">
                  <c:v>273931</c:v>
                </c:pt>
                <c:pt idx="22">
                  <c:v>285015</c:v>
                </c:pt>
              </c:numCache>
            </c:numRef>
          </c:val>
          <c:extLst>
            <c:ext xmlns:c16="http://schemas.microsoft.com/office/drawing/2014/chart" uri="{C3380CC4-5D6E-409C-BE32-E72D297353CC}">
              <c16:uniqueId val="{00000001-0FC2-4FA8-954D-DC1721089F09}"/>
            </c:ext>
          </c:extLst>
        </c:ser>
        <c:dLbls>
          <c:showLegendKey val="0"/>
          <c:showVal val="0"/>
          <c:showCatName val="0"/>
          <c:showSerName val="0"/>
          <c:showPercent val="0"/>
          <c:showBubbleSize val="0"/>
        </c:dLbls>
        <c:gapWidth val="219"/>
        <c:overlap val="-27"/>
        <c:axId val="1824731263"/>
        <c:axId val="540582655"/>
      </c:barChart>
      <c:lineChart>
        <c:grouping val="standard"/>
        <c:varyColors val="0"/>
        <c:ser>
          <c:idx val="2"/>
          <c:order val="2"/>
          <c:tx>
            <c:strRef>
              <c:f>'[İspanya Üretim - Kapasite Datası - Emisyon.xlsx]elektrik üretim'!$L$1</c:f>
              <c:strCache>
                <c:ptCount val="1"/>
                <c:pt idx="0">
                  <c:v>Elektrik Üretimindeki Kömür Payı</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'[İspanya Üretim - Kapasite Datası - Emisyon.xlsx]elektrik üretim'!$L$2:$L$24</c:f>
              <c:numCache>
                <c:formatCode>0%</c:formatCode>
                <c:ptCount val="23"/>
                <c:pt idx="0">
                  <c:v>0.36022061051018406</c:v>
                </c:pt>
                <c:pt idx="1">
                  <c:v>0.30391126777271266</c:v>
                </c:pt>
                <c:pt idx="2">
                  <c:v>0.33662650897526442</c:v>
                </c:pt>
                <c:pt idx="3">
                  <c:v>0.29134350571141437</c:v>
                </c:pt>
                <c:pt idx="4">
                  <c:v>0.28995065391682279</c:v>
                </c:pt>
                <c:pt idx="5">
                  <c:v>0.27938358296724203</c:v>
                </c:pt>
                <c:pt idx="6">
                  <c:v>0.22727485458313834</c:v>
                </c:pt>
                <c:pt idx="7">
                  <c:v>0.24311286855792738</c:v>
                </c:pt>
                <c:pt idx="8">
                  <c:v>0.15942893603445527</c:v>
                </c:pt>
                <c:pt idx="9">
                  <c:v>0.12552033954172742</c:v>
                </c:pt>
                <c:pt idx="10">
                  <c:v>8.7345039951156056E-2</c:v>
                </c:pt>
                <c:pt idx="11">
                  <c:v>0.15365913455644997</c:v>
                </c:pt>
                <c:pt idx="12">
                  <c:v>0.18827845479245689</c:v>
                </c:pt>
                <c:pt idx="13">
                  <c:v>0.14470418126883985</c:v>
                </c:pt>
                <c:pt idx="14">
                  <c:v>0.1624932735426009</c:v>
                </c:pt>
                <c:pt idx="15">
                  <c:v>0.18780728682004713</c:v>
                </c:pt>
                <c:pt idx="16">
                  <c:v>0.13598602850939301</c:v>
                </c:pt>
                <c:pt idx="17">
                  <c:v>0.16916804753596951</c:v>
                </c:pt>
                <c:pt idx="18">
                  <c:v>0.14227703524586852</c:v>
                </c:pt>
                <c:pt idx="19">
                  <c:v>5.1193989411170267E-2</c:v>
                </c:pt>
                <c:pt idx="20">
                  <c:v>2.3363704756332024E-2</c:v>
                </c:pt>
                <c:pt idx="21">
                  <c:v>2.1950783226432933E-2</c:v>
                </c:pt>
                <c:pt idx="22">
                  <c:v>3.1605354104169953E-2</c:v>
                </c:pt>
              </c:numCache>
            </c:numRef>
          </c:val>
          <c:smooth val="0"/>
          <c:extLst>
            <c:ext xmlns:c16="http://schemas.microsoft.com/office/drawing/2014/chart" uri="{C3380CC4-5D6E-409C-BE32-E72D297353CC}">
              <c16:uniqueId val="{00000002-0FC2-4FA8-954D-DC1721089F09}"/>
            </c:ext>
          </c:extLst>
        </c:ser>
        <c:dLbls>
          <c:showLegendKey val="0"/>
          <c:showVal val="0"/>
          <c:showCatName val="0"/>
          <c:showSerName val="0"/>
          <c:showPercent val="0"/>
          <c:showBubbleSize val="0"/>
        </c:dLbls>
        <c:marker val="1"/>
        <c:smooth val="0"/>
        <c:axId val="536329327"/>
        <c:axId val="1748174975"/>
      </c:lineChart>
      <c:catAx>
        <c:axId val="1824731263"/>
        <c:scaling>
          <c:orientation val="minMax"/>
        </c:scaling>
        <c:delete val="0"/>
        <c:axPos val="b"/>
        <c:numFmt formatCode="General" sourceLinked="1"/>
        <c:majorTickMark val="out"/>
        <c:minorTickMark val="out"/>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40582655"/>
        <c:crosses val="autoZero"/>
        <c:auto val="1"/>
        <c:lblAlgn val="ctr"/>
        <c:lblOffset val="100"/>
        <c:noMultiLvlLbl val="0"/>
      </c:catAx>
      <c:valAx>
        <c:axId val="54058265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MWh</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4731263"/>
        <c:crosses val="autoZero"/>
        <c:crossBetween val="between"/>
      </c:valAx>
      <c:valAx>
        <c:axId val="174817497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Üretimdeki</a:t>
                </a:r>
                <a:r>
                  <a:rPr lang="en-US" baseline="0"/>
                  <a:t> Kömür Payı</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329327"/>
        <c:crosses val="max"/>
        <c:crossBetween val="between"/>
      </c:valAx>
      <c:catAx>
        <c:axId val="536329327"/>
        <c:scaling>
          <c:orientation val="minMax"/>
        </c:scaling>
        <c:delete val="1"/>
        <c:axPos val="b"/>
        <c:majorTickMark val="out"/>
        <c:minorTickMark val="none"/>
        <c:tickLblPos val="nextTo"/>
        <c:crossAx val="174817497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1"/>
          <c:tx>
            <c:strRef>
              <c:f>'[İspanya Üretim - Kapasite Datası - Emisyon.xlsx]Emisyonlar - yeni'!$C$1</c:f>
              <c:strCache>
                <c:ptCount val="1"/>
                <c:pt idx="0">
                  <c:v>Elektrik Sektörü Emisyonu</c:v>
                </c:pt>
              </c:strCache>
            </c:strRef>
          </c:tx>
          <c:spPr>
            <a:solidFill>
              <a:srgbClr val="AFABAB"/>
            </a:solidFill>
            <a:ln>
              <a:noFill/>
            </a:ln>
            <a:effectLst/>
          </c:spPr>
          <c:dLbls>
            <c:dLbl>
              <c:idx val="0"/>
              <c:layout>
                <c:manualLayout>
                  <c:x val="5.2777707582508382E-2"/>
                  <c:y val="-0.15795124255262394"/>
                </c:manualLayout>
              </c:layout>
              <c:tx>
                <c:rich>
                  <a:bodyPr/>
                  <a:lstStyle/>
                  <a:p>
                    <a:fld id="{261E611A-ADD0-412D-8495-CE783199BD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965-475E-B46C-F82A1FB311EA}"/>
                </c:ext>
              </c:extLst>
            </c:dLbl>
            <c:dLbl>
              <c:idx val="1"/>
              <c:layout>
                <c:manualLayout>
                  <c:x val="5.2777707582508424E-2"/>
                  <c:y val="-0.15317342682643317"/>
                </c:manualLayout>
              </c:layout>
              <c:tx>
                <c:rich>
                  <a:bodyPr/>
                  <a:lstStyle/>
                  <a:p>
                    <a:fld id="{A119806B-44FC-49E3-A955-3445CD7388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965-475E-B46C-F82A1FB311EA}"/>
                </c:ext>
              </c:extLst>
            </c:dLbl>
            <c:dLbl>
              <c:idx val="2"/>
              <c:layout>
                <c:manualLayout>
                  <c:x val="5.2777707582508382E-2"/>
                  <c:y val="-0.15327216638647484"/>
                </c:manualLayout>
              </c:layout>
              <c:tx>
                <c:rich>
                  <a:bodyPr/>
                  <a:lstStyle/>
                  <a:p>
                    <a:fld id="{CCC0E5D2-212C-4C54-94B8-F4D6545FAD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965-475E-B46C-F82A1FB311EA}"/>
                </c:ext>
              </c:extLst>
            </c:dLbl>
            <c:dLbl>
              <c:idx val="3"/>
              <c:layout>
                <c:manualLayout>
                  <c:x val="5.0579537913580351E-2"/>
                  <c:y val="-0.13933404587926287"/>
                </c:manualLayout>
              </c:layout>
              <c:tx>
                <c:rich>
                  <a:bodyPr/>
                  <a:lstStyle/>
                  <a:p>
                    <a:fld id="{DC870995-3B67-4F21-8BFD-BD74BE7EC7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965-475E-B46C-F82A1FB311EA}"/>
                </c:ext>
              </c:extLst>
            </c:dLbl>
            <c:dLbl>
              <c:idx val="4"/>
              <c:layout>
                <c:manualLayout>
                  <c:x val="5.7174046920364291E-2"/>
                  <c:y val="-0.12071648077470765"/>
                </c:manualLayout>
              </c:layout>
              <c:tx>
                <c:rich>
                  <a:bodyPr/>
                  <a:lstStyle/>
                  <a:p>
                    <a:fld id="{71DE5228-9B6E-42C0-A0E5-45AD08BCBB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965-475E-B46C-F82A1FB311EA}"/>
                </c:ext>
              </c:extLst>
            </c:dLbl>
            <c:dLbl>
              <c:idx val="5"/>
              <c:layout>
                <c:manualLayout>
                  <c:x val="5.2777707582508382E-2"/>
                  <c:y val="-0.11130895866238845"/>
                </c:manualLayout>
              </c:layout>
              <c:tx>
                <c:rich>
                  <a:bodyPr/>
                  <a:lstStyle/>
                  <a:p>
                    <a:fld id="{98824D36-0EFB-48DD-85F1-C10D121B81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965-475E-B46C-F82A1FB311EA}"/>
                </c:ext>
              </c:extLst>
            </c:dLbl>
            <c:dLbl>
              <c:idx val="6"/>
              <c:layout>
                <c:manualLayout>
                  <c:x val="5.0000051925267609E-2"/>
                  <c:y val="-9.2592653997791624E-2"/>
                </c:manualLayout>
              </c:layout>
              <c:tx>
                <c:rich>
                  <a:bodyPr/>
                  <a:lstStyle/>
                  <a:p>
                    <a:fld id="{52EAE318-FD18-4BF0-80D2-B181A6AF26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965-475E-B46C-F82A1FB311EA}"/>
                </c:ext>
              </c:extLst>
            </c:dLbl>
            <c:spPr>
              <a:solidFill>
                <a:srgbClr val="AFABAB"/>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'[İspanya Üretim - Kapasite Datası - Emisyon.xlsx]Emisyonlar - yeni'!$C$2:$C$8</c:f>
              <c:numCache>
                <c:formatCode>General</c:formatCode>
                <c:ptCount val="7"/>
                <c:pt idx="0">
                  <c:v>85.27000000000001</c:v>
                </c:pt>
                <c:pt idx="1">
                  <c:v>72.90000000000002</c:v>
                </c:pt>
                <c:pt idx="2">
                  <c:v>84.589999999999989</c:v>
                </c:pt>
                <c:pt idx="3">
                  <c:v>74.88000000000001</c:v>
                </c:pt>
                <c:pt idx="4">
                  <c:v>65.960000000000008</c:v>
                </c:pt>
                <c:pt idx="5">
                  <c:v>51.82</c:v>
                </c:pt>
                <c:pt idx="6">
                  <c:v>52.499999999999993</c:v>
                </c:pt>
              </c:numCache>
            </c:numRef>
          </c:val>
          <c:extLst>
            <c:ext xmlns:c15="http://schemas.microsoft.com/office/drawing/2012/chart" uri="{02D57815-91ED-43cb-92C2-25804820EDAC}">
              <c15:datalabelsRange>
                <c15:f>'[İspanya Üretim - Kapasite Datası - Emisyon.xlsx]Emisyonlar - yeni'!$E$2:$E$8</c15:f>
                <c15:dlblRangeCache>
                  <c:ptCount val="7"/>
                  <c:pt idx="0">
                    <c:v>31%</c:v>
                  </c:pt>
                  <c:pt idx="1">
                    <c:v>28%</c:v>
                  </c:pt>
                  <c:pt idx="2">
                    <c:v>31%</c:v>
                  </c:pt>
                  <c:pt idx="3">
                    <c:v>28%</c:v>
                  </c:pt>
                  <c:pt idx="4">
                    <c:v>26%</c:v>
                  </c:pt>
                  <c:pt idx="5">
                    <c:v>24%</c:v>
                  </c:pt>
                  <c:pt idx="6">
                    <c:v>22%</c:v>
                  </c:pt>
                </c15:dlblRangeCache>
              </c15:datalabelsRange>
            </c:ext>
            <c:ext xmlns:c16="http://schemas.microsoft.com/office/drawing/2014/chart" uri="{C3380CC4-5D6E-409C-BE32-E72D297353CC}">
              <c16:uniqueId val="{00000007-7965-475E-B46C-F82A1FB311EA}"/>
            </c:ext>
          </c:extLst>
        </c:ser>
        <c:ser>
          <c:idx val="2"/>
          <c:order val="2"/>
          <c:tx>
            <c:strRef>
              <c:f>'[İspanya Üretim - Kapasite Datası - Emisyon.xlsx]Emisyonlar - yeni'!$D$1</c:f>
              <c:strCache>
                <c:ptCount val="1"/>
                <c:pt idx="0">
                  <c:v>Elektrik Sektöründeki Kömür Kaynaklı Emisyon</c:v>
                </c:pt>
              </c:strCache>
            </c:strRef>
          </c:tx>
          <c:spPr>
            <a:solidFill>
              <a:srgbClr val="404040"/>
            </a:solidFill>
            <a:ln>
              <a:noFill/>
            </a:ln>
            <a:effectLst/>
          </c:spPr>
          <c:dLbls>
            <c:dLbl>
              <c:idx val="0"/>
              <c:layout>
                <c:manualLayout>
                  <c:x val="5.8333333333333334E-2"/>
                  <c:y val="-3.2407407407407406E-2"/>
                </c:manualLayout>
              </c:layout>
              <c:tx>
                <c:rich>
                  <a:bodyPr/>
                  <a:lstStyle/>
                  <a:p>
                    <a:fld id="{FCD51416-60C3-499D-8FD4-CECD050561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7965-475E-B46C-F82A1FB311EA}"/>
                </c:ext>
              </c:extLst>
            </c:dLbl>
            <c:dLbl>
              <c:idx val="1"/>
              <c:layout>
                <c:manualLayout>
                  <c:x val="5.2777777777777778E-2"/>
                  <c:y val="-2.7777777777777776E-2"/>
                </c:manualLayout>
              </c:layout>
              <c:tx>
                <c:rich>
                  <a:bodyPr/>
                  <a:lstStyle/>
                  <a:p>
                    <a:fld id="{59F41EE5-1125-4A54-BC7B-DAED60D3B2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7965-475E-B46C-F82A1FB311EA}"/>
                </c:ext>
              </c:extLst>
            </c:dLbl>
            <c:dLbl>
              <c:idx val="2"/>
              <c:layout>
                <c:manualLayout>
                  <c:x val="5.5555555555555552E-2"/>
                  <c:y val="-1.8518518518518604E-2"/>
                </c:manualLayout>
              </c:layout>
              <c:tx>
                <c:rich>
                  <a:bodyPr/>
                  <a:lstStyle/>
                  <a:p>
                    <a:fld id="{5C82BE58-B6D3-4FC0-B690-DA126C975D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7965-475E-B46C-F82A1FB311EA}"/>
                </c:ext>
              </c:extLst>
            </c:dLbl>
            <c:dLbl>
              <c:idx val="3"/>
              <c:layout>
                <c:manualLayout>
                  <c:x val="5.8333333333333334E-2"/>
                  <c:y val="-2.3148148148148234E-2"/>
                </c:manualLayout>
              </c:layout>
              <c:tx>
                <c:rich>
                  <a:bodyPr/>
                  <a:lstStyle/>
                  <a:p>
                    <a:fld id="{F437BB30-C294-4462-A714-ECBDE91491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7965-475E-B46C-F82A1FB311EA}"/>
                </c:ext>
              </c:extLst>
            </c:dLbl>
            <c:dLbl>
              <c:idx val="4"/>
              <c:layout>
                <c:manualLayout>
                  <c:x val="5.8333333333333334E-2"/>
                  <c:y val="-2.7777777777777863E-2"/>
                </c:manualLayout>
              </c:layout>
              <c:tx>
                <c:rich>
                  <a:bodyPr/>
                  <a:lstStyle/>
                  <a:p>
                    <a:fld id="{E65B28BC-EDEC-491E-BF13-DCDCCB87E1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7965-475E-B46C-F82A1FB311EA}"/>
                </c:ext>
              </c:extLst>
            </c:dLbl>
            <c:dLbl>
              <c:idx val="5"/>
              <c:layout>
                <c:manualLayout>
                  <c:x val="5.8333333333333334E-2"/>
                  <c:y val="-3.2407407407407489E-2"/>
                </c:manualLayout>
              </c:layout>
              <c:tx>
                <c:rich>
                  <a:bodyPr/>
                  <a:lstStyle/>
                  <a:p>
                    <a:fld id="{2E2720C9-4D2D-4D16-A4AC-D2635F2964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7965-475E-B46C-F82A1FB311EA}"/>
                </c:ext>
              </c:extLst>
            </c:dLbl>
            <c:dLbl>
              <c:idx val="6"/>
              <c:layout>
                <c:manualLayout>
                  <c:x val="4.4444444444444446E-2"/>
                  <c:y val="-3.2407407407407406E-2"/>
                </c:manualLayout>
              </c:layout>
              <c:tx>
                <c:rich>
                  <a:bodyPr/>
                  <a:lstStyle/>
                  <a:p>
                    <a:fld id="{B02ABD80-49EA-40F9-B5B3-DF2C440BB6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7965-475E-B46C-F82A1FB311EA}"/>
                </c:ext>
              </c:extLst>
            </c:dLbl>
            <c:spPr>
              <a:solidFill>
                <a:srgbClr val="40404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rgbClr val="404040"/>
                      </a:solidFill>
                      <a:round/>
                    </a:ln>
                    <a:effectLst/>
                  </c:spPr>
                </c15:leaderLines>
              </c:ext>
            </c:extLst>
          </c:dLbls>
          <c:val>
            <c:numRef>
              <c:f>'[İspanya Üretim - Kapasite Datası - Emisyon.xlsx]Emisyonlar - yeni'!$D$2:$D$8</c:f>
              <c:numCache>
                <c:formatCode>General</c:formatCode>
                <c:ptCount val="7"/>
                <c:pt idx="0">
                  <c:v>42.12</c:v>
                </c:pt>
                <c:pt idx="1">
                  <c:v>29.87</c:v>
                </c:pt>
                <c:pt idx="2">
                  <c:v>37.01</c:v>
                </c:pt>
                <c:pt idx="3">
                  <c:v>30.62</c:v>
                </c:pt>
                <c:pt idx="4">
                  <c:v>10.55</c:v>
                </c:pt>
                <c:pt idx="5">
                  <c:v>4.53</c:v>
                </c:pt>
                <c:pt idx="6">
                  <c:v>3.99</c:v>
                </c:pt>
              </c:numCache>
            </c:numRef>
          </c:val>
          <c:extLst>
            <c:ext xmlns:c15="http://schemas.microsoft.com/office/drawing/2012/chart" uri="{02D57815-91ED-43cb-92C2-25804820EDAC}">
              <c15:datalabelsRange>
                <c15:f>'[İspanya Üretim - Kapasite Datası - Emisyon.xlsx]Emisyonlar - yeni'!$F$2:$F$8</c15:f>
                <c15:dlblRangeCache>
                  <c:ptCount val="7"/>
                  <c:pt idx="0">
                    <c:v>15%</c:v>
                  </c:pt>
                  <c:pt idx="1">
                    <c:v>11%</c:v>
                  </c:pt>
                  <c:pt idx="2">
                    <c:v>13%</c:v>
                  </c:pt>
                  <c:pt idx="3">
                    <c:v>11%</c:v>
                  </c:pt>
                  <c:pt idx="4">
                    <c:v>4%</c:v>
                  </c:pt>
                  <c:pt idx="5">
                    <c:v>2%</c:v>
                  </c:pt>
                  <c:pt idx="6">
                    <c:v>2%</c:v>
                  </c:pt>
                </c15:dlblRangeCache>
              </c15:datalabelsRange>
            </c:ext>
            <c:ext xmlns:c16="http://schemas.microsoft.com/office/drawing/2014/chart" uri="{C3380CC4-5D6E-409C-BE32-E72D297353CC}">
              <c16:uniqueId val="{0000000F-7965-475E-B46C-F82A1FB311EA}"/>
            </c:ext>
          </c:extLst>
        </c:ser>
        <c:dLbls>
          <c:showLegendKey val="0"/>
          <c:showVal val="0"/>
          <c:showCatName val="0"/>
          <c:showSerName val="0"/>
          <c:showPercent val="0"/>
          <c:showBubbleSize val="0"/>
        </c:dLbls>
        <c:axId val="282206560"/>
        <c:axId val="80671360"/>
      </c:areaChart>
      <c:barChart>
        <c:barDir val="col"/>
        <c:grouping val="clustered"/>
        <c:varyColors val="0"/>
        <c:ser>
          <c:idx val="0"/>
          <c:order val="0"/>
          <c:tx>
            <c:strRef>
              <c:f>'[İspanya Üretim - Kapasite Datası - Emisyon.xlsx]Emisyonlar - yeni'!$B$1</c:f>
              <c:strCache>
                <c:ptCount val="1"/>
                <c:pt idx="0">
                  <c:v>Toplam Emisyon</c:v>
                </c:pt>
              </c:strCache>
            </c:strRef>
          </c:tx>
          <c:spPr>
            <a:solidFill>
              <a:srgbClr val="C00000"/>
            </a:solidFill>
            <a:ln>
              <a:noFill/>
            </a:ln>
            <a:effectLst/>
          </c:spPr>
          <c:invertIfNegative val="0"/>
          <c:dLbls>
            <c:spPr>
              <a:solidFill>
                <a:srgbClr val="C00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'[İspanya Üretim - Kapasite Datası - Emisyon.xlsx]Emisyonlar - yeni'!$A$2:$A$8</c:f>
              <c:numCache>
                <c:formatCode>General</c:formatCode>
                <c:ptCount val="7"/>
                <c:pt idx="0">
                  <c:v>2015</c:v>
                </c:pt>
                <c:pt idx="1">
                  <c:v>2016</c:v>
                </c:pt>
                <c:pt idx="2">
                  <c:v>2017</c:v>
                </c:pt>
                <c:pt idx="3">
                  <c:v>2018</c:v>
                </c:pt>
                <c:pt idx="4">
                  <c:v>2019</c:v>
                </c:pt>
                <c:pt idx="5">
                  <c:v>2020</c:v>
                </c:pt>
                <c:pt idx="6">
                  <c:v>2021</c:v>
                </c:pt>
              </c:numCache>
            </c:numRef>
          </c:cat>
          <c:val>
            <c:numRef>
              <c:f>'[İspanya Üretim - Kapasite Datası - Emisyon.xlsx]Emisyonlar - yeni'!$B$2:$B$8</c:f>
              <c:numCache>
                <c:formatCode>0</c:formatCode>
                <c:ptCount val="7"/>
                <c:pt idx="0">
                  <c:v>272.16500000000002</c:v>
                </c:pt>
                <c:pt idx="1">
                  <c:v>261.22800000000001</c:v>
                </c:pt>
                <c:pt idx="2">
                  <c:v>275.053</c:v>
                </c:pt>
                <c:pt idx="3">
                  <c:v>270.05200000000002</c:v>
                </c:pt>
                <c:pt idx="4">
                  <c:v>251.82499999999999</c:v>
                </c:pt>
                <c:pt idx="5">
                  <c:v>213.34</c:v>
                </c:pt>
                <c:pt idx="6">
                  <c:v>233.65</c:v>
                </c:pt>
              </c:numCache>
            </c:numRef>
          </c:val>
          <c:extLst>
            <c:ext xmlns:c16="http://schemas.microsoft.com/office/drawing/2014/chart" uri="{C3380CC4-5D6E-409C-BE32-E72D297353CC}">
              <c16:uniqueId val="{00000010-7965-475E-B46C-F82A1FB311EA}"/>
            </c:ext>
          </c:extLst>
        </c:ser>
        <c:dLbls>
          <c:showLegendKey val="0"/>
          <c:showVal val="0"/>
          <c:showCatName val="0"/>
          <c:showSerName val="0"/>
          <c:showPercent val="0"/>
          <c:showBubbleSize val="0"/>
        </c:dLbls>
        <c:gapWidth val="219"/>
        <c:overlap val="-27"/>
        <c:axId val="282206560"/>
        <c:axId val="80671360"/>
      </c:barChart>
      <c:catAx>
        <c:axId val="282206560"/>
        <c:scaling>
          <c:orientation val="minMax"/>
        </c:scaling>
        <c:delete val="0"/>
        <c:axPos val="b"/>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671360"/>
        <c:crosses val="autoZero"/>
        <c:auto val="1"/>
        <c:lblAlgn val="ctr"/>
        <c:lblOffset val="100"/>
        <c:noMultiLvlLbl val="0"/>
      </c:catAx>
      <c:valAx>
        <c:axId val="806713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r>
                  <a:rPr lang="tr-TR" sz="1000" b="1" i="0" u="none" strike="noStrike" kern="1200" baseline="0">
                    <a:solidFill>
                      <a:sysClr val="windowText" lastClr="000000"/>
                    </a:solidFill>
                  </a:rPr>
                  <a:t>Karbon Emisyonu (mtCO</a:t>
                </a:r>
                <a:r>
                  <a:rPr lang="tr-TR" sz="1000" b="1" i="0" u="none" strike="noStrike" kern="1200" baseline="-25000">
                    <a:solidFill>
                      <a:sysClr val="windowText" lastClr="000000"/>
                    </a:solidFill>
                  </a:rPr>
                  <a:t>2</a:t>
                </a:r>
                <a:r>
                  <a:rPr lang="tr-TR" sz="1000" b="1" i="0" u="none" strike="noStrike" kern="1200" baseline="0">
                    <a:solidFill>
                      <a:sysClr val="windowText" lastClr="000000"/>
                    </a:solidFill>
                  </a:rPr>
                  <a:t>)</a:t>
                </a:r>
                <a:endParaRPr lang="en-US" sz="1000" b="1" i="0" u="none" strike="noStrike" kern="1200" baseline="0">
                  <a:solidFill>
                    <a:sysClr val="windowText" lastClr="000000"/>
                  </a:solidFill>
                </a:endParaRPr>
              </a:p>
            </c:rich>
          </c:tx>
          <c:layout>
            <c:manualLayout>
              <c:xMode val="edge"/>
              <c:yMode val="edge"/>
              <c:x val="1.7585357351423636E-2"/>
              <c:y val="0.1561617722424675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out"/>
        <c:tickLblPos val="nextTo"/>
        <c:spPr>
          <a:noFill/>
          <a:ln>
            <a:solidFill>
              <a:srgbClr val="40404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822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Sheet1!$L$5</c:f>
              <c:strCache>
                <c:ptCount val="1"/>
                <c:pt idx="0">
                  <c:v>Mevcut santraller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Sheet1!$M$4:$P$4</c:f>
              <c:numCache>
                <c:formatCode>General</c:formatCode>
                <c:ptCount val="4"/>
                <c:pt idx="0">
                  <c:v>2021</c:v>
                </c:pt>
                <c:pt idx="1">
                  <c:v>2022</c:v>
                </c:pt>
                <c:pt idx="2">
                  <c:v>2023</c:v>
                </c:pt>
                <c:pt idx="3">
                  <c:v>2024</c:v>
                </c:pt>
              </c:numCache>
            </c:numRef>
          </c:cat>
          <c:val>
            <c:numRef>
              <c:f>Sheet1!$M$5:$P$5</c:f>
              <c:numCache>
                <c:formatCode>_-* #,##0_-;\-* #,##0_-;_-* "-"??_-;_-@_-</c:formatCode>
                <c:ptCount val="4"/>
                <c:pt idx="0">
                  <c:v>10274</c:v>
                </c:pt>
                <c:pt idx="1">
                  <c:v>10614</c:v>
                </c:pt>
                <c:pt idx="2">
                  <c:v>9903</c:v>
                </c:pt>
                <c:pt idx="3">
                  <c:v>2889</c:v>
                </c:pt>
              </c:numCache>
            </c:numRef>
          </c:val>
          <c:extLst>
            <c:ext xmlns:c16="http://schemas.microsoft.com/office/drawing/2014/chart" uri="{C3380CC4-5D6E-409C-BE32-E72D297353CC}">
              <c16:uniqueId val="{00000000-477B-4F09-B7D1-7AB90AF59AB2}"/>
            </c:ext>
          </c:extLst>
        </c:ser>
        <c:ser>
          <c:idx val="1"/>
          <c:order val="1"/>
          <c:tx>
            <c:strRef>
              <c:f>Sheet1!$L$6</c:f>
              <c:strCache>
                <c:ptCount val="1"/>
                <c:pt idx="0">
                  <c:v>Yenilenmiş santraller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Sheet1!$M$4:$P$4</c:f>
              <c:numCache>
                <c:formatCode>General</c:formatCode>
                <c:ptCount val="4"/>
                <c:pt idx="0">
                  <c:v>2021</c:v>
                </c:pt>
                <c:pt idx="1">
                  <c:v>2022</c:v>
                </c:pt>
                <c:pt idx="2">
                  <c:v>2023</c:v>
                </c:pt>
                <c:pt idx="3">
                  <c:v>2024</c:v>
                </c:pt>
              </c:numCache>
            </c:numRef>
          </c:cat>
          <c:val>
            <c:numRef>
              <c:f>Sheet1!$M$6:$P$6</c:f>
              <c:numCache>
                <c:formatCode>_-* #,##0_-;\-* #,##0_-;_-* "-"??_-;_-@_-</c:formatCode>
                <c:ptCount val="4"/>
                <c:pt idx="0">
                  <c:v>7516</c:v>
                </c:pt>
                <c:pt idx="1">
                  <c:v>7636</c:v>
                </c:pt>
                <c:pt idx="2">
                  <c:v>7636</c:v>
                </c:pt>
                <c:pt idx="3">
                  <c:v>11865</c:v>
                </c:pt>
              </c:numCache>
            </c:numRef>
          </c:val>
          <c:extLst>
            <c:ext xmlns:c16="http://schemas.microsoft.com/office/drawing/2014/chart" uri="{C3380CC4-5D6E-409C-BE32-E72D297353CC}">
              <c16:uniqueId val="{00000001-477B-4F09-B7D1-7AB90AF59AB2}"/>
            </c:ext>
          </c:extLst>
        </c:ser>
        <c:ser>
          <c:idx val="2"/>
          <c:order val="2"/>
          <c:tx>
            <c:strRef>
              <c:f>Sheet1!$L$7</c:f>
              <c:strCache>
                <c:ptCount val="1"/>
                <c:pt idx="0">
                  <c:v>Yeni santraller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Sheet1!$M$4:$P$4</c:f>
              <c:numCache>
                <c:formatCode>General</c:formatCode>
                <c:ptCount val="4"/>
                <c:pt idx="0">
                  <c:v>2021</c:v>
                </c:pt>
                <c:pt idx="1">
                  <c:v>2022</c:v>
                </c:pt>
                <c:pt idx="2">
                  <c:v>2023</c:v>
                </c:pt>
                <c:pt idx="3">
                  <c:v>2024</c:v>
                </c:pt>
              </c:numCache>
            </c:numRef>
          </c:cat>
          <c:val>
            <c:numRef>
              <c:f>Sheet1!$M$7:$P$7</c:f>
              <c:numCache>
                <c:formatCode>_-* #,##0_-;\-* #,##0_-;_-* "-"??_-;_-@_-</c:formatCode>
                <c:ptCount val="4"/>
                <c:pt idx="0">
                  <c:v>4022</c:v>
                </c:pt>
                <c:pt idx="1">
                  <c:v>4022</c:v>
                </c:pt>
                <c:pt idx="2">
                  <c:v>4875</c:v>
                </c:pt>
                <c:pt idx="3">
                  <c:v>6315</c:v>
                </c:pt>
              </c:numCache>
            </c:numRef>
          </c:val>
          <c:extLst>
            <c:ext xmlns:c16="http://schemas.microsoft.com/office/drawing/2014/chart" uri="{C3380CC4-5D6E-409C-BE32-E72D297353CC}">
              <c16:uniqueId val="{00000002-477B-4F09-B7D1-7AB90AF59AB2}"/>
            </c:ext>
          </c:extLst>
        </c:ser>
        <c:ser>
          <c:idx val="3"/>
          <c:order val="3"/>
          <c:tx>
            <c:strRef>
              <c:f>Sheet1!$L$8</c:f>
              <c:strCache>
                <c:ptCount val="1"/>
                <c:pt idx="0">
                  <c:v>Talep tarafı katılımı (DSR)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Sheet1!$M$4:$P$4</c:f>
              <c:numCache>
                <c:formatCode>General</c:formatCode>
                <c:ptCount val="4"/>
                <c:pt idx="0">
                  <c:v>2021</c:v>
                </c:pt>
                <c:pt idx="1">
                  <c:v>2022</c:v>
                </c:pt>
                <c:pt idx="2">
                  <c:v>2023</c:v>
                </c:pt>
                <c:pt idx="3">
                  <c:v>2024</c:v>
                </c:pt>
              </c:numCache>
            </c:numRef>
          </c:cat>
          <c:val>
            <c:numRef>
              <c:f>Sheet1!$M$8:$P$8</c:f>
              <c:numCache>
                <c:formatCode>_-* #,##0_-;\-* #,##0_-;_-* "-"??_-;_-@_-</c:formatCode>
                <c:ptCount val="4"/>
                <c:pt idx="0">
                  <c:v>615</c:v>
                </c:pt>
                <c:pt idx="1">
                  <c:v>766</c:v>
                </c:pt>
                <c:pt idx="2">
                  <c:v>801</c:v>
                </c:pt>
                <c:pt idx="3">
                  <c:v>1039</c:v>
                </c:pt>
              </c:numCache>
            </c:numRef>
          </c:val>
          <c:extLst>
            <c:ext xmlns:c16="http://schemas.microsoft.com/office/drawing/2014/chart" uri="{C3380CC4-5D6E-409C-BE32-E72D297353CC}">
              <c16:uniqueId val="{00000003-477B-4F09-B7D1-7AB90AF59AB2}"/>
            </c:ext>
          </c:extLst>
        </c:ser>
        <c:dLbls>
          <c:dLblPos val="outEnd"/>
          <c:showLegendKey val="0"/>
          <c:showVal val="1"/>
          <c:showCatName val="0"/>
          <c:showSerName val="0"/>
          <c:showPercent val="0"/>
          <c:showBubbleSize val="0"/>
        </c:dLbls>
        <c:gapWidth val="150"/>
        <c:axId val="1902929696"/>
        <c:axId val="1702678752"/>
      </c:barChart>
      <c:catAx>
        <c:axId val="190292969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2678752"/>
        <c:crosses val="autoZero"/>
        <c:auto val="1"/>
        <c:lblAlgn val="ctr"/>
        <c:lblOffset val="100"/>
        <c:noMultiLvlLbl val="0"/>
      </c:catAx>
      <c:valAx>
        <c:axId val="17026787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solidFill>
                      <a:schemeClr val="tx1"/>
                    </a:solidFill>
                  </a:rPr>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0292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Gerçekleşen Maliyet</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'[Polonya Üretim - Kapasite - Emisyon.xlsx]K.M. maliyet'!$C$3:$C$9</c:f>
              <c:numCache>
                <c:formatCode>General</c:formatCode>
                <c:ptCount val="7"/>
                <c:pt idx="0">
                  <c:v>2021</c:v>
                </c:pt>
                <c:pt idx="1">
                  <c:v>2022</c:v>
                </c:pt>
                <c:pt idx="2">
                  <c:v>2023</c:v>
                </c:pt>
                <c:pt idx="3">
                  <c:v>2024</c:v>
                </c:pt>
                <c:pt idx="4">
                  <c:v>2025</c:v>
                </c:pt>
                <c:pt idx="5">
                  <c:v>2026</c:v>
                </c:pt>
                <c:pt idx="6">
                  <c:v>2027</c:v>
                </c:pt>
              </c:numCache>
            </c:numRef>
          </c:cat>
          <c:val>
            <c:numRef>
              <c:f>'[Polonya Üretim - Kapasite - Emisyon.xlsx]K.M. maliyet'!$F$3:$F$9</c:f>
              <c:numCache>
                <c:formatCode>0.00</c:formatCode>
                <c:ptCount val="7"/>
                <c:pt idx="0">
                  <c:v>1.2568181818181818</c:v>
                </c:pt>
                <c:pt idx="1">
                  <c:v>1.1929545454545454</c:v>
                </c:pt>
                <c:pt idx="2">
                  <c:v>1.1968181818181818</c:v>
                </c:pt>
                <c:pt idx="3">
                  <c:v>1.1984090909090908</c:v>
                </c:pt>
                <c:pt idx="4">
                  <c:v>1.1084090909090907</c:v>
                </c:pt>
                <c:pt idx="5">
                  <c:v>1.2643181818181817</c:v>
                </c:pt>
                <c:pt idx="6">
                  <c:v>1.345</c:v>
                </c:pt>
              </c:numCache>
            </c:numRef>
          </c:val>
          <c:extLst>
            <c:ext xmlns:c16="http://schemas.microsoft.com/office/drawing/2014/chart" uri="{C3380CC4-5D6E-409C-BE32-E72D297353CC}">
              <c16:uniqueId val="{00000000-25C9-431B-8DEB-76B1250A1524}"/>
            </c:ext>
          </c:extLst>
        </c:ser>
        <c:dLbls>
          <c:showLegendKey val="0"/>
          <c:showVal val="0"/>
          <c:showCatName val="0"/>
          <c:showSerName val="0"/>
          <c:showPercent val="0"/>
          <c:showBubbleSize val="0"/>
        </c:dLbls>
        <c:gapWidth val="219"/>
        <c:overlap val="-27"/>
        <c:axId val="1824854911"/>
        <c:axId val="134657743"/>
      </c:barChart>
      <c:lineChart>
        <c:grouping val="standard"/>
        <c:varyColors val="0"/>
        <c:ser>
          <c:idx val="1"/>
          <c:order val="1"/>
          <c:tx>
            <c:v>Planlanan Maliyet</c:v>
          </c:tx>
          <c:spPr>
            <a:ln w="31750" cap="rnd">
              <a:solidFill>
                <a:srgbClr val="C00000"/>
              </a:solidFill>
              <a:round/>
            </a:ln>
            <a:effectLst/>
          </c:spPr>
          <c:marker>
            <c:symbol val="none"/>
          </c:marker>
          <c:val>
            <c:numRef>
              <c:f>'[Polonya Üretim - Kapasite - Emisyon.xlsx]K.M. maliyet'!$G$3:$G$9</c:f>
              <c:numCache>
                <c:formatCode>General</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01-25C9-431B-8DEB-76B1250A1524}"/>
            </c:ext>
          </c:extLst>
        </c:ser>
        <c:dLbls>
          <c:showLegendKey val="0"/>
          <c:showVal val="0"/>
          <c:showCatName val="0"/>
          <c:showSerName val="0"/>
          <c:showPercent val="0"/>
          <c:showBubbleSize val="0"/>
        </c:dLbls>
        <c:marker val="1"/>
        <c:smooth val="0"/>
        <c:axId val="1824854911"/>
        <c:axId val="134657743"/>
      </c:lineChart>
      <c:catAx>
        <c:axId val="182485491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57743"/>
        <c:crosses val="autoZero"/>
        <c:auto val="1"/>
        <c:lblAlgn val="ctr"/>
        <c:lblOffset val="100"/>
        <c:noMultiLvlLbl val="0"/>
      </c:catAx>
      <c:valAx>
        <c:axId val="134657743"/>
        <c:scaling>
          <c:orientation val="minMax"/>
          <c:min val="0.60000000000000009"/>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a:solidFill>
                      <a:sysClr val="windowText" lastClr="000000"/>
                    </a:solidFill>
                  </a:rPr>
                  <a:t>Milyar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485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64595879911207"/>
          <c:y val="0.12472607875631207"/>
          <c:w val="0.80526197254601384"/>
          <c:h val="0.74857482872770498"/>
        </c:manualLayout>
      </c:layout>
      <c:barChart>
        <c:barDir val="col"/>
        <c:grouping val="stacked"/>
        <c:varyColors val="0"/>
        <c:ser>
          <c:idx val="0"/>
          <c:order val="0"/>
          <c:tx>
            <c:strRef>
              <c:f>'[Polonya Üretim - Kapasite - Emisyon.xlsx]İhaleler'!$B$4</c:f>
              <c:strCache>
                <c:ptCount val="1"/>
                <c:pt idx="0">
                  <c:v>2021 için Yapılan İhale</c:v>
                </c:pt>
              </c:strCache>
            </c:strRef>
          </c:tx>
          <c:spPr>
            <a:solidFill>
              <a:srgbClr val="4472C4">
                <a:lumMod val="50000"/>
              </a:srgbClr>
            </a:solidFill>
            <a:ln>
              <a:noFill/>
            </a:ln>
            <a:effectLst/>
          </c:spPr>
          <c:invertIfNegative val="0"/>
          <c:cat>
            <c:numRef>
              <c:f>'[Polonya Üretim - Kapasite - Emisyon.xlsx]İhaleler'!$C$3:$Y$3</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'[Polonya Üretim - Kapasite - Emisyon.xlsx]İhaleler'!$C$4:$V$4</c:f>
              <c:numCache>
                <c:formatCode>General</c:formatCode>
                <c:ptCount val="20"/>
                <c:pt idx="0">
                  <c:v>22427</c:v>
                </c:pt>
                <c:pt idx="1">
                  <c:v>12460</c:v>
                </c:pt>
                <c:pt idx="2">
                  <c:v>12460</c:v>
                </c:pt>
                <c:pt idx="3">
                  <c:v>12460</c:v>
                </c:pt>
                <c:pt idx="4">
                  <c:v>12460</c:v>
                </c:pt>
                <c:pt idx="5">
                  <c:v>4850</c:v>
                </c:pt>
                <c:pt idx="6">
                  <c:v>4850</c:v>
                </c:pt>
                <c:pt idx="7">
                  <c:v>4129</c:v>
                </c:pt>
                <c:pt idx="8">
                  <c:v>4129</c:v>
                </c:pt>
                <c:pt idx="9">
                  <c:v>4129</c:v>
                </c:pt>
                <c:pt idx="10">
                  <c:v>4129</c:v>
                </c:pt>
                <c:pt idx="11">
                  <c:v>4129</c:v>
                </c:pt>
                <c:pt idx="12">
                  <c:v>4129</c:v>
                </c:pt>
                <c:pt idx="13">
                  <c:v>4129</c:v>
                </c:pt>
                <c:pt idx="14">
                  <c:v>4129</c:v>
                </c:pt>
                <c:pt idx="15">
                  <c:v>438</c:v>
                </c:pt>
                <c:pt idx="16">
                  <c:v>438</c:v>
                </c:pt>
              </c:numCache>
            </c:numRef>
          </c:val>
          <c:extLst>
            <c:ext xmlns:c16="http://schemas.microsoft.com/office/drawing/2014/chart" uri="{C3380CC4-5D6E-409C-BE32-E72D297353CC}">
              <c16:uniqueId val="{00000000-2C25-4AD9-AC0C-F88ED488413E}"/>
            </c:ext>
          </c:extLst>
        </c:ser>
        <c:ser>
          <c:idx val="1"/>
          <c:order val="1"/>
          <c:tx>
            <c:strRef>
              <c:f>'[Polonya Üretim - Kapasite - Emisyon.xlsx]İhaleler'!$B$5</c:f>
              <c:strCache>
                <c:ptCount val="1"/>
                <c:pt idx="0">
                  <c:v>2022 için Yapılan İhale</c:v>
                </c:pt>
              </c:strCache>
            </c:strRef>
          </c:tx>
          <c:spPr>
            <a:solidFill>
              <a:srgbClr val="5B9BD5">
                <a:lumMod val="40000"/>
                <a:lumOff val="60000"/>
              </a:srgbClr>
            </a:solidFill>
            <a:ln>
              <a:noFill/>
            </a:ln>
            <a:effectLst/>
          </c:spPr>
          <c:invertIfNegative val="0"/>
          <c:cat>
            <c:numRef>
              <c:f>'[Polonya Üretim - Kapasite - Emisyon.xlsx]İhaleler'!$C$3:$Y$3</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'[Polonya Üretim - Kapasite - Emisyon.xlsx]İhaleler'!$C$5:$V$5</c:f>
              <c:numCache>
                <c:formatCode>General</c:formatCode>
                <c:ptCount val="20"/>
                <c:pt idx="1">
                  <c:v>10580</c:v>
                </c:pt>
                <c:pt idx="2">
                  <c:v>120</c:v>
                </c:pt>
                <c:pt idx="3">
                  <c:v>120</c:v>
                </c:pt>
                <c:pt idx="4">
                  <c:v>120</c:v>
                </c:pt>
                <c:pt idx="5">
                  <c:v>120</c:v>
                </c:pt>
              </c:numCache>
            </c:numRef>
          </c:val>
          <c:extLst>
            <c:ext xmlns:c16="http://schemas.microsoft.com/office/drawing/2014/chart" uri="{C3380CC4-5D6E-409C-BE32-E72D297353CC}">
              <c16:uniqueId val="{00000001-2C25-4AD9-AC0C-F88ED488413E}"/>
            </c:ext>
          </c:extLst>
        </c:ser>
        <c:ser>
          <c:idx val="2"/>
          <c:order val="2"/>
          <c:tx>
            <c:strRef>
              <c:f>'[Polonya Üretim - Kapasite - Emisyon.xlsx]İhaleler'!$B$6</c:f>
              <c:strCache>
                <c:ptCount val="1"/>
                <c:pt idx="0">
                  <c:v>2023 için Yapılan İhale</c:v>
                </c:pt>
              </c:strCache>
            </c:strRef>
          </c:tx>
          <c:spPr>
            <a:solidFill>
              <a:srgbClr val="4472C4">
                <a:lumMod val="75000"/>
              </a:srgbClr>
            </a:solidFill>
            <a:ln>
              <a:noFill/>
            </a:ln>
            <a:effectLst/>
          </c:spPr>
          <c:invertIfNegative val="0"/>
          <c:cat>
            <c:numRef>
              <c:f>'[Polonya Üretim - Kapasite - Emisyon.xlsx]İhaleler'!$C$3:$Y$3</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'[Polonya Üretim - Kapasite - Emisyon.xlsx]İhaleler'!$C$6:$V$6</c:f>
              <c:numCache>
                <c:formatCode>General</c:formatCode>
                <c:ptCount val="20"/>
                <c:pt idx="2">
                  <c:v>10631</c:v>
                </c:pt>
                <c:pt idx="3">
                  <c:v>853</c:v>
                </c:pt>
                <c:pt idx="4">
                  <c:v>853</c:v>
                </c:pt>
                <c:pt idx="5">
                  <c:v>853</c:v>
                </c:pt>
                <c:pt idx="6">
                  <c:v>853</c:v>
                </c:pt>
                <c:pt idx="7">
                  <c:v>853</c:v>
                </c:pt>
                <c:pt idx="8">
                  <c:v>853</c:v>
                </c:pt>
                <c:pt idx="9">
                  <c:v>853</c:v>
                </c:pt>
                <c:pt idx="10">
                  <c:v>853</c:v>
                </c:pt>
                <c:pt idx="11">
                  <c:v>853</c:v>
                </c:pt>
                <c:pt idx="12">
                  <c:v>853</c:v>
                </c:pt>
                <c:pt idx="13">
                  <c:v>853</c:v>
                </c:pt>
                <c:pt idx="14">
                  <c:v>853</c:v>
                </c:pt>
                <c:pt idx="15">
                  <c:v>853</c:v>
                </c:pt>
                <c:pt idx="16">
                  <c:v>853</c:v>
                </c:pt>
                <c:pt idx="17">
                  <c:v>853</c:v>
                </c:pt>
              </c:numCache>
            </c:numRef>
          </c:val>
          <c:extLst>
            <c:ext xmlns:c16="http://schemas.microsoft.com/office/drawing/2014/chart" uri="{C3380CC4-5D6E-409C-BE32-E72D297353CC}">
              <c16:uniqueId val="{00000002-2C25-4AD9-AC0C-F88ED488413E}"/>
            </c:ext>
          </c:extLst>
        </c:ser>
        <c:ser>
          <c:idx val="3"/>
          <c:order val="3"/>
          <c:tx>
            <c:strRef>
              <c:f>'[Polonya Üretim - Kapasite - Emisyon.xlsx]İhaleler'!$B$7</c:f>
              <c:strCache>
                <c:ptCount val="1"/>
                <c:pt idx="0">
                  <c:v>2024 için Yapılan İhale</c:v>
                </c:pt>
              </c:strCache>
            </c:strRef>
          </c:tx>
          <c:spPr>
            <a:solidFill>
              <a:srgbClr val="5B9BD5">
                <a:lumMod val="20000"/>
                <a:lumOff val="80000"/>
              </a:srgbClr>
            </a:solidFill>
            <a:ln>
              <a:noFill/>
            </a:ln>
            <a:effectLst/>
          </c:spPr>
          <c:invertIfNegative val="0"/>
          <c:cat>
            <c:numRef>
              <c:f>'[Polonya Üretim - Kapasite - Emisyon.xlsx]İhaleler'!$C$3:$Y$3</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'[Polonya Üretim - Kapasite - Emisyon.xlsx]İhaleler'!$C$7:$V$7</c:f>
              <c:numCache>
                <c:formatCode>General</c:formatCode>
                <c:ptCount val="20"/>
                <c:pt idx="3">
                  <c:v>8671</c:v>
                </c:pt>
                <c:pt idx="4">
                  <c:v>5640</c:v>
                </c:pt>
                <c:pt idx="5">
                  <c:v>5600</c:v>
                </c:pt>
                <c:pt idx="6">
                  <c:v>5600</c:v>
                </c:pt>
                <c:pt idx="7">
                  <c:v>5600</c:v>
                </c:pt>
                <c:pt idx="8">
                  <c:v>5600</c:v>
                </c:pt>
                <c:pt idx="9">
                  <c:v>1765</c:v>
                </c:pt>
                <c:pt idx="10">
                  <c:v>1765</c:v>
                </c:pt>
                <c:pt idx="11">
                  <c:v>1400</c:v>
                </c:pt>
                <c:pt idx="12">
                  <c:v>1400</c:v>
                </c:pt>
                <c:pt idx="13">
                  <c:v>1400</c:v>
                </c:pt>
                <c:pt idx="14">
                  <c:v>1400</c:v>
                </c:pt>
                <c:pt idx="15">
                  <c:v>1400</c:v>
                </c:pt>
                <c:pt idx="16">
                  <c:v>1400</c:v>
                </c:pt>
                <c:pt idx="17">
                  <c:v>1400</c:v>
                </c:pt>
                <c:pt idx="18">
                  <c:v>1400</c:v>
                </c:pt>
                <c:pt idx="19">
                  <c:v>1335</c:v>
                </c:pt>
              </c:numCache>
            </c:numRef>
          </c:val>
          <c:extLst>
            <c:ext xmlns:c16="http://schemas.microsoft.com/office/drawing/2014/chart" uri="{C3380CC4-5D6E-409C-BE32-E72D297353CC}">
              <c16:uniqueId val="{00000003-2C25-4AD9-AC0C-F88ED488413E}"/>
            </c:ext>
          </c:extLst>
        </c:ser>
        <c:ser>
          <c:idx val="4"/>
          <c:order val="4"/>
          <c:tx>
            <c:strRef>
              <c:f>'[Polonya Üretim - Kapasite - Emisyon.xlsx]İhaleler'!$B$8</c:f>
              <c:strCache>
                <c:ptCount val="1"/>
                <c:pt idx="0">
                  <c:v>2025 için Yapılan İhale</c:v>
                </c:pt>
              </c:strCache>
            </c:strRef>
          </c:tx>
          <c:spPr>
            <a:solidFill>
              <a:srgbClr val="5B9BD5">
                <a:lumMod val="75000"/>
              </a:srgbClr>
            </a:solidFill>
            <a:ln>
              <a:noFill/>
            </a:ln>
            <a:effectLst/>
          </c:spPr>
          <c:invertIfNegative val="0"/>
          <c:cat>
            <c:numRef>
              <c:f>'[Polonya Üretim - Kapasite - Emisyon.xlsx]İhaleler'!$C$3:$Y$3</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'[Polonya Üretim - Kapasite - Emisyon.xlsx]İhaleler'!$C$8:$V$8</c:f>
              <c:numCache>
                <c:formatCode>General</c:formatCode>
                <c:ptCount val="20"/>
                <c:pt idx="4">
                  <c:v>1781</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numCache>
            </c:numRef>
          </c:val>
          <c:extLst>
            <c:ext xmlns:c16="http://schemas.microsoft.com/office/drawing/2014/chart" uri="{C3380CC4-5D6E-409C-BE32-E72D297353CC}">
              <c16:uniqueId val="{00000004-2C25-4AD9-AC0C-F88ED488413E}"/>
            </c:ext>
          </c:extLst>
        </c:ser>
        <c:ser>
          <c:idx val="5"/>
          <c:order val="5"/>
          <c:tx>
            <c:strRef>
              <c:f>'[Polonya Üretim - Kapasite - Emisyon.xlsx]İhaleler'!$B$9</c:f>
              <c:strCache>
                <c:ptCount val="1"/>
                <c:pt idx="0">
                  <c:v>2026 için Yapılan İhale</c:v>
                </c:pt>
              </c:strCache>
            </c:strRef>
          </c:tx>
          <c:spPr>
            <a:solidFill>
              <a:sysClr val="window" lastClr="FFFFFF">
                <a:lumMod val="85000"/>
              </a:sysClr>
            </a:solidFill>
            <a:ln>
              <a:noFill/>
            </a:ln>
            <a:effectLst/>
          </c:spPr>
          <c:invertIfNegative val="0"/>
          <c:cat>
            <c:numRef>
              <c:f>'[Polonya Üretim - Kapasite - Emisyon.xlsx]İhaleler'!$C$3:$Y$3</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'[Polonya Üretim - Kapasite - Emisyon.xlsx]İhaleler'!$C$9:$Y$9</c:f>
              <c:numCache>
                <c:formatCode>General</c:formatCode>
                <c:ptCount val="23"/>
                <c:pt idx="5">
                  <c:v>7186</c:v>
                </c:pt>
                <c:pt idx="6">
                  <c:v>2650</c:v>
                </c:pt>
                <c:pt idx="7">
                  <c:v>2650</c:v>
                </c:pt>
                <c:pt idx="8">
                  <c:v>2650</c:v>
                </c:pt>
                <c:pt idx="9">
                  <c:v>2650</c:v>
                </c:pt>
                <c:pt idx="10">
                  <c:v>2650</c:v>
                </c:pt>
                <c:pt idx="11">
                  <c:v>2650</c:v>
                </c:pt>
                <c:pt idx="12">
                  <c:v>2118</c:v>
                </c:pt>
                <c:pt idx="13">
                  <c:v>2118</c:v>
                </c:pt>
                <c:pt idx="14">
                  <c:v>2118</c:v>
                </c:pt>
                <c:pt idx="15">
                  <c:v>2118</c:v>
                </c:pt>
                <c:pt idx="16">
                  <c:v>2118</c:v>
                </c:pt>
                <c:pt idx="17">
                  <c:v>2118</c:v>
                </c:pt>
                <c:pt idx="18">
                  <c:v>2118</c:v>
                </c:pt>
                <c:pt idx="19">
                  <c:v>2118</c:v>
                </c:pt>
                <c:pt idx="20">
                  <c:v>2118</c:v>
                </c:pt>
                <c:pt idx="21">
                  <c:v>2118</c:v>
                </c:pt>
              </c:numCache>
            </c:numRef>
          </c:val>
          <c:extLst>
            <c:ext xmlns:c16="http://schemas.microsoft.com/office/drawing/2014/chart" uri="{C3380CC4-5D6E-409C-BE32-E72D297353CC}">
              <c16:uniqueId val="{00000005-2C25-4AD9-AC0C-F88ED488413E}"/>
            </c:ext>
          </c:extLst>
        </c:ser>
        <c:ser>
          <c:idx val="6"/>
          <c:order val="6"/>
          <c:tx>
            <c:strRef>
              <c:f>'[Polonya Üretim - Kapasite - Emisyon.xlsx]İhaleler'!$B$10</c:f>
              <c:strCache>
                <c:ptCount val="1"/>
                <c:pt idx="0">
                  <c:v>2027 için Yapılan İhale</c:v>
                </c:pt>
              </c:strCache>
            </c:strRef>
          </c:tx>
          <c:spPr>
            <a:solidFill>
              <a:srgbClr val="4472C4">
                <a:lumMod val="60000"/>
                <a:lumOff val="40000"/>
              </a:srgbClr>
            </a:solidFill>
            <a:ln>
              <a:noFill/>
            </a:ln>
            <a:effectLst/>
          </c:spPr>
          <c:invertIfNegative val="0"/>
          <c:val>
            <c:numRef>
              <c:f>'[Polonya Üretim - Kapasite - Emisyon.xlsx]İhaleler'!$C$10:$Y$10</c:f>
              <c:numCache>
                <c:formatCode>General</c:formatCode>
                <c:ptCount val="23"/>
                <c:pt idx="6">
                  <c:v>5373</c:v>
                </c:pt>
                <c:pt idx="7">
                  <c:v>1463</c:v>
                </c:pt>
                <c:pt idx="8">
                  <c:v>1463</c:v>
                </c:pt>
                <c:pt idx="9">
                  <c:v>1463</c:v>
                </c:pt>
                <c:pt idx="10">
                  <c:v>1463</c:v>
                </c:pt>
                <c:pt idx="11">
                  <c:v>1330</c:v>
                </c:pt>
                <c:pt idx="12">
                  <c:v>1330</c:v>
                </c:pt>
                <c:pt idx="13">
                  <c:v>1128</c:v>
                </c:pt>
                <c:pt idx="14">
                  <c:v>1128</c:v>
                </c:pt>
                <c:pt idx="15">
                  <c:v>1128</c:v>
                </c:pt>
                <c:pt idx="16">
                  <c:v>1128</c:v>
                </c:pt>
                <c:pt idx="17">
                  <c:v>1128</c:v>
                </c:pt>
                <c:pt idx="18">
                  <c:v>1128</c:v>
                </c:pt>
                <c:pt idx="19">
                  <c:v>1128</c:v>
                </c:pt>
                <c:pt idx="20">
                  <c:v>1128</c:v>
                </c:pt>
                <c:pt idx="21">
                  <c:v>1128</c:v>
                </c:pt>
                <c:pt idx="22">
                  <c:v>1128</c:v>
                </c:pt>
              </c:numCache>
            </c:numRef>
          </c:val>
          <c:extLst>
            <c:ext xmlns:c16="http://schemas.microsoft.com/office/drawing/2014/chart" uri="{C3380CC4-5D6E-409C-BE32-E72D297353CC}">
              <c16:uniqueId val="{00000006-2C25-4AD9-AC0C-F88ED488413E}"/>
            </c:ext>
          </c:extLst>
        </c:ser>
        <c:dLbls>
          <c:showLegendKey val="0"/>
          <c:showVal val="0"/>
          <c:showCatName val="0"/>
          <c:showSerName val="0"/>
          <c:showPercent val="0"/>
          <c:showBubbleSize val="0"/>
        </c:dLbls>
        <c:gapWidth val="150"/>
        <c:overlap val="100"/>
        <c:axId val="1229742191"/>
        <c:axId val="1868964991"/>
      </c:barChart>
      <c:catAx>
        <c:axId val="122974219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8964991"/>
        <c:crosses val="autoZero"/>
        <c:auto val="1"/>
        <c:lblAlgn val="ctr"/>
        <c:lblOffset val="100"/>
        <c:noMultiLvlLbl val="0"/>
      </c:catAx>
      <c:valAx>
        <c:axId val="1868964991"/>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MW</a:t>
                </a:r>
              </a:p>
            </c:rich>
          </c:tx>
          <c:layout>
            <c:manualLayout>
              <c:xMode val="edge"/>
              <c:yMode val="edge"/>
              <c:x val="3.0292053225694063E-2"/>
              <c:y val="0.467963013797587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9742191"/>
        <c:crosses val="autoZero"/>
        <c:crossBetween val="between"/>
      </c:valAx>
      <c:spPr>
        <a:noFill/>
        <a:ln>
          <a:noFill/>
        </a:ln>
        <a:effectLst/>
      </c:spPr>
    </c:plotArea>
    <c:legend>
      <c:legendPos val="b"/>
      <c:layout>
        <c:manualLayout>
          <c:xMode val="edge"/>
          <c:yMode val="edge"/>
          <c:x val="0.41518406353052023"/>
          <c:y val="0.13800675231773796"/>
          <c:w val="0.58202503533212191"/>
          <c:h val="0.21869017207207078"/>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0"/>
          <c:tx>
            <c:strRef>
              <c:f>'Kapasite 2'!$M$7</c:f>
              <c:strCache>
                <c:ptCount val="1"/>
                <c:pt idx="0">
                  <c:v>Kömür</c:v>
                </c:pt>
              </c:strCache>
            </c:strRef>
          </c:tx>
          <c:spPr>
            <a:solidFill>
              <a:srgbClr val="404040"/>
            </a:solidFill>
            <a:ln>
              <a:noFill/>
            </a:ln>
            <a:effectLst/>
          </c:spPr>
          <c:cat>
            <c:numRef>
              <c:f>'Kapasite 2'!$N$5:$V$5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'Kapasite 2'!$N$7:$V$7</c:f>
              <c:numCache>
                <c:formatCode>_-* #,##0_-;\-* #,##0_-;_-* "-"??_-;_-@_-</c:formatCode>
                <c:ptCount val="9"/>
                <c:pt idx="0">
                  <c:v>27951</c:v>
                </c:pt>
                <c:pt idx="1">
                  <c:v>27120</c:v>
                </c:pt>
                <c:pt idx="2">
                  <c:v>26466</c:v>
                </c:pt>
                <c:pt idx="3">
                  <c:v>28793</c:v>
                </c:pt>
                <c:pt idx="4">
                  <c:v>30546</c:v>
                </c:pt>
                <c:pt idx="5">
                  <c:v>30235</c:v>
                </c:pt>
                <c:pt idx="6">
                  <c:v>28794</c:v>
                </c:pt>
                <c:pt idx="7">
                  <c:v>26917</c:v>
                </c:pt>
                <c:pt idx="8">
                  <c:v>26884</c:v>
                </c:pt>
              </c:numCache>
            </c:numRef>
          </c:val>
          <c:extLst>
            <c:ext xmlns:c16="http://schemas.microsoft.com/office/drawing/2014/chart" uri="{C3380CC4-5D6E-409C-BE32-E72D297353CC}">
              <c16:uniqueId val="{00000000-12B6-48CD-8B2D-51023B9874CE}"/>
            </c:ext>
          </c:extLst>
        </c:ser>
        <c:ser>
          <c:idx val="3"/>
          <c:order val="1"/>
          <c:tx>
            <c:strRef>
              <c:f>'Kapasite 2'!$M$8</c:f>
              <c:strCache>
                <c:ptCount val="1"/>
                <c:pt idx="0">
                  <c:v>Doğal Gaz</c:v>
                </c:pt>
              </c:strCache>
            </c:strRef>
          </c:tx>
          <c:spPr>
            <a:solidFill>
              <a:srgbClr val="AFABAB"/>
            </a:solidFill>
            <a:ln>
              <a:noFill/>
            </a:ln>
            <a:effectLst/>
          </c:spPr>
          <c:cat>
            <c:numRef>
              <c:f>'Kapasite 2'!$N$5:$V$5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'Kapasite 2'!$N$8:$V$8</c:f>
              <c:numCache>
                <c:formatCode>_-* #,##0_-;\-* #,##0_-;_-* "-"??_-;_-@_-</c:formatCode>
                <c:ptCount val="9"/>
                <c:pt idx="0">
                  <c:v>826</c:v>
                </c:pt>
                <c:pt idx="1">
                  <c:v>1302</c:v>
                </c:pt>
                <c:pt idx="2">
                  <c:v>1438</c:v>
                </c:pt>
                <c:pt idx="3">
                  <c:v>2140</c:v>
                </c:pt>
                <c:pt idx="4">
                  <c:v>2106</c:v>
                </c:pt>
                <c:pt idx="5">
                  <c:v>2540</c:v>
                </c:pt>
                <c:pt idx="6">
                  <c:v>2555</c:v>
                </c:pt>
                <c:pt idx="7">
                  <c:v>3807</c:v>
                </c:pt>
                <c:pt idx="8">
                  <c:v>3789</c:v>
                </c:pt>
              </c:numCache>
            </c:numRef>
          </c:val>
          <c:extLst>
            <c:ext xmlns:c16="http://schemas.microsoft.com/office/drawing/2014/chart" uri="{C3380CC4-5D6E-409C-BE32-E72D297353CC}">
              <c16:uniqueId val="{00000001-12B6-48CD-8B2D-51023B9874CE}"/>
            </c:ext>
          </c:extLst>
        </c:ser>
        <c:ser>
          <c:idx val="4"/>
          <c:order val="2"/>
          <c:tx>
            <c:strRef>
              <c:f>'Kapasite 2'!$M$9</c:f>
              <c:strCache>
                <c:ptCount val="1"/>
                <c:pt idx="0">
                  <c:v>Oil</c:v>
                </c:pt>
              </c:strCache>
            </c:strRef>
          </c:tx>
          <c:spPr>
            <a:solidFill>
              <a:schemeClr val="accent4">
                <a:lumMod val="75000"/>
              </a:schemeClr>
            </a:solidFill>
            <a:ln>
              <a:noFill/>
            </a:ln>
            <a:effectLst/>
          </c:spPr>
          <c:cat>
            <c:numRef>
              <c:f>'Kapasite 2'!$N$5:$V$5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'Kapasite 2'!$N$9:$V$9</c:f>
              <c:numCache>
                <c:formatCode>_-* #,##0_-;\-* #,##0_-;_-* "-"??_-;_-@_-</c:formatCode>
                <c:ptCount val="9"/>
                <c:pt idx="0">
                  <c:v>345</c:v>
                </c:pt>
                <c:pt idx="1">
                  <c:v>345</c:v>
                </c:pt>
                <c:pt idx="2">
                  <c:v>345</c:v>
                </c:pt>
                <c:pt idx="3">
                  <c:v>415</c:v>
                </c:pt>
                <c:pt idx="4">
                  <c:v>415</c:v>
                </c:pt>
                <c:pt idx="5">
                  <c:v>359</c:v>
                </c:pt>
                <c:pt idx="6">
                  <c:v>359</c:v>
                </c:pt>
                <c:pt idx="7">
                  <c:v>393</c:v>
                </c:pt>
                <c:pt idx="8">
                  <c:v>393</c:v>
                </c:pt>
              </c:numCache>
            </c:numRef>
          </c:val>
          <c:extLst>
            <c:ext xmlns:c16="http://schemas.microsoft.com/office/drawing/2014/chart" uri="{C3380CC4-5D6E-409C-BE32-E72D297353CC}">
              <c16:uniqueId val="{00000002-12B6-48CD-8B2D-51023B9874CE}"/>
            </c:ext>
          </c:extLst>
        </c:ser>
        <c:ser>
          <c:idx val="1"/>
          <c:order val="3"/>
          <c:tx>
            <c:strRef>
              <c:f>'Kapasite 2'!$M$6</c:f>
              <c:strCache>
                <c:ptCount val="1"/>
                <c:pt idx="0">
                  <c:v>Biyokütle</c:v>
                </c:pt>
              </c:strCache>
            </c:strRef>
          </c:tx>
          <c:spPr>
            <a:solidFill>
              <a:srgbClr val="00B050"/>
            </a:solidFill>
            <a:ln>
              <a:noFill/>
            </a:ln>
            <a:effectLst/>
          </c:spPr>
          <c:cat>
            <c:numRef>
              <c:f>'Kapasite 2'!$N$5:$V$5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'Kapasite 2'!$N$6:$V$6</c:f>
              <c:numCache>
                <c:formatCode>_-* #,##0_-;\-* #,##0_-;_-* "-"??_-;_-@_-</c:formatCode>
                <c:ptCount val="9"/>
                <c:pt idx="0">
                  <c:v>375</c:v>
                </c:pt>
                <c:pt idx="1">
                  <c:v>435</c:v>
                </c:pt>
                <c:pt idx="2">
                  <c:v>501</c:v>
                </c:pt>
                <c:pt idx="3">
                  <c:v>603</c:v>
                </c:pt>
                <c:pt idx="4">
                  <c:v>849</c:v>
                </c:pt>
                <c:pt idx="5">
                  <c:v>880</c:v>
                </c:pt>
                <c:pt idx="6">
                  <c:v>880</c:v>
                </c:pt>
                <c:pt idx="7">
                  <c:v>647</c:v>
                </c:pt>
                <c:pt idx="8">
                  <c:v>658</c:v>
                </c:pt>
              </c:numCache>
            </c:numRef>
          </c:val>
          <c:extLst>
            <c:ext xmlns:c16="http://schemas.microsoft.com/office/drawing/2014/chart" uri="{C3380CC4-5D6E-409C-BE32-E72D297353CC}">
              <c16:uniqueId val="{00000003-12B6-48CD-8B2D-51023B9874CE}"/>
            </c:ext>
          </c:extLst>
        </c:ser>
        <c:ser>
          <c:idx val="5"/>
          <c:order val="4"/>
          <c:tx>
            <c:strRef>
              <c:f>'Kapasite 2'!$M$10</c:f>
              <c:strCache>
                <c:ptCount val="1"/>
                <c:pt idx="0">
                  <c:v>Hidro</c:v>
                </c:pt>
              </c:strCache>
            </c:strRef>
          </c:tx>
          <c:spPr>
            <a:solidFill>
              <a:srgbClr val="0067B4"/>
            </a:solidFill>
            <a:ln>
              <a:noFill/>
            </a:ln>
            <a:effectLst/>
          </c:spPr>
          <c:cat>
            <c:numRef>
              <c:f>'Kapasite 2'!$N$5:$V$5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'Kapasite 2'!$N$10:$V$10</c:f>
              <c:numCache>
                <c:formatCode>_-* #,##0_-;\-* #,##0_-;_-* "-"??_-;_-@_-</c:formatCode>
                <c:ptCount val="9"/>
                <c:pt idx="0">
                  <c:v>2304</c:v>
                </c:pt>
                <c:pt idx="1">
                  <c:v>2321</c:v>
                </c:pt>
                <c:pt idx="2">
                  <c:v>2322</c:v>
                </c:pt>
                <c:pt idx="3">
                  <c:v>2392</c:v>
                </c:pt>
                <c:pt idx="4">
                  <c:v>2372</c:v>
                </c:pt>
                <c:pt idx="5">
                  <c:v>2385</c:v>
                </c:pt>
                <c:pt idx="6">
                  <c:v>2398</c:v>
                </c:pt>
                <c:pt idx="7">
                  <c:v>2376</c:v>
                </c:pt>
                <c:pt idx="8">
                  <c:v>2379</c:v>
                </c:pt>
              </c:numCache>
            </c:numRef>
          </c:val>
          <c:extLst>
            <c:ext xmlns:c16="http://schemas.microsoft.com/office/drawing/2014/chart" uri="{C3380CC4-5D6E-409C-BE32-E72D297353CC}">
              <c16:uniqueId val="{00000004-12B6-48CD-8B2D-51023B9874CE}"/>
            </c:ext>
          </c:extLst>
        </c:ser>
        <c:ser>
          <c:idx val="7"/>
          <c:order val="5"/>
          <c:tx>
            <c:strRef>
              <c:f>'Kapasite 2'!$M$12</c:f>
              <c:strCache>
                <c:ptCount val="1"/>
                <c:pt idx="0">
                  <c:v>Rüzgar</c:v>
                </c:pt>
              </c:strCache>
            </c:strRef>
          </c:tx>
          <c:spPr>
            <a:solidFill>
              <a:srgbClr val="81D5AB"/>
            </a:solidFill>
            <a:ln>
              <a:noFill/>
            </a:ln>
            <a:effectLst/>
          </c:spPr>
          <c:cat>
            <c:numRef>
              <c:f>'Kapasite 2'!$N$5:$V$5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'Kapasite 2'!$N$12:$V$12</c:f>
              <c:numCache>
                <c:formatCode>_-* #,##0_-;\-* #,##0_-;_-* "-"??_-;_-@_-</c:formatCode>
                <c:ptCount val="9"/>
                <c:pt idx="0">
                  <c:v>3758</c:v>
                </c:pt>
                <c:pt idx="1">
                  <c:v>5494</c:v>
                </c:pt>
                <c:pt idx="2">
                  <c:v>6026</c:v>
                </c:pt>
                <c:pt idx="3">
                  <c:v>5791</c:v>
                </c:pt>
                <c:pt idx="4">
                  <c:v>5808</c:v>
                </c:pt>
                <c:pt idx="5">
                  <c:v>5953</c:v>
                </c:pt>
                <c:pt idx="6">
                  <c:v>6570</c:v>
                </c:pt>
                <c:pt idx="7">
                  <c:v>7950</c:v>
                </c:pt>
                <c:pt idx="8">
                  <c:v>8970</c:v>
                </c:pt>
              </c:numCache>
            </c:numRef>
          </c:val>
          <c:extLst>
            <c:ext xmlns:c16="http://schemas.microsoft.com/office/drawing/2014/chart" uri="{C3380CC4-5D6E-409C-BE32-E72D297353CC}">
              <c16:uniqueId val="{00000005-12B6-48CD-8B2D-51023B9874CE}"/>
            </c:ext>
          </c:extLst>
        </c:ser>
        <c:ser>
          <c:idx val="6"/>
          <c:order val="6"/>
          <c:tx>
            <c:strRef>
              <c:f>'Kapasite 2'!$M$11</c:f>
              <c:strCache>
                <c:ptCount val="1"/>
                <c:pt idx="0">
                  <c:v>Güneş</c:v>
                </c:pt>
              </c:strCache>
            </c:strRef>
          </c:tx>
          <c:spPr>
            <a:solidFill>
              <a:srgbClr val="FFC000"/>
            </a:solidFill>
            <a:ln>
              <a:noFill/>
            </a:ln>
            <a:effectLst/>
          </c:spPr>
          <c:cat>
            <c:numRef>
              <c:f>'Kapasite 2'!$N$5:$V$5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'Kapasite 2'!$N$11:$V$11</c:f>
              <c:numCache>
                <c:formatCode>_-* #,##0_-;\-* #,##0_-;_-* "-"??_-;_-@_-</c:formatCode>
                <c:ptCount val="9"/>
                <c:pt idx="0">
                  <c:v>14</c:v>
                </c:pt>
                <c:pt idx="1">
                  <c:v>77</c:v>
                </c:pt>
                <c:pt idx="2">
                  <c:v>187</c:v>
                </c:pt>
                <c:pt idx="3">
                  <c:v>231</c:v>
                </c:pt>
                <c:pt idx="4">
                  <c:v>430</c:v>
                </c:pt>
                <c:pt idx="5">
                  <c:v>1310</c:v>
                </c:pt>
                <c:pt idx="6">
                  <c:v>3473</c:v>
                </c:pt>
                <c:pt idx="7">
                  <c:v>6664</c:v>
                </c:pt>
                <c:pt idx="8">
                  <c:v>10415</c:v>
                </c:pt>
              </c:numCache>
            </c:numRef>
          </c:val>
          <c:extLst>
            <c:ext xmlns:c16="http://schemas.microsoft.com/office/drawing/2014/chart" uri="{C3380CC4-5D6E-409C-BE32-E72D297353CC}">
              <c16:uniqueId val="{00000006-12B6-48CD-8B2D-51023B9874CE}"/>
            </c:ext>
          </c:extLst>
        </c:ser>
        <c:dLbls>
          <c:showLegendKey val="0"/>
          <c:showVal val="0"/>
          <c:showCatName val="0"/>
          <c:showSerName val="0"/>
          <c:showPercent val="0"/>
          <c:showBubbleSize val="0"/>
        </c:dLbls>
        <c:axId val="2099793615"/>
        <c:axId val="1903112959"/>
      </c:areaChart>
      <c:catAx>
        <c:axId val="209979361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03112959"/>
        <c:crosses val="autoZero"/>
        <c:auto val="1"/>
        <c:lblAlgn val="ctr"/>
        <c:lblOffset val="100"/>
        <c:noMultiLvlLbl val="0"/>
      </c:catAx>
      <c:valAx>
        <c:axId val="190311295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_-* #,##0_-;\-*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9979361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'[Polonya Üretim - Kapasite - Emisyon.xlsx]Üretim'!$B$1</c:f>
              <c:strCache>
                <c:ptCount val="1"/>
                <c:pt idx="0">
                  <c:v>Kömür</c:v>
                </c:pt>
              </c:strCache>
            </c:strRef>
          </c:tx>
          <c:spPr>
            <a:solidFill>
              <a:schemeClr val="tx1"/>
            </a:solidFill>
            <a:ln>
              <a:noFill/>
            </a:ln>
            <a:effectLst/>
          </c:spPr>
          <c:invertIfNegative val="0"/>
          <c:cat>
            <c:numRef>
              <c:f>'[Polonya Üretim - Kapasite - Emisyon.xlsx]Üretim'!$A$2:$A$13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'[Polonya Üretim - Kapasite - Emisyon.xlsx]Üretim'!$B$2:$B$13</c:f>
              <c:numCache>
                <c:formatCode>_-* #,##0_-;\-* #,##0_-;_-* "-"??_-;_-@_-</c:formatCode>
                <c:ptCount val="12"/>
                <c:pt idx="0">
                  <c:v>138383</c:v>
                </c:pt>
                <c:pt idx="1">
                  <c:v>141571</c:v>
                </c:pt>
                <c:pt idx="2">
                  <c:v>136416</c:v>
                </c:pt>
                <c:pt idx="3">
                  <c:v>139758</c:v>
                </c:pt>
                <c:pt idx="4">
                  <c:v>131551</c:v>
                </c:pt>
                <c:pt idx="5">
                  <c:v>132962</c:v>
                </c:pt>
                <c:pt idx="6">
                  <c:v>132933</c:v>
                </c:pt>
                <c:pt idx="7">
                  <c:v>133439</c:v>
                </c:pt>
                <c:pt idx="8">
                  <c:v>133008</c:v>
                </c:pt>
                <c:pt idx="9">
                  <c:v>120452</c:v>
                </c:pt>
                <c:pt idx="10">
                  <c:v>109370</c:v>
                </c:pt>
                <c:pt idx="11">
                  <c:v>129684</c:v>
                </c:pt>
              </c:numCache>
            </c:numRef>
          </c:val>
          <c:extLst>
            <c:ext xmlns:c16="http://schemas.microsoft.com/office/drawing/2014/chart" uri="{C3380CC4-5D6E-409C-BE32-E72D297353CC}">
              <c16:uniqueId val="{00000000-F669-4712-829E-8D7CDA5FF91B}"/>
            </c:ext>
          </c:extLst>
        </c:ser>
        <c:ser>
          <c:idx val="1"/>
          <c:order val="1"/>
          <c:tx>
            <c:strRef>
              <c:f>'[Polonya Üretim - Kapasite - Emisyon.xlsx]Üretim'!$K$1</c:f>
              <c:strCache>
                <c:ptCount val="1"/>
                <c:pt idx="0">
                  <c:v>Toplam</c:v>
                </c:pt>
              </c:strCache>
            </c:strRef>
          </c:tx>
          <c:spPr>
            <a:solidFill>
              <a:srgbClr val="A6A6A6"/>
            </a:solidFill>
            <a:ln>
              <a:noFill/>
            </a:ln>
            <a:effectLst/>
          </c:spPr>
          <c:invertIfNegative val="0"/>
          <c:cat>
            <c:numRef>
              <c:f>'[Polonya Üretim - Kapasite - Emisyon.xlsx]Üretim'!$A$2:$A$13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'[Polonya Üretim - Kapasite - Emisyon.xlsx]Üretim'!$K$2:$K$13</c:f>
              <c:numCache>
                <c:formatCode>_-* #,##0_-;\-* #,##0_-;_-* "-"??_-;_-@_-</c:formatCode>
                <c:ptCount val="12"/>
                <c:pt idx="0">
                  <c:v>157657</c:v>
                </c:pt>
                <c:pt idx="1">
                  <c:v>163548</c:v>
                </c:pt>
                <c:pt idx="2">
                  <c:v>162139</c:v>
                </c:pt>
                <c:pt idx="3">
                  <c:v>164580</c:v>
                </c:pt>
                <c:pt idx="4">
                  <c:v>159059</c:v>
                </c:pt>
                <c:pt idx="5">
                  <c:v>164944</c:v>
                </c:pt>
                <c:pt idx="6">
                  <c:v>166635</c:v>
                </c:pt>
                <c:pt idx="7">
                  <c:v>170466</c:v>
                </c:pt>
                <c:pt idx="8">
                  <c:v>170039</c:v>
                </c:pt>
                <c:pt idx="9">
                  <c:v>163989</c:v>
                </c:pt>
                <c:pt idx="10">
                  <c:v>158043</c:v>
                </c:pt>
                <c:pt idx="11">
                  <c:v>179417</c:v>
                </c:pt>
              </c:numCache>
            </c:numRef>
          </c:val>
          <c:extLst>
            <c:ext xmlns:c16="http://schemas.microsoft.com/office/drawing/2014/chart" uri="{C3380CC4-5D6E-409C-BE32-E72D297353CC}">
              <c16:uniqueId val="{00000001-F669-4712-829E-8D7CDA5FF91B}"/>
            </c:ext>
          </c:extLst>
        </c:ser>
        <c:dLbls>
          <c:showLegendKey val="0"/>
          <c:showVal val="0"/>
          <c:showCatName val="0"/>
          <c:showSerName val="0"/>
          <c:showPercent val="0"/>
          <c:showBubbleSize val="0"/>
        </c:dLbls>
        <c:gapWidth val="219"/>
        <c:overlap val="-27"/>
        <c:axId val="388735663"/>
        <c:axId val="536752783"/>
      </c:barChart>
      <c:lineChart>
        <c:grouping val="standard"/>
        <c:varyColors val="0"/>
        <c:ser>
          <c:idx val="2"/>
          <c:order val="2"/>
          <c:tx>
            <c:strRef>
              <c:f>'[Polonya Üretim - Kapasite - Emisyon.xlsx]Üretim'!$O$1</c:f>
              <c:strCache>
                <c:ptCount val="1"/>
                <c:pt idx="0">
                  <c:v>Üretimdeki Kömür Payı</c:v>
                </c:pt>
              </c:strCache>
            </c:strRef>
          </c:tx>
          <c:spPr>
            <a:ln w="28575" cap="rnd">
              <a:solidFill>
                <a:srgbClr val="C00000"/>
              </a:solidFill>
              <a:round/>
            </a:ln>
            <a:effectLst/>
          </c:spPr>
          <c:marker>
            <c:symbol val="none"/>
          </c:marker>
          <c:dLbls>
            <c:numFmt formatCode="0%" sourceLinked="0"/>
            <c:spPr>
              <a:solidFill>
                <a:srgbClr val="FF00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'[Polonya Üretim - Kapasite - Emisyon.xlsx]Üretim'!$A$2:$A$13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'[Polonya Üretim - Kapasite - Emisyon.xlsx]Üretim'!$O$2:$O$13</c:f>
              <c:numCache>
                <c:formatCode>0.0%</c:formatCode>
                <c:ptCount val="12"/>
                <c:pt idx="0">
                  <c:v>0.87774726146000492</c:v>
                </c:pt>
                <c:pt idx="1">
                  <c:v>0.86562354782693762</c:v>
                </c:pt>
                <c:pt idx="2">
                  <c:v>0.84135217313539612</c:v>
                </c:pt>
                <c:pt idx="3">
                  <c:v>0.84917973022238424</c:v>
                </c:pt>
                <c:pt idx="4">
                  <c:v>0.82705788418134152</c:v>
                </c:pt>
                <c:pt idx="5">
                  <c:v>0.80610388980502479</c:v>
                </c:pt>
                <c:pt idx="6">
                  <c:v>0.79774957241875954</c:v>
                </c:pt>
                <c:pt idx="7">
                  <c:v>0.78278952987692563</c:v>
                </c:pt>
                <c:pt idx="8">
                  <c:v>0.78222054940337216</c:v>
                </c:pt>
                <c:pt idx="9">
                  <c:v>0.73451268072858544</c:v>
                </c:pt>
                <c:pt idx="10">
                  <c:v>0.6920268534512759</c:v>
                </c:pt>
                <c:pt idx="11">
                  <c:v>0.72280776069157326</c:v>
                </c:pt>
              </c:numCache>
            </c:numRef>
          </c:val>
          <c:smooth val="0"/>
          <c:extLst>
            <c:ext xmlns:c16="http://schemas.microsoft.com/office/drawing/2014/chart" uri="{C3380CC4-5D6E-409C-BE32-E72D297353CC}">
              <c16:uniqueId val="{00000002-F669-4712-829E-8D7CDA5FF91B}"/>
            </c:ext>
          </c:extLst>
        </c:ser>
        <c:dLbls>
          <c:showLegendKey val="0"/>
          <c:showVal val="0"/>
          <c:showCatName val="0"/>
          <c:showSerName val="0"/>
          <c:showPercent val="0"/>
          <c:showBubbleSize val="0"/>
        </c:dLbls>
        <c:marker val="1"/>
        <c:smooth val="0"/>
        <c:axId val="536648703"/>
        <c:axId val="383875647"/>
      </c:lineChart>
      <c:catAx>
        <c:axId val="38873566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6752783"/>
        <c:crosses val="autoZero"/>
        <c:auto val="1"/>
        <c:lblAlgn val="ctr"/>
        <c:lblOffset val="100"/>
        <c:noMultiLvlLbl val="0"/>
      </c:catAx>
      <c:valAx>
        <c:axId val="53675278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MWh</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_-* #,##0_-;\-* #,##0_-;_-* &quot;-&quot;??_-;_-@_-"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8735663"/>
        <c:crosses val="autoZero"/>
        <c:crossBetween val="between"/>
      </c:valAx>
      <c:valAx>
        <c:axId val="383875647"/>
        <c:scaling>
          <c:orientation val="minMax"/>
        </c:scaling>
        <c:delete val="0"/>
        <c:axPos val="r"/>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6648703"/>
        <c:crosses val="max"/>
        <c:crossBetween val="between"/>
      </c:valAx>
      <c:catAx>
        <c:axId val="536648703"/>
        <c:scaling>
          <c:orientation val="minMax"/>
        </c:scaling>
        <c:delete val="1"/>
        <c:axPos val="b"/>
        <c:numFmt formatCode="General" sourceLinked="1"/>
        <c:majorTickMark val="out"/>
        <c:minorTickMark val="none"/>
        <c:tickLblPos val="nextTo"/>
        <c:crossAx val="3838756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1"/>
          <c:tx>
            <c:strRef>
              <c:f>Emisyon!$C$1</c:f>
              <c:strCache>
                <c:ptCount val="1"/>
                <c:pt idx="0">
                  <c:v>Elektrik Sektörü Emisyonu</c:v>
                </c:pt>
              </c:strCache>
            </c:strRef>
          </c:tx>
          <c:spPr>
            <a:solidFill>
              <a:srgbClr val="A6A6A6"/>
            </a:solidFill>
            <a:ln>
              <a:noFill/>
            </a:ln>
            <a:effectLst/>
          </c:spPr>
          <c:dLbls>
            <c:dLbl>
              <c:idx val="0"/>
              <c:layout>
                <c:manualLayout>
                  <c:x val="4.774259728228411E-2"/>
                  <c:y val="-0.15277777777777779"/>
                </c:manualLayout>
              </c:layout>
              <c:tx>
                <c:rich>
                  <a:bodyPr/>
                  <a:lstStyle/>
                  <a:p>
                    <a:fld id="{4BD85ABD-58A0-44F5-9E86-20F3D3D318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0D8-40CB-9156-B6C76FBA5FD6}"/>
                </c:ext>
              </c:extLst>
            </c:dLbl>
            <c:dLbl>
              <c:idx val="1"/>
              <c:layout>
                <c:manualLayout>
                  <c:x val="5.3969892579973304E-2"/>
                  <c:y val="-0.16203703703703703"/>
                </c:manualLayout>
              </c:layout>
              <c:tx>
                <c:rich>
                  <a:bodyPr/>
                  <a:lstStyle/>
                  <a:p>
                    <a:fld id="{23531869-7037-460E-97B6-1618B868CE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0D8-40CB-9156-B6C76FBA5FD6}"/>
                </c:ext>
              </c:extLst>
            </c:dLbl>
            <c:dLbl>
              <c:idx val="2"/>
              <c:layout>
                <c:manualLayout>
                  <c:x val="5.3969892579973346E-2"/>
                  <c:y val="-0.17129629629629631"/>
                </c:manualLayout>
              </c:layout>
              <c:tx>
                <c:rich>
                  <a:bodyPr/>
                  <a:lstStyle/>
                  <a:p>
                    <a:fld id="{0A52B8EB-55D6-4766-8038-DC7130382F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0D8-40CB-9156-B6C76FBA5FD6}"/>
                </c:ext>
              </c:extLst>
            </c:dLbl>
            <c:dLbl>
              <c:idx val="3"/>
              <c:layout>
                <c:manualLayout>
                  <c:x val="5.1894127480743603E-2"/>
                  <c:y val="-0.17129629629629631"/>
                </c:manualLayout>
              </c:layout>
              <c:tx>
                <c:rich>
                  <a:bodyPr/>
                  <a:lstStyle/>
                  <a:p>
                    <a:fld id="{998B2CC3-1C7A-4F62-8BA5-614EC0AC01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0D8-40CB-9156-B6C76FBA5FD6}"/>
                </c:ext>
              </c:extLst>
            </c:dLbl>
            <c:dLbl>
              <c:idx val="4"/>
              <c:layout>
                <c:manualLayout>
                  <c:x val="5.3969892579973346E-2"/>
                  <c:y val="-0.17129629629629639"/>
                </c:manualLayout>
              </c:layout>
              <c:tx>
                <c:rich>
                  <a:bodyPr/>
                  <a:lstStyle/>
                  <a:p>
                    <a:fld id="{67D44AF6-755C-4AFB-ADE5-6478D78AE3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0D8-40CB-9156-B6C76FBA5FD6}"/>
                </c:ext>
              </c:extLst>
            </c:dLbl>
            <c:dLbl>
              <c:idx val="5"/>
              <c:layout>
                <c:manualLayout>
                  <c:x val="5.1894127480743603E-2"/>
                  <c:y val="-0.17129629629629631"/>
                </c:manualLayout>
              </c:layout>
              <c:tx>
                <c:rich>
                  <a:bodyPr/>
                  <a:lstStyle/>
                  <a:p>
                    <a:fld id="{A6C61C27-5433-4A10-8A4B-C11A0B139D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0D8-40CB-9156-B6C76FBA5FD6}"/>
                </c:ext>
              </c:extLst>
            </c:dLbl>
            <c:dLbl>
              <c:idx val="6"/>
              <c:layout>
                <c:manualLayout>
                  <c:x val="4.3591067083824472E-2"/>
                  <c:y val="-0.17129629629629631"/>
                </c:manualLayout>
              </c:layout>
              <c:tx>
                <c:rich>
                  <a:bodyPr/>
                  <a:lstStyle/>
                  <a:p>
                    <a:fld id="{4C1147C0-9F49-4349-B167-4D3129D1FF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0D8-40CB-9156-B6C76FBA5FD6}"/>
                </c:ext>
              </c:extLst>
            </c:dLbl>
            <c:spPr>
              <a:solidFill>
                <a:srgbClr val="A6A6A6"/>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Emisyon!$A$2:$A$8</c:f>
              <c:numCache>
                <c:formatCode>General</c:formatCode>
                <c:ptCount val="7"/>
                <c:pt idx="0">
                  <c:v>2015</c:v>
                </c:pt>
                <c:pt idx="1">
                  <c:v>2016</c:v>
                </c:pt>
                <c:pt idx="2">
                  <c:v>2017</c:v>
                </c:pt>
                <c:pt idx="3">
                  <c:v>2018</c:v>
                </c:pt>
                <c:pt idx="4">
                  <c:v>2019</c:v>
                </c:pt>
                <c:pt idx="5">
                  <c:v>2020</c:v>
                </c:pt>
                <c:pt idx="6">
                  <c:v>2021</c:v>
                </c:pt>
              </c:numCache>
            </c:numRef>
          </c:cat>
          <c:val>
            <c:numRef>
              <c:f>Emisyon!$C$2:$C$8</c:f>
              <c:numCache>
                <c:formatCode>General</c:formatCode>
                <c:ptCount val="7"/>
                <c:pt idx="0">
                  <c:v>115.86000000000001</c:v>
                </c:pt>
                <c:pt idx="1">
                  <c:v>116.32000000000001</c:v>
                </c:pt>
                <c:pt idx="2">
                  <c:v>117.41</c:v>
                </c:pt>
                <c:pt idx="3">
                  <c:v>118.24000000000001</c:v>
                </c:pt>
                <c:pt idx="4">
                  <c:v>109.39</c:v>
                </c:pt>
                <c:pt idx="5">
                  <c:v>101.72</c:v>
                </c:pt>
                <c:pt idx="6">
                  <c:v>118.01</c:v>
                </c:pt>
              </c:numCache>
            </c:numRef>
          </c:val>
          <c:extLst>
            <c:ext xmlns:c15="http://schemas.microsoft.com/office/drawing/2012/chart" uri="{02D57815-91ED-43cb-92C2-25804820EDAC}">
              <c15:datalabelsRange>
                <c15:f>Emisyon!$E$2:$E$8</c15:f>
                <c15:dlblRangeCache>
                  <c:ptCount val="7"/>
                  <c:pt idx="0">
                    <c:v>37%</c:v>
                  </c:pt>
                  <c:pt idx="1">
                    <c:v>36%</c:v>
                  </c:pt>
                  <c:pt idx="2">
                    <c:v>35%</c:v>
                  </c:pt>
                  <c:pt idx="3">
                    <c:v>35%</c:v>
                  </c:pt>
                  <c:pt idx="4">
                    <c:v>34%</c:v>
                  </c:pt>
                  <c:pt idx="5">
                    <c:v>34%</c:v>
                  </c:pt>
                  <c:pt idx="6">
                    <c:v>36%</c:v>
                  </c:pt>
                </c15:dlblRangeCache>
              </c15:datalabelsRange>
            </c:ext>
            <c:ext xmlns:c16="http://schemas.microsoft.com/office/drawing/2014/chart" uri="{C3380CC4-5D6E-409C-BE32-E72D297353CC}">
              <c16:uniqueId val="{00000007-B0D8-40CB-9156-B6C76FBA5FD6}"/>
            </c:ext>
          </c:extLst>
        </c:ser>
        <c:ser>
          <c:idx val="2"/>
          <c:order val="2"/>
          <c:tx>
            <c:strRef>
              <c:f>Emisyon!$D$1</c:f>
              <c:strCache>
                <c:ptCount val="1"/>
                <c:pt idx="0">
                  <c:v>Elektrik Sektöründeki Kömür Kaynaklı Emisyon</c:v>
                </c:pt>
              </c:strCache>
            </c:strRef>
          </c:tx>
          <c:spPr>
            <a:solidFill>
              <a:srgbClr val="404040"/>
            </a:solidFill>
            <a:ln>
              <a:noFill/>
            </a:ln>
            <a:effectLst/>
          </c:spPr>
          <c:dLbls>
            <c:dLbl>
              <c:idx val="0"/>
              <c:layout>
                <c:manualLayout>
                  <c:x val="4.981836238151386E-2"/>
                  <c:y val="-4.1666666666666664E-2"/>
                </c:manualLayout>
              </c:layout>
              <c:tx>
                <c:rich>
                  <a:bodyPr/>
                  <a:lstStyle/>
                  <a:p>
                    <a:fld id="{5C89E126-0BAE-4C00-9739-7C0F5554DB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0D8-40CB-9156-B6C76FBA5FD6}"/>
                </c:ext>
              </c:extLst>
            </c:dLbl>
            <c:dLbl>
              <c:idx val="1"/>
              <c:layout>
                <c:manualLayout>
                  <c:x val="5.1894127480743603E-2"/>
                  <c:y val="-4.6296296296296384E-2"/>
                </c:manualLayout>
              </c:layout>
              <c:tx>
                <c:rich>
                  <a:bodyPr/>
                  <a:lstStyle/>
                  <a:p>
                    <a:fld id="{CEEEA903-F6B4-4BAC-A4B0-FE8F02C199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0D8-40CB-9156-B6C76FBA5FD6}"/>
                </c:ext>
              </c:extLst>
            </c:dLbl>
            <c:dLbl>
              <c:idx val="2"/>
              <c:layout>
                <c:manualLayout>
                  <c:x val="4.981836238151386E-2"/>
                  <c:y val="-4.6296296296296384E-2"/>
                </c:manualLayout>
              </c:layout>
              <c:tx>
                <c:rich>
                  <a:bodyPr/>
                  <a:lstStyle/>
                  <a:p>
                    <a:fld id="{3D4A7ABB-472F-47D2-8BC3-0386EC84F9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0D8-40CB-9156-B6C76FBA5FD6}"/>
                </c:ext>
              </c:extLst>
            </c:dLbl>
            <c:dLbl>
              <c:idx val="3"/>
              <c:layout>
                <c:manualLayout>
                  <c:x val="4.981836238151386E-2"/>
                  <c:y val="-3.2407407407407406E-2"/>
                </c:manualLayout>
              </c:layout>
              <c:tx>
                <c:rich>
                  <a:bodyPr/>
                  <a:lstStyle/>
                  <a:p>
                    <a:fld id="{568967E6-A81D-411E-8B0C-7F83FE4991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0D8-40CB-9156-B6C76FBA5FD6}"/>
                </c:ext>
              </c:extLst>
            </c:dLbl>
            <c:dLbl>
              <c:idx val="4"/>
              <c:layout>
                <c:manualLayout>
                  <c:x val="4.981836238151386E-2"/>
                  <c:y val="-2.3148148148148234E-2"/>
                </c:manualLayout>
              </c:layout>
              <c:tx>
                <c:rich>
                  <a:bodyPr/>
                  <a:lstStyle/>
                  <a:p>
                    <a:fld id="{8D47FB81-318D-44DD-885F-FA26E67C44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0D8-40CB-9156-B6C76FBA5FD6}"/>
                </c:ext>
              </c:extLst>
            </c:dLbl>
            <c:dLbl>
              <c:idx val="5"/>
              <c:layout>
                <c:manualLayout>
                  <c:x val="4.981836238151386E-2"/>
                  <c:y val="-4.6296296296296294E-2"/>
                </c:manualLayout>
              </c:layout>
              <c:tx>
                <c:rich>
                  <a:bodyPr/>
                  <a:lstStyle/>
                  <a:p>
                    <a:fld id="{AE37C9C1-E895-4C52-9FD4-75BA731572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B0D8-40CB-9156-B6C76FBA5FD6}"/>
                </c:ext>
              </c:extLst>
            </c:dLbl>
            <c:dLbl>
              <c:idx val="6"/>
              <c:layout>
                <c:manualLayout>
                  <c:x val="5.1894127480743603E-2"/>
                  <c:y val="-3.2407407407407489E-2"/>
                </c:manualLayout>
              </c:layout>
              <c:tx>
                <c:rich>
                  <a:bodyPr/>
                  <a:lstStyle/>
                  <a:p>
                    <a:fld id="{7CA0D657-58CD-4B16-B397-7DFDB12DAB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B0D8-40CB-9156-B6C76FBA5FD6}"/>
                </c:ext>
              </c:extLst>
            </c:dLbl>
            <c:spPr>
              <a:solidFill>
                <a:srgbClr val="40404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rgbClr val="404040"/>
                      </a:solidFill>
                      <a:round/>
                    </a:ln>
                    <a:effectLst/>
                  </c:spPr>
                </c15:leaderLines>
              </c:ext>
            </c:extLst>
          </c:dLbls>
          <c:cat>
            <c:numRef>
              <c:f>Emisyon!$A$2:$A$8</c:f>
              <c:numCache>
                <c:formatCode>General</c:formatCode>
                <c:ptCount val="7"/>
                <c:pt idx="0">
                  <c:v>2015</c:v>
                </c:pt>
                <c:pt idx="1">
                  <c:v>2016</c:v>
                </c:pt>
                <c:pt idx="2">
                  <c:v>2017</c:v>
                </c:pt>
                <c:pt idx="3">
                  <c:v>2018</c:v>
                </c:pt>
                <c:pt idx="4">
                  <c:v>2019</c:v>
                </c:pt>
                <c:pt idx="5">
                  <c:v>2020</c:v>
                </c:pt>
                <c:pt idx="6">
                  <c:v>2021</c:v>
                </c:pt>
              </c:numCache>
            </c:numRef>
          </c:cat>
          <c:val>
            <c:numRef>
              <c:f>Emisyon!$D$2:$D$8</c:f>
              <c:numCache>
                <c:formatCode>General</c:formatCode>
                <c:ptCount val="7"/>
                <c:pt idx="0">
                  <c:v>107.03</c:v>
                </c:pt>
                <c:pt idx="1">
                  <c:v>106.86</c:v>
                </c:pt>
                <c:pt idx="2">
                  <c:v>107.55</c:v>
                </c:pt>
                <c:pt idx="3">
                  <c:v>107.06</c:v>
                </c:pt>
                <c:pt idx="4">
                  <c:v>96.87</c:v>
                </c:pt>
                <c:pt idx="5">
                  <c:v>88.07</c:v>
                </c:pt>
                <c:pt idx="6">
                  <c:v>104.61</c:v>
                </c:pt>
              </c:numCache>
            </c:numRef>
          </c:val>
          <c:extLst>
            <c:ext xmlns:c15="http://schemas.microsoft.com/office/drawing/2012/chart" uri="{02D57815-91ED-43cb-92C2-25804820EDAC}">
              <c15:datalabelsRange>
                <c15:f>Emisyon!$F$2:$F$8</c15:f>
                <c15:dlblRangeCache>
                  <c:ptCount val="7"/>
                  <c:pt idx="0">
                    <c:v>34%</c:v>
                  </c:pt>
                  <c:pt idx="1">
                    <c:v>33%</c:v>
                  </c:pt>
                  <c:pt idx="2">
                    <c:v>32%</c:v>
                  </c:pt>
                  <c:pt idx="3">
                    <c:v>32%</c:v>
                  </c:pt>
                  <c:pt idx="4">
                    <c:v>30%</c:v>
                  </c:pt>
                  <c:pt idx="5">
                    <c:v>29%</c:v>
                  </c:pt>
                  <c:pt idx="6">
                    <c:v>32%</c:v>
                  </c:pt>
                </c15:dlblRangeCache>
              </c15:datalabelsRange>
            </c:ext>
            <c:ext xmlns:c16="http://schemas.microsoft.com/office/drawing/2014/chart" uri="{C3380CC4-5D6E-409C-BE32-E72D297353CC}">
              <c16:uniqueId val="{0000000F-B0D8-40CB-9156-B6C76FBA5FD6}"/>
            </c:ext>
          </c:extLst>
        </c:ser>
        <c:dLbls>
          <c:showLegendKey val="0"/>
          <c:showVal val="0"/>
          <c:showCatName val="0"/>
          <c:showSerName val="0"/>
          <c:showPercent val="0"/>
          <c:showBubbleSize val="0"/>
        </c:dLbls>
        <c:axId val="204114000"/>
        <c:axId val="100400080"/>
      </c:areaChart>
      <c:barChart>
        <c:barDir val="col"/>
        <c:grouping val="clustered"/>
        <c:varyColors val="0"/>
        <c:ser>
          <c:idx val="0"/>
          <c:order val="0"/>
          <c:tx>
            <c:strRef>
              <c:f>Emisyon!$B$1</c:f>
              <c:strCache>
                <c:ptCount val="1"/>
                <c:pt idx="0">
                  <c:v>Toplam Emisyon</c:v>
                </c:pt>
              </c:strCache>
            </c:strRef>
          </c:tx>
          <c:spPr>
            <a:solidFill>
              <a:srgbClr val="C00000"/>
            </a:solidFill>
            <a:ln>
              <a:noFill/>
            </a:ln>
            <a:effectLst/>
          </c:spPr>
          <c:invertIfNegative val="0"/>
          <c:dLbls>
            <c:spPr>
              <a:solidFill>
                <a:srgbClr val="C00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Emisyon!$B$2:$B$8</c:f>
              <c:numCache>
                <c:formatCode>0</c:formatCode>
                <c:ptCount val="7"/>
                <c:pt idx="0">
                  <c:v>313.45600000000002</c:v>
                </c:pt>
                <c:pt idx="1">
                  <c:v>324.38099999999997</c:v>
                </c:pt>
                <c:pt idx="2">
                  <c:v>337.73500000000001</c:v>
                </c:pt>
                <c:pt idx="3">
                  <c:v>337.048</c:v>
                </c:pt>
                <c:pt idx="4">
                  <c:v>318.488</c:v>
                </c:pt>
                <c:pt idx="5">
                  <c:v>303.52300000000002</c:v>
                </c:pt>
                <c:pt idx="6">
                  <c:v>328.58</c:v>
                </c:pt>
              </c:numCache>
            </c:numRef>
          </c:val>
          <c:extLst>
            <c:ext xmlns:c16="http://schemas.microsoft.com/office/drawing/2014/chart" uri="{C3380CC4-5D6E-409C-BE32-E72D297353CC}">
              <c16:uniqueId val="{00000010-B0D8-40CB-9156-B6C76FBA5FD6}"/>
            </c:ext>
          </c:extLst>
        </c:ser>
        <c:dLbls>
          <c:showLegendKey val="0"/>
          <c:showVal val="0"/>
          <c:showCatName val="0"/>
          <c:showSerName val="0"/>
          <c:showPercent val="0"/>
          <c:showBubbleSize val="0"/>
        </c:dLbls>
        <c:gapWidth val="219"/>
        <c:overlap val="-27"/>
        <c:axId val="204114000"/>
        <c:axId val="100400080"/>
      </c:barChart>
      <c:catAx>
        <c:axId val="20411400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0400080"/>
        <c:crosses val="autoZero"/>
        <c:auto val="1"/>
        <c:lblAlgn val="ctr"/>
        <c:lblOffset val="100"/>
        <c:noMultiLvlLbl val="0"/>
      </c:catAx>
      <c:valAx>
        <c:axId val="1004000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tr-TR" sz="1000" b="1" i="0" u="none" strike="noStrike" kern="1200" baseline="0">
                    <a:solidFill>
                      <a:sysClr val="windowText" lastClr="000000"/>
                    </a:solidFill>
                  </a:rPr>
                  <a:t>Karbon Emisyonu (mtCO</a:t>
                </a:r>
                <a:r>
                  <a:rPr lang="tr-TR" sz="1000" b="1" i="0" u="none" strike="noStrike" kern="1200" baseline="-25000">
                    <a:solidFill>
                      <a:sysClr val="windowText" lastClr="000000"/>
                    </a:solidFill>
                  </a:rPr>
                  <a:t>2</a:t>
                </a:r>
                <a:r>
                  <a:rPr lang="en-US" sz="1000" b="1" i="0" u="none" strike="noStrike" kern="1200" baseline="-25000">
                    <a:solidFill>
                      <a:sysClr val="windowText" lastClr="000000"/>
                    </a:solidFill>
                  </a:rPr>
                  <a:t>)</a:t>
                </a:r>
                <a:endParaRPr lang="en-US" sz="1000" b="1"/>
              </a:p>
            </c:rich>
          </c:tx>
          <c:layout>
            <c:manualLayout>
              <c:xMode val="edge"/>
              <c:yMode val="edge"/>
              <c:x val="1.9444444444444445E-2"/>
              <c:y val="0.2010447652376786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411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Doğal Gaz</c:v>
                </c:pt>
              </c:strCache>
            </c:strRef>
          </c:tx>
          <c:spPr>
            <a:solidFill>
              <a:schemeClr val="tx2">
                <a:lumMod val="60000"/>
                <a:lumOff val="40000"/>
              </a:schemeClr>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0.52143584540683507</c:v>
                </c:pt>
                <c:pt idx="1">
                  <c:v>0.33136265388834313</c:v>
                </c:pt>
                <c:pt idx="2">
                  <c:v>0.37117144470047708</c:v>
                </c:pt>
                <c:pt idx="3">
                  <c:v>0.37611506964021968</c:v>
                </c:pt>
                <c:pt idx="4">
                  <c:v>0.67352790391238226</c:v>
                </c:pt>
                <c:pt idx="5">
                  <c:v>0.62604643915841651</c:v>
                </c:pt>
              </c:numCache>
            </c:numRef>
          </c:val>
          <c:extLst>
            <c:ext xmlns:c16="http://schemas.microsoft.com/office/drawing/2014/chart" uri="{C3380CC4-5D6E-409C-BE32-E72D297353CC}">
              <c16:uniqueId val="{00000000-37B6-440C-BE39-A77BFD8225B0}"/>
            </c:ext>
          </c:extLst>
        </c:ser>
        <c:ser>
          <c:idx val="1"/>
          <c:order val="1"/>
          <c:tx>
            <c:strRef>
              <c:f>Sheet1!$C$1</c:f>
              <c:strCache>
                <c:ptCount val="1"/>
                <c:pt idx="0">
                  <c:v>Yerli Kömür</c:v>
                </c:pt>
              </c:strCache>
            </c:strRef>
          </c:tx>
          <c:spPr>
            <a:solidFill>
              <a:schemeClr val="bg1">
                <a:lumMod val="75000"/>
              </a:schemeClr>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0.46577353862650378</c:v>
                </c:pt>
                <c:pt idx="1">
                  <c:v>0.59177726913204121</c:v>
                </c:pt>
                <c:pt idx="2">
                  <c:v>0.53775468181728159</c:v>
                </c:pt>
                <c:pt idx="3">
                  <c:v>0.53890186721460132</c:v>
                </c:pt>
                <c:pt idx="4">
                  <c:v>0.23129179411873016</c:v>
                </c:pt>
                <c:pt idx="5">
                  <c:v>0.28380445808316324</c:v>
                </c:pt>
              </c:numCache>
            </c:numRef>
          </c:val>
          <c:extLst>
            <c:ext xmlns:c16="http://schemas.microsoft.com/office/drawing/2014/chart" uri="{C3380CC4-5D6E-409C-BE32-E72D297353CC}">
              <c16:uniqueId val="{00000001-37B6-440C-BE39-A77BFD8225B0}"/>
            </c:ext>
          </c:extLst>
        </c:ser>
        <c:ser>
          <c:idx val="2"/>
          <c:order val="2"/>
          <c:tx>
            <c:strRef>
              <c:f>Sheet1!$D$1</c:f>
              <c:strCache>
                <c:ptCount val="1"/>
                <c:pt idx="0">
                  <c:v>İthal ve Yerli Kömür</c:v>
                </c:pt>
              </c:strCache>
            </c:strRef>
          </c:tx>
          <c:spPr>
            <a:solidFill>
              <a:schemeClr val="tx1"/>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Sheet1!$D$2:$D$7</c:f>
              <c:numCache>
                <c:formatCode>General</c:formatCode>
                <c:ptCount val="6"/>
                <c:pt idx="0">
                  <c:v>1.2790615966661095E-2</c:v>
                </c:pt>
                <c:pt idx="1">
                  <c:v>9.3418049749532887E-3</c:v>
                </c:pt>
                <c:pt idx="2">
                  <c:v>2.0484625935363179E-2</c:v>
                </c:pt>
                <c:pt idx="3">
                  <c:v>2.713534761287989E-2</c:v>
                </c:pt>
                <c:pt idx="4">
                  <c:v>4.9401121701152691E-3</c:v>
                </c:pt>
                <c:pt idx="5">
                  <c:v>4.1921305787483458E-3</c:v>
                </c:pt>
              </c:numCache>
            </c:numRef>
          </c:val>
          <c:extLst>
            <c:ext xmlns:c16="http://schemas.microsoft.com/office/drawing/2014/chart" uri="{C3380CC4-5D6E-409C-BE32-E72D297353CC}">
              <c16:uniqueId val="{00000002-37B6-440C-BE39-A77BFD8225B0}"/>
            </c:ext>
          </c:extLst>
        </c:ser>
        <c:ser>
          <c:idx val="3"/>
          <c:order val="3"/>
          <c:tx>
            <c:strRef>
              <c:f>Sheet1!$E$1</c:f>
              <c:strCache>
                <c:ptCount val="1"/>
                <c:pt idx="0">
                  <c:v>Hidro</c:v>
                </c:pt>
              </c:strCache>
            </c:strRef>
          </c:tx>
          <c:spPr>
            <a:solidFill>
              <a:schemeClr val="accent1"/>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Sheet1!$E$2:$E$7</c:f>
              <c:numCache>
                <c:formatCode>General</c:formatCode>
                <c:ptCount val="6"/>
                <c:pt idx="0">
                  <c:v>0</c:v>
                </c:pt>
                <c:pt idx="1">
                  <c:v>6.75182720046624E-2</c:v>
                </c:pt>
                <c:pt idx="2">
                  <c:v>7.0589247546878023E-2</c:v>
                </c:pt>
                <c:pt idx="3">
                  <c:v>5.7847715532299018E-2</c:v>
                </c:pt>
                <c:pt idx="4">
                  <c:v>9.0240189798772269E-2</c:v>
                </c:pt>
                <c:pt idx="5">
                  <c:v>8.5956972179671964E-2</c:v>
                </c:pt>
              </c:numCache>
            </c:numRef>
          </c:val>
          <c:extLst>
            <c:ext xmlns:c16="http://schemas.microsoft.com/office/drawing/2014/chart" uri="{C3380CC4-5D6E-409C-BE32-E72D297353CC}">
              <c16:uniqueId val="{00000003-37B6-440C-BE39-A77BFD8225B0}"/>
            </c:ext>
          </c:extLst>
        </c:ser>
        <c:dLbls>
          <c:showLegendKey val="0"/>
          <c:showVal val="0"/>
          <c:showCatName val="0"/>
          <c:showSerName val="0"/>
          <c:showPercent val="0"/>
          <c:showBubbleSize val="0"/>
        </c:dLbls>
        <c:gapWidth val="150"/>
        <c:overlap val="100"/>
        <c:axId val="1397887647"/>
        <c:axId val="1394896671"/>
      </c:barChart>
      <c:catAx>
        <c:axId val="139788764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4896671"/>
        <c:crosses val="autoZero"/>
        <c:auto val="1"/>
        <c:lblAlgn val="ctr"/>
        <c:lblOffset val="100"/>
        <c:noMultiLvlLbl val="0"/>
      </c:catAx>
      <c:valAx>
        <c:axId val="139489667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tr-TR"/>
                  <a:t>Kapasite Mekanizması Ödemesinin Dağılımı</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788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4199475065616"/>
          <c:y val="4.4263270069267772E-2"/>
          <c:w val="0.86427670098929943"/>
          <c:h val="0.57614908713333912"/>
        </c:manualLayout>
      </c:layout>
      <c:lineChart>
        <c:grouping val="standard"/>
        <c:varyColors val="0"/>
        <c:ser>
          <c:idx val="0"/>
          <c:order val="0"/>
          <c:tx>
            <c:strRef>
              <c:f>Sheet1!$B$1</c:f>
              <c:strCache>
                <c:ptCount val="1"/>
                <c:pt idx="0">
                  <c:v>Sanayi</c:v>
                </c:pt>
              </c:strCache>
            </c:strRef>
          </c:tx>
          <c:spPr>
            <a:ln w="12700" cap="rnd">
              <a:solidFill>
                <a:schemeClr val="accent1"/>
              </a:solidFill>
              <a:round/>
            </a:ln>
            <a:effectLst/>
          </c:spPr>
          <c:marker>
            <c:symbol val="none"/>
          </c:marker>
          <c:cat>
            <c:strRef>
              <c:f>Sheet1!$A$2:$A$85</c:f>
              <c:strCache>
                <c:ptCount val="84"/>
                <c:pt idx="0">
                  <c:v>Oca-17</c:v>
                </c:pt>
                <c:pt idx="1">
                  <c:v>Şub-17</c:v>
                </c:pt>
                <c:pt idx="2">
                  <c:v>Mar-17</c:v>
                </c:pt>
                <c:pt idx="3">
                  <c:v>Nis-17</c:v>
                </c:pt>
                <c:pt idx="4">
                  <c:v>May-17</c:v>
                </c:pt>
                <c:pt idx="5">
                  <c:v>Haz-17</c:v>
                </c:pt>
                <c:pt idx="6">
                  <c:v>Tem-17</c:v>
                </c:pt>
                <c:pt idx="7">
                  <c:v>Ağu-17</c:v>
                </c:pt>
                <c:pt idx="8">
                  <c:v>Eyl-17</c:v>
                </c:pt>
                <c:pt idx="9">
                  <c:v>Eki-17</c:v>
                </c:pt>
                <c:pt idx="10">
                  <c:v>Kas-17</c:v>
                </c:pt>
                <c:pt idx="11">
                  <c:v>Ara-17</c:v>
                </c:pt>
                <c:pt idx="12">
                  <c:v>Oca-18</c:v>
                </c:pt>
                <c:pt idx="13">
                  <c:v>Şub-18</c:v>
                </c:pt>
                <c:pt idx="14">
                  <c:v>Mar-18</c:v>
                </c:pt>
                <c:pt idx="15">
                  <c:v>Nis-18</c:v>
                </c:pt>
                <c:pt idx="16">
                  <c:v>May-18</c:v>
                </c:pt>
                <c:pt idx="17">
                  <c:v>Haz-18</c:v>
                </c:pt>
                <c:pt idx="18">
                  <c:v>Tem-18</c:v>
                </c:pt>
                <c:pt idx="19">
                  <c:v>Ağu-18</c:v>
                </c:pt>
                <c:pt idx="20">
                  <c:v>Eyl-18</c:v>
                </c:pt>
                <c:pt idx="21">
                  <c:v>Eki-18</c:v>
                </c:pt>
                <c:pt idx="22">
                  <c:v>Kas-18</c:v>
                </c:pt>
                <c:pt idx="23">
                  <c:v>Ara-18</c:v>
                </c:pt>
                <c:pt idx="24">
                  <c:v>Oca-19</c:v>
                </c:pt>
                <c:pt idx="25">
                  <c:v>Şub-19</c:v>
                </c:pt>
                <c:pt idx="26">
                  <c:v>Mar-19</c:v>
                </c:pt>
                <c:pt idx="27">
                  <c:v>Nis-19</c:v>
                </c:pt>
                <c:pt idx="28">
                  <c:v>May-19</c:v>
                </c:pt>
                <c:pt idx="29">
                  <c:v>Haz-19</c:v>
                </c:pt>
                <c:pt idx="30">
                  <c:v>Tem-19</c:v>
                </c:pt>
                <c:pt idx="31">
                  <c:v>Ağu-19</c:v>
                </c:pt>
                <c:pt idx="32">
                  <c:v>Eyl-19</c:v>
                </c:pt>
                <c:pt idx="33">
                  <c:v>Eki-19</c:v>
                </c:pt>
                <c:pt idx="34">
                  <c:v>Kas-19</c:v>
                </c:pt>
                <c:pt idx="35">
                  <c:v>Ara-19</c:v>
                </c:pt>
                <c:pt idx="36">
                  <c:v>Oca-20</c:v>
                </c:pt>
                <c:pt idx="37">
                  <c:v>Şub-20</c:v>
                </c:pt>
                <c:pt idx="38">
                  <c:v>Mar-20</c:v>
                </c:pt>
                <c:pt idx="39">
                  <c:v>Nis-20</c:v>
                </c:pt>
                <c:pt idx="40">
                  <c:v>May-20</c:v>
                </c:pt>
                <c:pt idx="41">
                  <c:v>Haz-20</c:v>
                </c:pt>
                <c:pt idx="42">
                  <c:v>Tem-20</c:v>
                </c:pt>
                <c:pt idx="43">
                  <c:v>Ağu-20</c:v>
                </c:pt>
                <c:pt idx="44">
                  <c:v>Eyl-20</c:v>
                </c:pt>
                <c:pt idx="45">
                  <c:v>Eki-20</c:v>
                </c:pt>
                <c:pt idx="46">
                  <c:v>Kas-20</c:v>
                </c:pt>
                <c:pt idx="47">
                  <c:v>Ara-20</c:v>
                </c:pt>
                <c:pt idx="48">
                  <c:v>Oca-21</c:v>
                </c:pt>
                <c:pt idx="49">
                  <c:v>Şub-21</c:v>
                </c:pt>
                <c:pt idx="50">
                  <c:v>Mar-21</c:v>
                </c:pt>
                <c:pt idx="51">
                  <c:v>Nis-21</c:v>
                </c:pt>
                <c:pt idx="52">
                  <c:v>May-21</c:v>
                </c:pt>
                <c:pt idx="53">
                  <c:v>Haz-21</c:v>
                </c:pt>
                <c:pt idx="54">
                  <c:v>Tem-21</c:v>
                </c:pt>
                <c:pt idx="55">
                  <c:v>Ağu-21</c:v>
                </c:pt>
                <c:pt idx="56">
                  <c:v>Eyl-21</c:v>
                </c:pt>
                <c:pt idx="57">
                  <c:v>Eki-21</c:v>
                </c:pt>
                <c:pt idx="58">
                  <c:v>Kas-21</c:v>
                </c:pt>
                <c:pt idx="59">
                  <c:v>Ara-21</c:v>
                </c:pt>
                <c:pt idx="60">
                  <c:v>Oca-22</c:v>
                </c:pt>
                <c:pt idx="61">
                  <c:v>Şub-22</c:v>
                </c:pt>
                <c:pt idx="62">
                  <c:v>Mar-22</c:v>
                </c:pt>
                <c:pt idx="63">
                  <c:v>Nis-22</c:v>
                </c:pt>
                <c:pt idx="64">
                  <c:v>May-22</c:v>
                </c:pt>
                <c:pt idx="65">
                  <c:v>Haz-22</c:v>
                </c:pt>
                <c:pt idx="66">
                  <c:v>Tem-22</c:v>
                </c:pt>
                <c:pt idx="67">
                  <c:v>Ağu-22</c:v>
                </c:pt>
                <c:pt idx="68">
                  <c:v>Eyl-22</c:v>
                </c:pt>
                <c:pt idx="69">
                  <c:v>Eki-22</c:v>
                </c:pt>
                <c:pt idx="70">
                  <c:v>Kas-22</c:v>
                </c:pt>
                <c:pt idx="71">
                  <c:v>Ara-22</c:v>
                </c:pt>
                <c:pt idx="72">
                  <c:v>Oca-23</c:v>
                </c:pt>
                <c:pt idx="73">
                  <c:v>Şub-23</c:v>
                </c:pt>
                <c:pt idx="74">
                  <c:v>Mar-23</c:v>
                </c:pt>
                <c:pt idx="75">
                  <c:v>Nis-23</c:v>
                </c:pt>
                <c:pt idx="76">
                  <c:v>May-23</c:v>
                </c:pt>
                <c:pt idx="77">
                  <c:v>Jun-23</c:v>
                </c:pt>
                <c:pt idx="78">
                  <c:v>Jul-23</c:v>
                </c:pt>
                <c:pt idx="79">
                  <c:v>Aug-23</c:v>
                </c:pt>
                <c:pt idx="80">
                  <c:v>Sep-23</c:v>
                </c:pt>
                <c:pt idx="81">
                  <c:v>Oct-23</c:v>
                </c:pt>
                <c:pt idx="82">
                  <c:v>Nov-23</c:v>
                </c:pt>
                <c:pt idx="83">
                  <c:v>Dec-23</c:v>
                </c:pt>
              </c:strCache>
            </c:strRef>
          </c:cat>
          <c:val>
            <c:numRef>
              <c:f>Sheet1!$B$2:$B$85</c:f>
              <c:numCache>
                <c:formatCode>General</c:formatCode>
                <c:ptCount val="84"/>
                <c:pt idx="0">
                  <c:v>704.14499999999998</c:v>
                </c:pt>
                <c:pt idx="1">
                  <c:v>704.14499999999998</c:v>
                </c:pt>
                <c:pt idx="2">
                  <c:v>704.14499999999998</c:v>
                </c:pt>
                <c:pt idx="3">
                  <c:v>704.14499999999998</c:v>
                </c:pt>
                <c:pt idx="4">
                  <c:v>704.14499999999998</c:v>
                </c:pt>
                <c:pt idx="5">
                  <c:v>704.14499999999998</c:v>
                </c:pt>
                <c:pt idx="6">
                  <c:v>704.14499999999998</c:v>
                </c:pt>
                <c:pt idx="7">
                  <c:v>704.14499999999998</c:v>
                </c:pt>
                <c:pt idx="8">
                  <c:v>704.14499999999998</c:v>
                </c:pt>
                <c:pt idx="9">
                  <c:v>704.14499999999998</c:v>
                </c:pt>
                <c:pt idx="10">
                  <c:v>704.14499999999998</c:v>
                </c:pt>
                <c:pt idx="11">
                  <c:v>704.14499999999998</c:v>
                </c:pt>
                <c:pt idx="12">
                  <c:v>800</c:v>
                </c:pt>
                <c:pt idx="13">
                  <c:v>800</c:v>
                </c:pt>
                <c:pt idx="14">
                  <c:v>800</c:v>
                </c:pt>
                <c:pt idx="15">
                  <c:v>877.6</c:v>
                </c:pt>
                <c:pt idx="16">
                  <c:v>877.6</c:v>
                </c:pt>
                <c:pt idx="17">
                  <c:v>877.6</c:v>
                </c:pt>
                <c:pt idx="18">
                  <c:v>877.6</c:v>
                </c:pt>
                <c:pt idx="19">
                  <c:v>1000.4640000000001</c:v>
                </c:pt>
                <c:pt idx="20">
                  <c:v>1140.529</c:v>
                </c:pt>
                <c:pt idx="21">
                  <c:v>1351.5269999999998</c:v>
                </c:pt>
                <c:pt idx="22">
                  <c:v>1351.5269999999998</c:v>
                </c:pt>
                <c:pt idx="23">
                  <c:v>1351.5269999999998</c:v>
                </c:pt>
                <c:pt idx="24">
                  <c:v>1351.5269999999998</c:v>
                </c:pt>
                <c:pt idx="25">
                  <c:v>1351.5269999999998</c:v>
                </c:pt>
                <c:pt idx="26">
                  <c:v>1351.5269999999998</c:v>
                </c:pt>
                <c:pt idx="27">
                  <c:v>1351.5269999999998</c:v>
                </c:pt>
                <c:pt idx="28">
                  <c:v>1351.5269999999998</c:v>
                </c:pt>
                <c:pt idx="29">
                  <c:v>1351.5269999999998</c:v>
                </c:pt>
                <c:pt idx="30">
                  <c:v>1351.5269999999998</c:v>
                </c:pt>
                <c:pt idx="31">
                  <c:v>1550</c:v>
                </c:pt>
                <c:pt idx="32">
                  <c:v>1550</c:v>
                </c:pt>
                <c:pt idx="33">
                  <c:v>1550</c:v>
                </c:pt>
                <c:pt idx="34">
                  <c:v>1550</c:v>
                </c:pt>
                <c:pt idx="35">
                  <c:v>1550</c:v>
                </c:pt>
                <c:pt idx="36">
                  <c:v>1550</c:v>
                </c:pt>
                <c:pt idx="37">
                  <c:v>1550</c:v>
                </c:pt>
                <c:pt idx="38">
                  <c:v>1550</c:v>
                </c:pt>
                <c:pt idx="39">
                  <c:v>1550</c:v>
                </c:pt>
                <c:pt idx="40">
                  <c:v>1550</c:v>
                </c:pt>
                <c:pt idx="41">
                  <c:v>1400</c:v>
                </c:pt>
                <c:pt idx="42">
                  <c:v>1400</c:v>
                </c:pt>
                <c:pt idx="43">
                  <c:v>1400</c:v>
                </c:pt>
                <c:pt idx="44">
                  <c:v>1400</c:v>
                </c:pt>
                <c:pt idx="45">
                  <c:v>1400</c:v>
                </c:pt>
                <c:pt idx="46">
                  <c:v>1400</c:v>
                </c:pt>
                <c:pt idx="47">
                  <c:v>1400</c:v>
                </c:pt>
                <c:pt idx="48" formatCode="0">
                  <c:v>1414</c:v>
                </c:pt>
                <c:pt idx="49" formatCode="0">
                  <c:v>1428.14</c:v>
                </c:pt>
                <c:pt idx="50" formatCode="0">
                  <c:v>1442.421</c:v>
                </c:pt>
                <c:pt idx="51" formatCode="0">
                  <c:v>1456.845</c:v>
                </c:pt>
                <c:pt idx="52" formatCode="0">
                  <c:v>1471.414</c:v>
                </c:pt>
                <c:pt idx="53" formatCode="0">
                  <c:v>1486.1279999999999</c:v>
                </c:pt>
                <c:pt idx="54" formatCode="0">
                  <c:v>1783.354</c:v>
                </c:pt>
                <c:pt idx="55" formatCode="0">
                  <c:v>1783.354</c:v>
                </c:pt>
                <c:pt idx="56" formatCode="0">
                  <c:v>2050.857</c:v>
                </c:pt>
                <c:pt idx="57" formatCode="0">
                  <c:v>2358.4859999999999</c:v>
                </c:pt>
                <c:pt idx="58" formatCode="0">
                  <c:v>3500</c:v>
                </c:pt>
                <c:pt idx="59" formatCode="0">
                  <c:v>4200</c:v>
                </c:pt>
                <c:pt idx="60" formatCode="0">
                  <c:v>6300</c:v>
                </c:pt>
                <c:pt idx="61" formatCode="0">
                  <c:v>6300</c:v>
                </c:pt>
                <c:pt idx="62" formatCode="0">
                  <c:v>6300</c:v>
                </c:pt>
                <c:pt idx="63" formatCode="0">
                  <c:v>9450</c:v>
                </c:pt>
                <c:pt idx="64" formatCode="0">
                  <c:v>9450</c:v>
                </c:pt>
                <c:pt idx="65" formatCode="0">
                  <c:v>10416.666999999999</c:v>
                </c:pt>
                <c:pt idx="66" formatCode="0">
                  <c:v>10416.666999999999</c:v>
                </c:pt>
                <c:pt idx="67" formatCode="0">
                  <c:v>10416.666999999999</c:v>
                </c:pt>
                <c:pt idx="68" formatCode="0">
                  <c:v>15833.334000000001</c:v>
                </c:pt>
                <c:pt idx="69" formatCode="0">
                  <c:v>15833.334000000001</c:v>
                </c:pt>
                <c:pt idx="70" formatCode="0">
                  <c:v>15833.334000000001</c:v>
                </c:pt>
                <c:pt idx="71" formatCode="0">
                  <c:v>15833.334000000001</c:v>
                </c:pt>
                <c:pt idx="72" formatCode="0">
                  <c:v>15833.334000000001</c:v>
                </c:pt>
                <c:pt idx="73" formatCode="0">
                  <c:v>13727.514999999999</c:v>
                </c:pt>
                <c:pt idx="74" formatCode="0">
                  <c:v>11850</c:v>
                </c:pt>
                <c:pt idx="75">
                  <c:v>9478.4240000000009</c:v>
                </c:pt>
                <c:pt idx="76">
                  <c:v>9478.4240000000009</c:v>
                </c:pt>
                <c:pt idx="77">
                  <c:v>9478.4240000000009</c:v>
                </c:pt>
                <c:pt idx="78">
                  <c:v>9478.4240000000009</c:v>
                </c:pt>
                <c:pt idx="79">
                  <c:v>9478.4240000000009</c:v>
                </c:pt>
                <c:pt idx="80">
                  <c:v>9478.4240000000009</c:v>
                </c:pt>
                <c:pt idx="81" formatCode="0">
                  <c:v>11374.1</c:v>
                </c:pt>
                <c:pt idx="82" formatCode="0">
                  <c:v>11374.1</c:v>
                </c:pt>
                <c:pt idx="83" formatCode="0">
                  <c:v>11374.1</c:v>
                </c:pt>
              </c:numCache>
            </c:numRef>
          </c:val>
          <c:smooth val="1"/>
          <c:extLst>
            <c:ext xmlns:c16="http://schemas.microsoft.com/office/drawing/2014/chart" uri="{C3380CC4-5D6E-409C-BE32-E72D297353CC}">
              <c16:uniqueId val="{00000000-6B89-4B51-9148-1E9AF150960F}"/>
            </c:ext>
          </c:extLst>
        </c:ser>
        <c:ser>
          <c:idx val="1"/>
          <c:order val="1"/>
          <c:tx>
            <c:strRef>
              <c:f>Sheet1!$C$1</c:f>
              <c:strCache>
                <c:ptCount val="1"/>
                <c:pt idx="0">
                  <c:v>Konut</c:v>
                </c:pt>
              </c:strCache>
            </c:strRef>
          </c:tx>
          <c:spPr>
            <a:ln w="12700" cap="rnd">
              <a:solidFill>
                <a:srgbClr val="A9D18E"/>
              </a:solidFill>
              <a:round/>
            </a:ln>
            <a:effectLst/>
          </c:spPr>
          <c:marker>
            <c:symbol val="none"/>
          </c:marker>
          <c:cat>
            <c:strRef>
              <c:f>Sheet1!$A$2:$A$85</c:f>
              <c:strCache>
                <c:ptCount val="84"/>
                <c:pt idx="0">
                  <c:v>Oca-17</c:v>
                </c:pt>
                <c:pt idx="1">
                  <c:v>Şub-17</c:v>
                </c:pt>
                <c:pt idx="2">
                  <c:v>Mar-17</c:v>
                </c:pt>
                <c:pt idx="3">
                  <c:v>Nis-17</c:v>
                </c:pt>
                <c:pt idx="4">
                  <c:v>May-17</c:v>
                </c:pt>
                <c:pt idx="5">
                  <c:v>Haz-17</c:v>
                </c:pt>
                <c:pt idx="6">
                  <c:v>Tem-17</c:v>
                </c:pt>
                <c:pt idx="7">
                  <c:v>Ağu-17</c:v>
                </c:pt>
                <c:pt idx="8">
                  <c:v>Eyl-17</c:v>
                </c:pt>
                <c:pt idx="9">
                  <c:v>Eki-17</c:v>
                </c:pt>
                <c:pt idx="10">
                  <c:v>Kas-17</c:v>
                </c:pt>
                <c:pt idx="11">
                  <c:v>Ara-17</c:v>
                </c:pt>
                <c:pt idx="12">
                  <c:v>Oca-18</c:v>
                </c:pt>
                <c:pt idx="13">
                  <c:v>Şub-18</c:v>
                </c:pt>
                <c:pt idx="14">
                  <c:v>Mar-18</c:v>
                </c:pt>
                <c:pt idx="15">
                  <c:v>Nis-18</c:v>
                </c:pt>
                <c:pt idx="16">
                  <c:v>May-18</c:v>
                </c:pt>
                <c:pt idx="17">
                  <c:v>Haz-18</c:v>
                </c:pt>
                <c:pt idx="18">
                  <c:v>Tem-18</c:v>
                </c:pt>
                <c:pt idx="19">
                  <c:v>Ağu-18</c:v>
                </c:pt>
                <c:pt idx="20">
                  <c:v>Eyl-18</c:v>
                </c:pt>
                <c:pt idx="21">
                  <c:v>Eki-18</c:v>
                </c:pt>
                <c:pt idx="22">
                  <c:v>Kas-18</c:v>
                </c:pt>
                <c:pt idx="23">
                  <c:v>Ara-18</c:v>
                </c:pt>
                <c:pt idx="24">
                  <c:v>Oca-19</c:v>
                </c:pt>
                <c:pt idx="25">
                  <c:v>Şub-19</c:v>
                </c:pt>
                <c:pt idx="26">
                  <c:v>Mar-19</c:v>
                </c:pt>
                <c:pt idx="27">
                  <c:v>Nis-19</c:v>
                </c:pt>
                <c:pt idx="28">
                  <c:v>May-19</c:v>
                </c:pt>
                <c:pt idx="29">
                  <c:v>Haz-19</c:v>
                </c:pt>
                <c:pt idx="30">
                  <c:v>Tem-19</c:v>
                </c:pt>
                <c:pt idx="31">
                  <c:v>Ağu-19</c:v>
                </c:pt>
                <c:pt idx="32">
                  <c:v>Eyl-19</c:v>
                </c:pt>
                <c:pt idx="33">
                  <c:v>Eki-19</c:v>
                </c:pt>
                <c:pt idx="34">
                  <c:v>Kas-19</c:v>
                </c:pt>
                <c:pt idx="35">
                  <c:v>Ara-19</c:v>
                </c:pt>
                <c:pt idx="36">
                  <c:v>Oca-20</c:v>
                </c:pt>
                <c:pt idx="37">
                  <c:v>Şub-20</c:v>
                </c:pt>
                <c:pt idx="38">
                  <c:v>Mar-20</c:v>
                </c:pt>
                <c:pt idx="39">
                  <c:v>Nis-20</c:v>
                </c:pt>
                <c:pt idx="40">
                  <c:v>May-20</c:v>
                </c:pt>
                <c:pt idx="41">
                  <c:v>Haz-20</c:v>
                </c:pt>
                <c:pt idx="42">
                  <c:v>Tem-20</c:v>
                </c:pt>
                <c:pt idx="43">
                  <c:v>Ağu-20</c:v>
                </c:pt>
                <c:pt idx="44">
                  <c:v>Eyl-20</c:v>
                </c:pt>
                <c:pt idx="45">
                  <c:v>Eki-20</c:v>
                </c:pt>
                <c:pt idx="46">
                  <c:v>Kas-20</c:v>
                </c:pt>
                <c:pt idx="47">
                  <c:v>Ara-20</c:v>
                </c:pt>
                <c:pt idx="48">
                  <c:v>Oca-21</c:v>
                </c:pt>
                <c:pt idx="49">
                  <c:v>Şub-21</c:v>
                </c:pt>
                <c:pt idx="50">
                  <c:v>Mar-21</c:v>
                </c:pt>
                <c:pt idx="51">
                  <c:v>Nis-21</c:v>
                </c:pt>
                <c:pt idx="52">
                  <c:v>May-21</c:v>
                </c:pt>
                <c:pt idx="53">
                  <c:v>Haz-21</c:v>
                </c:pt>
                <c:pt idx="54">
                  <c:v>Tem-21</c:v>
                </c:pt>
                <c:pt idx="55">
                  <c:v>Ağu-21</c:v>
                </c:pt>
                <c:pt idx="56">
                  <c:v>Eyl-21</c:v>
                </c:pt>
                <c:pt idx="57">
                  <c:v>Eki-21</c:v>
                </c:pt>
                <c:pt idx="58">
                  <c:v>Kas-21</c:v>
                </c:pt>
                <c:pt idx="59">
                  <c:v>Ara-21</c:v>
                </c:pt>
                <c:pt idx="60">
                  <c:v>Oca-22</c:v>
                </c:pt>
                <c:pt idx="61">
                  <c:v>Şub-22</c:v>
                </c:pt>
                <c:pt idx="62">
                  <c:v>Mar-22</c:v>
                </c:pt>
                <c:pt idx="63">
                  <c:v>Nis-22</c:v>
                </c:pt>
                <c:pt idx="64">
                  <c:v>May-22</c:v>
                </c:pt>
                <c:pt idx="65">
                  <c:v>Haz-22</c:v>
                </c:pt>
                <c:pt idx="66">
                  <c:v>Tem-22</c:v>
                </c:pt>
                <c:pt idx="67">
                  <c:v>Ağu-22</c:v>
                </c:pt>
                <c:pt idx="68">
                  <c:v>Eyl-22</c:v>
                </c:pt>
                <c:pt idx="69">
                  <c:v>Eki-22</c:v>
                </c:pt>
                <c:pt idx="70">
                  <c:v>Kas-22</c:v>
                </c:pt>
                <c:pt idx="71">
                  <c:v>Ara-22</c:v>
                </c:pt>
                <c:pt idx="72">
                  <c:v>Oca-23</c:v>
                </c:pt>
                <c:pt idx="73">
                  <c:v>Şub-23</c:v>
                </c:pt>
                <c:pt idx="74">
                  <c:v>Mar-23</c:v>
                </c:pt>
                <c:pt idx="75">
                  <c:v>Nis-23</c:v>
                </c:pt>
                <c:pt idx="76">
                  <c:v>May-23</c:v>
                </c:pt>
                <c:pt idx="77">
                  <c:v>Jun-23</c:v>
                </c:pt>
                <c:pt idx="78">
                  <c:v>Jul-23</c:v>
                </c:pt>
                <c:pt idx="79">
                  <c:v>Aug-23</c:v>
                </c:pt>
                <c:pt idx="80">
                  <c:v>Sep-23</c:v>
                </c:pt>
                <c:pt idx="81">
                  <c:v>Oct-23</c:v>
                </c:pt>
                <c:pt idx="82">
                  <c:v>Nov-23</c:v>
                </c:pt>
                <c:pt idx="83">
                  <c:v>Dec-23</c:v>
                </c:pt>
              </c:strCache>
            </c:strRef>
          </c:cat>
          <c:val>
            <c:numRef>
              <c:f>Sheet1!$C$2:$C$85</c:f>
              <c:numCache>
                <c:formatCode>General</c:formatCode>
                <c:ptCount val="84"/>
                <c:pt idx="0">
                  <c:v>763.61500000000001</c:v>
                </c:pt>
                <c:pt idx="1">
                  <c:v>763.61500000000001</c:v>
                </c:pt>
                <c:pt idx="2">
                  <c:v>763.61500000000001</c:v>
                </c:pt>
                <c:pt idx="3">
                  <c:v>763.61500000000001</c:v>
                </c:pt>
                <c:pt idx="4">
                  <c:v>763.61500000000001</c:v>
                </c:pt>
                <c:pt idx="5">
                  <c:v>763.61500000000001</c:v>
                </c:pt>
                <c:pt idx="6">
                  <c:v>763.61500000000001</c:v>
                </c:pt>
                <c:pt idx="7">
                  <c:v>763.61500000000001</c:v>
                </c:pt>
                <c:pt idx="8">
                  <c:v>763.61500000000001</c:v>
                </c:pt>
                <c:pt idx="9">
                  <c:v>763.61500000000001</c:v>
                </c:pt>
                <c:pt idx="10">
                  <c:v>763.61500000000001</c:v>
                </c:pt>
                <c:pt idx="11">
                  <c:v>763.61500000000001</c:v>
                </c:pt>
                <c:pt idx="12">
                  <c:v>763.61500000000001</c:v>
                </c:pt>
                <c:pt idx="13">
                  <c:v>763.61500000000001</c:v>
                </c:pt>
                <c:pt idx="14">
                  <c:v>763.61500000000001</c:v>
                </c:pt>
                <c:pt idx="15">
                  <c:v>763.61500000000001</c:v>
                </c:pt>
                <c:pt idx="16">
                  <c:v>763.61500000000001</c:v>
                </c:pt>
                <c:pt idx="17">
                  <c:v>763.61500000000001</c:v>
                </c:pt>
                <c:pt idx="18">
                  <c:v>763.61500000000001</c:v>
                </c:pt>
                <c:pt idx="19">
                  <c:v>832.34</c:v>
                </c:pt>
                <c:pt idx="20">
                  <c:v>907.25099999999998</c:v>
                </c:pt>
                <c:pt idx="21">
                  <c:v>988.904</c:v>
                </c:pt>
                <c:pt idx="22">
                  <c:v>988.904</c:v>
                </c:pt>
                <c:pt idx="23">
                  <c:v>988.904</c:v>
                </c:pt>
                <c:pt idx="24">
                  <c:v>890.01400000000001</c:v>
                </c:pt>
                <c:pt idx="25">
                  <c:v>890.01400000000001</c:v>
                </c:pt>
                <c:pt idx="26">
                  <c:v>890.01400000000001</c:v>
                </c:pt>
                <c:pt idx="27">
                  <c:v>890.01400000000001</c:v>
                </c:pt>
                <c:pt idx="28">
                  <c:v>890.01400000000001</c:v>
                </c:pt>
                <c:pt idx="29">
                  <c:v>890.01400000000001</c:v>
                </c:pt>
                <c:pt idx="30">
                  <c:v>890.01400000000001</c:v>
                </c:pt>
                <c:pt idx="31">
                  <c:v>1060.3630000000001</c:v>
                </c:pt>
                <c:pt idx="32">
                  <c:v>1251.652</c:v>
                </c:pt>
                <c:pt idx="33">
                  <c:v>1251.652</c:v>
                </c:pt>
                <c:pt idx="34">
                  <c:v>1251.652</c:v>
                </c:pt>
                <c:pt idx="35">
                  <c:v>1251.652</c:v>
                </c:pt>
                <c:pt idx="36">
                  <c:v>1251.652</c:v>
                </c:pt>
                <c:pt idx="37">
                  <c:v>1251.652</c:v>
                </c:pt>
                <c:pt idx="38">
                  <c:v>1251.652</c:v>
                </c:pt>
                <c:pt idx="39">
                  <c:v>1251.652</c:v>
                </c:pt>
                <c:pt idx="40">
                  <c:v>1251.652</c:v>
                </c:pt>
                <c:pt idx="41">
                  <c:v>1251.652</c:v>
                </c:pt>
                <c:pt idx="42">
                  <c:v>1251.652</c:v>
                </c:pt>
                <c:pt idx="43">
                  <c:v>1251.652</c:v>
                </c:pt>
                <c:pt idx="44">
                  <c:v>1251.652</c:v>
                </c:pt>
                <c:pt idx="45">
                  <c:v>1251.652</c:v>
                </c:pt>
                <c:pt idx="46">
                  <c:v>1251.652</c:v>
                </c:pt>
                <c:pt idx="47">
                  <c:v>1251.652</c:v>
                </c:pt>
                <c:pt idx="48">
                  <c:v>1264.1690000000001</c:v>
                </c:pt>
                <c:pt idx="49">
                  <c:v>1276.8109999999999</c:v>
                </c:pt>
                <c:pt idx="50">
                  <c:v>1289.579</c:v>
                </c:pt>
                <c:pt idx="51">
                  <c:v>1302.4749999999999</c:v>
                </c:pt>
                <c:pt idx="52">
                  <c:v>1315.5</c:v>
                </c:pt>
                <c:pt idx="53">
                  <c:v>1328.655</c:v>
                </c:pt>
                <c:pt idx="54">
                  <c:v>1488.0940000000001</c:v>
                </c:pt>
                <c:pt idx="55">
                  <c:v>1488.0940000000001</c:v>
                </c:pt>
                <c:pt idx="56">
                  <c:v>1488.0940000000001</c:v>
                </c:pt>
                <c:pt idx="57">
                  <c:v>1488.0940000000001</c:v>
                </c:pt>
                <c:pt idx="58">
                  <c:v>1488.0940000000001</c:v>
                </c:pt>
                <c:pt idx="59">
                  <c:v>1488.0940000000001</c:v>
                </c:pt>
                <c:pt idx="60">
                  <c:v>1860.1175000000001</c:v>
                </c:pt>
                <c:pt idx="61">
                  <c:v>1860.1175000000001</c:v>
                </c:pt>
                <c:pt idx="62">
                  <c:v>1860.1175000000001</c:v>
                </c:pt>
                <c:pt idx="63">
                  <c:v>2511.1590000000001</c:v>
                </c:pt>
                <c:pt idx="64">
                  <c:v>2511.1590000000001</c:v>
                </c:pt>
                <c:pt idx="65">
                  <c:v>3264.5070000000001</c:v>
                </c:pt>
                <c:pt idx="66">
                  <c:v>3264.5070000000001</c:v>
                </c:pt>
                <c:pt idx="67">
                  <c:v>3264.5070000000001</c:v>
                </c:pt>
                <c:pt idx="68">
                  <c:v>4080.634</c:v>
                </c:pt>
                <c:pt idx="69">
                  <c:v>4080.634</c:v>
                </c:pt>
                <c:pt idx="70">
                  <c:v>4080.634</c:v>
                </c:pt>
                <c:pt idx="71">
                  <c:v>4080.634</c:v>
                </c:pt>
                <c:pt idx="72">
                  <c:v>4080.634</c:v>
                </c:pt>
                <c:pt idx="73" formatCode="0.00">
                  <c:v>4080.63</c:v>
                </c:pt>
                <c:pt idx="74" formatCode="0.00">
                  <c:v>4080.63</c:v>
                </c:pt>
                <c:pt idx="75" formatCode="0.00">
                  <c:v>4080.63</c:v>
                </c:pt>
                <c:pt idx="76" formatCode="0.00">
                  <c:v>4080.63</c:v>
                </c:pt>
                <c:pt idx="77" formatCode="0.00">
                  <c:v>4080.63</c:v>
                </c:pt>
                <c:pt idx="78" formatCode="0.00">
                  <c:v>4080.63</c:v>
                </c:pt>
                <c:pt idx="79" formatCode="0.00">
                  <c:v>4080.63</c:v>
                </c:pt>
                <c:pt idx="80" formatCode="0.00">
                  <c:v>4080.63</c:v>
                </c:pt>
                <c:pt idx="81" formatCode="0.00">
                  <c:v>4080.63</c:v>
                </c:pt>
                <c:pt idx="82" formatCode="0.00">
                  <c:v>4080.63</c:v>
                </c:pt>
                <c:pt idx="83" formatCode="0.00">
                  <c:v>4080.63</c:v>
                </c:pt>
              </c:numCache>
            </c:numRef>
          </c:val>
          <c:smooth val="0"/>
          <c:extLst>
            <c:ext xmlns:c16="http://schemas.microsoft.com/office/drawing/2014/chart" uri="{C3380CC4-5D6E-409C-BE32-E72D297353CC}">
              <c16:uniqueId val="{00000001-6B89-4B51-9148-1E9AF150960F}"/>
            </c:ext>
          </c:extLst>
        </c:ser>
        <c:ser>
          <c:idx val="2"/>
          <c:order val="2"/>
          <c:tx>
            <c:strRef>
              <c:f>Sheet1!$D$1</c:f>
              <c:strCache>
                <c:ptCount val="1"/>
                <c:pt idx="0">
                  <c:v>Elektrik Üretimi</c:v>
                </c:pt>
              </c:strCache>
            </c:strRef>
          </c:tx>
          <c:spPr>
            <a:ln w="12700" cap="rnd">
              <a:solidFill>
                <a:schemeClr val="accent3"/>
              </a:solidFill>
              <a:round/>
            </a:ln>
            <a:effectLst/>
          </c:spPr>
          <c:marker>
            <c:symbol val="none"/>
          </c:marker>
          <c:cat>
            <c:strRef>
              <c:f>Sheet1!$A$2:$A$85</c:f>
              <c:strCache>
                <c:ptCount val="84"/>
                <c:pt idx="0">
                  <c:v>Oca-17</c:v>
                </c:pt>
                <c:pt idx="1">
                  <c:v>Şub-17</c:v>
                </c:pt>
                <c:pt idx="2">
                  <c:v>Mar-17</c:v>
                </c:pt>
                <c:pt idx="3">
                  <c:v>Nis-17</c:v>
                </c:pt>
                <c:pt idx="4">
                  <c:v>May-17</c:v>
                </c:pt>
                <c:pt idx="5">
                  <c:v>Haz-17</c:v>
                </c:pt>
                <c:pt idx="6">
                  <c:v>Tem-17</c:v>
                </c:pt>
                <c:pt idx="7">
                  <c:v>Ağu-17</c:v>
                </c:pt>
                <c:pt idx="8">
                  <c:v>Eyl-17</c:v>
                </c:pt>
                <c:pt idx="9">
                  <c:v>Eki-17</c:v>
                </c:pt>
                <c:pt idx="10">
                  <c:v>Kas-17</c:v>
                </c:pt>
                <c:pt idx="11">
                  <c:v>Ara-17</c:v>
                </c:pt>
                <c:pt idx="12">
                  <c:v>Oca-18</c:v>
                </c:pt>
                <c:pt idx="13">
                  <c:v>Şub-18</c:v>
                </c:pt>
                <c:pt idx="14">
                  <c:v>Mar-18</c:v>
                </c:pt>
                <c:pt idx="15">
                  <c:v>Nis-18</c:v>
                </c:pt>
                <c:pt idx="16">
                  <c:v>May-18</c:v>
                </c:pt>
                <c:pt idx="17">
                  <c:v>Haz-18</c:v>
                </c:pt>
                <c:pt idx="18">
                  <c:v>Tem-18</c:v>
                </c:pt>
                <c:pt idx="19">
                  <c:v>Ağu-18</c:v>
                </c:pt>
                <c:pt idx="20">
                  <c:v>Eyl-18</c:v>
                </c:pt>
                <c:pt idx="21">
                  <c:v>Eki-18</c:v>
                </c:pt>
                <c:pt idx="22">
                  <c:v>Kas-18</c:v>
                </c:pt>
                <c:pt idx="23">
                  <c:v>Ara-18</c:v>
                </c:pt>
                <c:pt idx="24">
                  <c:v>Oca-19</c:v>
                </c:pt>
                <c:pt idx="25">
                  <c:v>Şub-19</c:v>
                </c:pt>
                <c:pt idx="26">
                  <c:v>Mar-19</c:v>
                </c:pt>
                <c:pt idx="27">
                  <c:v>Nis-19</c:v>
                </c:pt>
                <c:pt idx="28">
                  <c:v>May-19</c:v>
                </c:pt>
                <c:pt idx="29">
                  <c:v>Haz-19</c:v>
                </c:pt>
                <c:pt idx="30">
                  <c:v>Tem-19</c:v>
                </c:pt>
                <c:pt idx="31">
                  <c:v>Ağu-19</c:v>
                </c:pt>
                <c:pt idx="32">
                  <c:v>Eyl-19</c:v>
                </c:pt>
                <c:pt idx="33">
                  <c:v>Eki-19</c:v>
                </c:pt>
                <c:pt idx="34">
                  <c:v>Kas-19</c:v>
                </c:pt>
                <c:pt idx="35">
                  <c:v>Ara-19</c:v>
                </c:pt>
                <c:pt idx="36">
                  <c:v>Oca-20</c:v>
                </c:pt>
                <c:pt idx="37">
                  <c:v>Şub-20</c:v>
                </c:pt>
                <c:pt idx="38">
                  <c:v>Mar-20</c:v>
                </c:pt>
                <c:pt idx="39">
                  <c:v>Nis-20</c:v>
                </c:pt>
                <c:pt idx="40">
                  <c:v>May-20</c:v>
                </c:pt>
                <c:pt idx="41">
                  <c:v>Haz-20</c:v>
                </c:pt>
                <c:pt idx="42">
                  <c:v>Tem-20</c:v>
                </c:pt>
                <c:pt idx="43">
                  <c:v>Ağu-20</c:v>
                </c:pt>
                <c:pt idx="44">
                  <c:v>Eyl-20</c:v>
                </c:pt>
                <c:pt idx="45">
                  <c:v>Eki-20</c:v>
                </c:pt>
                <c:pt idx="46">
                  <c:v>Kas-20</c:v>
                </c:pt>
                <c:pt idx="47">
                  <c:v>Ara-20</c:v>
                </c:pt>
                <c:pt idx="48">
                  <c:v>Oca-21</c:v>
                </c:pt>
                <c:pt idx="49">
                  <c:v>Şub-21</c:v>
                </c:pt>
                <c:pt idx="50">
                  <c:v>Mar-21</c:v>
                </c:pt>
                <c:pt idx="51">
                  <c:v>Nis-21</c:v>
                </c:pt>
                <c:pt idx="52">
                  <c:v>May-21</c:v>
                </c:pt>
                <c:pt idx="53">
                  <c:v>Haz-21</c:v>
                </c:pt>
                <c:pt idx="54">
                  <c:v>Tem-21</c:v>
                </c:pt>
                <c:pt idx="55">
                  <c:v>Ağu-21</c:v>
                </c:pt>
                <c:pt idx="56">
                  <c:v>Eyl-21</c:v>
                </c:pt>
                <c:pt idx="57">
                  <c:v>Eki-21</c:v>
                </c:pt>
                <c:pt idx="58">
                  <c:v>Kas-21</c:v>
                </c:pt>
                <c:pt idx="59">
                  <c:v>Ara-21</c:v>
                </c:pt>
                <c:pt idx="60">
                  <c:v>Oca-22</c:v>
                </c:pt>
                <c:pt idx="61">
                  <c:v>Şub-22</c:v>
                </c:pt>
                <c:pt idx="62">
                  <c:v>Mar-22</c:v>
                </c:pt>
                <c:pt idx="63">
                  <c:v>Nis-22</c:v>
                </c:pt>
                <c:pt idx="64">
                  <c:v>May-22</c:v>
                </c:pt>
                <c:pt idx="65">
                  <c:v>Haz-22</c:v>
                </c:pt>
                <c:pt idx="66">
                  <c:v>Tem-22</c:v>
                </c:pt>
                <c:pt idx="67">
                  <c:v>Ağu-22</c:v>
                </c:pt>
                <c:pt idx="68">
                  <c:v>Eyl-22</c:v>
                </c:pt>
                <c:pt idx="69">
                  <c:v>Eki-22</c:v>
                </c:pt>
                <c:pt idx="70">
                  <c:v>Kas-22</c:v>
                </c:pt>
                <c:pt idx="71">
                  <c:v>Ara-22</c:v>
                </c:pt>
                <c:pt idx="72">
                  <c:v>Oca-23</c:v>
                </c:pt>
                <c:pt idx="73">
                  <c:v>Şub-23</c:v>
                </c:pt>
                <c:pt idx="74">
                  <c:v>Mar-23</c:v>
                </c:pt>
                <c:pt idx="75">
                  <c:v>Nis-23</c:v>
                </c:pt>
                <c:pt idx="76">
                  <c:v>May-23</c:v>
                </c:pt>
                <c:pt idx="77">
                  <c:v>Jun-23</c:v>
                </c:pt>
                <c:pt idx="78">
                  <c:v>Jul-23</c:v>
                </c:pt>
                <c:pt idx="79">
                  <c:v>Aug-23</c:v>
                </c:pt>
                <c:pt idx="80">
                  <c:v>Sep-23</c:v>
                </c:pt>
                <c:pt idx="81">
                  <c:v>Oct-23</c:v>
                </c:pt>
                <c:pt idx="82">
                  <c:v>Nov-23</c:v>
                </c:pt>
                <c:pt idx="83">
                  <c:v>Dec-23</c:v>
                </c:pt>
              </c:strCache>
            </c:strRef>
          </c:cat>
          <c:val>
            <c:numRef>
              <c:f>Sheet1!$D$2:$D$85</c:f>
              <c:numCache>
                <c:formatCode>General</c:formatCode>
                <c:ptCount val="84"/>
                <c:pt idx="0">
                  <c:v>704.14499999988004</c:v>
                </c:pt>
                <c:pt idx="1">
                  <c:v>704.14499999988004</c:v>
                </c:pt>
                <c:pt idx="2">
                  <c:v>704.14499999988004</c:v>
                </c:pt>
                <c:pt idx="3">
                  <c:v>704.14499999988004</c:v>
                </c:pt>
                <c:pt idx="4">
                  <c:v>704.14499999988004</c:v>
                </c:pt>
                <c:pt idx="5">
                  <c:v>704.14499999988004</c:v>
                </c:pt>
                <c:pt idx="6">
                  <c:v>704.14499999988004</c:v>
                </c:pt>
                <c:pt idx="7">
                  <c:v>704.14499999988004</c:v>
                </c:pt>
                <c:pt idx="8">
                  <c:v>704.14499999988004</c:v>
                </c:pt>
                <c:pt idx="9">
                  <c:v>704.14499999988004</c:v>
                </c:pt>
                <c:pt idx="10">
                  <c:v>704.14499999988004</c:v>
                </c:pt>
                <c:pt idx="11">
                  <c:v>763.36149999999998</c:v>
                </c:pt>
                <c:pt idx="12">
                  <c:v>800</c:v>
                </c:pt>
                <c:pt idx="13">
                  <c:v>800</c:v>
                </c:pt>
                <c:pt idx="14">
                  <c:v>800</c:v>
                </c:pt>
                <c:pt idx="15">
                  <c:v>877.6</c:v>
                </c:pt>
                <c:pt idx="16">
                  <c:v>877.6</c:v>
                </c:pt>
                <c:pt idx="17">
                  <c:v>877.6</c:v>
                </c:pt>
                <c:pt idx="18">
                  <c:v>877.6</c:v>
                </c:pt>
                <c:pt idx="19">
                  <c:v>1755</c:v>
                </c:pt>
                <c:pt idx="20">
                  <c:v>1700</c:v>
                </c:pt>
                <c:pt idx="21">
                  <c:v>1700</c:v>
                </c:pt>
                <c:pt idx="22">
                  <c:v>1550</c:v>
                </c:pt>
                <c:pt idx="23">
                  <c:v>1550</c:v>
                </c:pt>
                <c:pt idx="24">
                  <c:v>1550</c:v>
                </c:pt>
                <c:pt idx="25">
                  <c:v>1550</c:v>
                </c:pt>
                <c:pt idx="26">
                  <c:v>1550</c:v>
                </c:pt>
                <c:pt idx="27">
                  <c:v>1550</c:v>
                </c:pt>
                <c:pt idx="28">
                  <c:v>1550</c:v>
                </c:pt>
                <c:pt idx="29">
                  <c:v>1550</c:v>
                </c:pt>
                <c:pt idx="30">
                  <c:v>1650</c:v>
                </c:pt>
                <c:pt idx="31">
                  <c:v>1650</c:v>
                </c:pt>
                <c:pt idx="32">
                  <c:v>1600</c:v>
                </c:pt>
                <c:pt idx="33">
                  <c:v>1600</c:v>
                </c:pt>
                <c:pt idx="34">
                  <c:v>1600</c:v>
                </c:pt>
                <c:pt idx="35">
                  <c:v>1600</c:v>
                </c:pt>
                <c:pt idx="36">
                  <c:v>1600</c:v>
                </c:pt>
                <c:pt idx="37">
                  <c:v>1600</c:v>
                </c:pt>
                <c:pt idx="38">
                  <c:v>1600</c:v>
                </c:pt>
                <c:pt idx="39">
                  <c:v>1600</c:v>
                </c:pt>
                <c:pt idx="40">
                  <c:v>1600</c:v>
                </c:pt>
                <c:pt idx="41">
                  <c:v>1600</c:v>
                </c:pt>
                <c:pt idx="42">
                  <c:v>1400</c:v>
                </c:pt>
                <c:pt idx="43">
                  <c:v>1400</c:v>
                </c:pt>
                <c:pt idx="44">
                  <c:v>1400</c:v>
                </c:pt>
                <c:pt idx="45">
                  <c:v>1400</c:v>
                </c:pt>
                <c:pt idx="46">
                  <c:v>1400</c:v>
                </c:pt>
                <c:pt idx="47">
                  <c:v>1400</c:v>
                </c:pt>
                <c:pt idx="48" formatCode="0">
                  <c:v>1414</c:v>
                </c:pt>
                <c:pt idx="49" formatCode="0">
                  <c:v>1428.14</c:v>
                </c:pt>
                <c:pt idx="50" formatCode="0">
                  <c:v>1442.421</c:v>
                </c:pt>
                <c:pt idx="51" formatCode="0">
                  <c:v>1456.845</c:v>
                </c:pt>
                <c:pt idx="52" formatCode="0">
                  <c:v>1631.6669999999999</c:v>
                </c:pt>
                <c:pt idx="53" formatCode="0">
                  <c:v>1713.25</c:v>
                </c:pt>
                <c:pt idx="54" formatCode="0">
                  <c:v>2060</c:v>
                </c:pt>
                <c:pt idx="55" formatCode="0">
                  <c:v>2060</c:v>
                </c:pt>
                <c:pt idx="56" formatCode="0">
                  <c:v>2369</c:v>
                </c:pt>
                <c:pt idx="57" formatCode="0">
                  <c:v>2724.35</c:v>
                </c:pt>
                <c:pt idx="58" formatCode="0">
                  <c:v>4000</c:v>
                </c:pt>
                <c:pt idx="59" formatCode="0">
                  <c:v>4800</c:v>
                </c:pt>
                <c:pt idx="60" formatCode="0">
                  <c:v>5520</c:v>
                </c:pt>
                <c:pt idx="61" formatCode="0">
                  <c:v>6300</c:v>
                </c:pt>
                <c:pt idx="62" formatCode="0">
                  <c:v>7450</c:v>
                </c:pt>
                <c:pt idx="63" formatCode="0">
                  <c:v>10750</c:v>
                </c:pt>
                <c:pt idx="64" formatCode="0">
                  <c:v>10750</c:v>
                </c:pt>
                <c:pt idx="65">
                  <c:v>12500</c:v>
                </c:pt>
                <c:pt idx="66">
                  <c:v>12500</c:v>
                </c:pt>
                <c:pt idx="67">
                  <c:v>13750</c:v>
                </c:pt>
                <c:pt idx="68">
                  <c:v>20625</c:v>
                </c:pt>
                <c:pt idx="69">
                  <c:v>20625</c:v>
                </c:pt>
                <c:pt idx="70">
                  <c:v>20625</c:v>
                </c:pt>
                <c:pt idx="71">
                  <c:v>20625</c:v>
                </c:pt>
                <c:pt idx="72">
                  <c:v>18000</c:v>
                </c:pt>
                <c:pt idx="73">
                  <c:v>15000</c:v>
                </c:pt>
                <c:pt idx="74">
                  <c:v>12000</c:v>
                </c:pt>
                <c:pt idx="75">
                  <c:v>10000</c:v>
                </c:pt>
                <c:pt idx="76">
                  <c:v>10000</c:v>
                </c:pt>
                <c:pt idx="77">
                  <c:v>10000</c:v>
                </c:pt>
                <c:pt idx="78">
                  <c:v>10000</c:v>
                </c:pt>
                <c:pt idx="79">
                  <c:v>10000</c:v>
                </c:pt>
                <c:pt idx="80">
                  <c:v>10000</c:v>
                </c:pt>
                <c:pt idx="81">
                  <c:v>12000</c:v>
                </c:pt>
                <c:pt idx="82">
                  <c:v>12000</c:v>
                </c:pt>
                <c:pt idx="83">
                  <c:v>12000</c:v>
                </c:pt>
              </c:numCache>
            </c:numRef>
          </c:val>
          <c:smooth val="0"/>
          <c:extLst>
            <c:ext xmlns:c16="http://schemas.microsoft.com/office/drawing/2014/chart" uri="{C3380CC4-5D6E-409C-BE32-E72D297353CC}">
              <c16:uniqueId val="{00000002-6B89-4B51-9148-1E9AF150960F}"/>
            </c:ext>
          </c:extLst>
        </c:ser>
        <c:ser>
          <c:idx val="3"/>
          <c:order val="3"/>
          <c:tx>
            <c:strRef>
              <c:f>Sheet1!$E$1</c:f>
              <c:strCache>
                <c:ptCount val="1"/>
                <c:pt idx="0">
                  <c:v>Brent Oil Endeksli Kontratlar</c:v>
                </c:pt>
              </c:strCache>
            </c:strRef>
          </c:tx>
          <c:spPr>
            <a:ln w="12700" cap="rnd">
              <a:solidFill>
                <a:srgbClr val="CC6600"/>
              </a:solidFill>
              <a:round/>
            </a:ln>
            <a:effectLst/>
          </c:spPr>
          <c:marker>
            <c:symbol val="none"/>
          </c:marker>
          <c:cat>
            <c:strRef>
              <c:f>Sheet1!$A$2:$A$85</c:f>
              <c:strCache>
                <c:ptCount val="84"/>
                <c:pt idx="0">
                  <c:v>Oca-17</c:v>
                </c:pt>
                <c:pt idx="1">
                  <c:v>Şub-17</c:v>
                </c:pt>
                <c:pt idx="2">
                  <c:v>Mar-17</c:v>
                </c:pt>
                <c:pt idx="3">
                  <c:v>Nis-17</c:v>
                </c:pt>
                <c:pt idx="4">
                  <c:v>May-17</c:v>
                </c:pt>
                <c:pt idx="5">
                  <c:v>Haz-17</c:v>
                </c:pt>
                <c:pt idx="6">
                  <c:v>Tem-17</c:v>
                </c:pt>
                <c:pt idx="7">
                  <c:v>Ağu-17</c:v>
                </c:pt>
                <c:pt idx="8">
                  <c:v>Eyl-17</c:v>
                </c:pt>
                <c:pt idx="9">
                  <c:v>Eki-17</c:v>
                </c:pt>
                <c:pt idx="10">
                  <c:v>Kas-17</c:v>
                </c:pt>
                <c:pt idx="11">
                  <c:v>Ara-17</c:v>
                </c:pt>
                <c:pt idx="12">
                  <c:v>Oca-18</c:v>
                </c:pt>
                <c:pt idx="13">
                  <c:v>Şub-18</c:v>
                </c:pt>
                <c:pt idx="14">
                  <c:v>Mar-18</c:v>
                </c:pt>
                <c:pt idx="15">
                  <c:v>Nis-18</c:v>
                </c:pt>
                <c:pt idx="16">
                  <c:v>May-18</c:v>
                </c:pt>
                <c:pt idx="17">
                  <c:v>Haz-18</c:v>
                </c:pt>
                <c:pt idx="18">
                  <c:v>Tem-18</c:v>
                </c:pt>
                <c:pt idx="19">
                  <c:v>Ağu-18</c:v>
                </c:pt>
                <c:pt idx="20">
                  <c:v>Eyl-18</c:v>
                </c:pt>
                <c:pt idx="21">
                  <c:v>Eki-18</c:v>
                </c:pt>
                <c:pt idx="22">
                  <c:v>Kas-18</c:v>
                </c:pt>
                <c:pt idx="23">
                  <c:v>Ara-18</c:v>
                </c:pt>
                <c:pt idx="24">
                  <c:v>Oca-19</c:v>
                </c:pt>
                <c:pt idx="25">
                  <c:v>Şub-19</c:v>
                </c:pt>
                <c:pt idx="26">
                  <c:v>Mar-19</c:v>
                </c:pt>
                <c:pt idx="27">
                  <c:v>Nis-19</c:v>
                </c:pt>
                <c:pt idx="28">
                  <c:v>May-19</c:v>
                </c:pt>
                <c:pt idx="29">
                  <c:v>Haz-19</c:v>
                </c:pt>
                <c:pt idx="30">
                  <c:v>Tem-19</c:v>
                </c:pt>
                <c:pt idx="31">
                  <c:v>Ağu-19</c:v>
                </c:pt>
                <c:pt idx="32">
                  <c:v>Eyl-19</c:v>
                </c:pt>
                <c:pt idx="33">
                  <c:v>Eki-19</c:v>
                </c:pt>
                <c:pt idx="34">
                  <c:v>Kas-19</c:v>
                </c:pt>
                <c:pt idx="35">
                  <c:v>Ara-19</c:v>
                </c:pt>
                <c:pt idx="36">
                  <c:v>Oca-20</c:v>
                </c:pt>
                <c:pt idx="37">
                  <c:v>Şub-20</c:v>
                </c:pt>
                <c:pt idx="38">
                  <c:v>Mar-20</c:v>
                </c:pt>
                <c:pt idx="39">
                  <c:v>Nis-20</c:v>
                </c:pt>
                <c:pt idx="40">
                  <c:v>May-20</c:v>
                </c:pt>
                <c:pt idx="41">
                  <c:v>Haz-20</c:v>
                </c:pt>
                <c:pt idx="42">
                  <c:v>Tem-20</c:v>
                </c:pt>
                <c:pt idx="43">
                  <c:v>Ağu-20</c:v>
                </c:pt>
                <c:pt idx="44">
                  <c:v>Eyl-20</c:v>
                </c:pt>
                <c:pt idx="45">
                  <c:v>Eki-20</c:v>
                </c:pt>
                <c:pt idx="46">
                  <c:v>Kas-20</c:v>
                </c:pt>
                <c:pt idx="47">
                  <c:v>Ara-20</c:v>
                </c:pt>
                <c:pt idx="48">
                  <c:v>Oca-21</c:v>
                </c:pt>
                <c:pt idx="49">
                  <c:v>Şub-21</c:v>
                </c:pt>
                <c:pt idx="50">
                  <c:v>Mar-21</c:v>
                </c:pt>
                <c:pt idx="51">
                  <c:v>Nis-21</c:v>
                </c:pt>
                <c:pt idx="52">
                  <c:v>May-21</c:v>
                </c:pt>
                <c:pt idx="53">
                  <c:v>Haz-21</c:v>
                </c:pt>
                <c:pt idx="54">
                  <c:v>Tem-21</c:v>
                </c:pt>
                <c:pt idx="55">
                  <c:v>Ağu-21</c:v>
                </c:pt>
                <c:pt idx="56">
                  <c:v>Eyl-21</c:v>
                </c:pt>
                <c:pt idx="57">
                  <c:v>Eki-21</c:v>
                </c:pt>
                <c:pt idx="58">
                  <c:v>Kas-21</c:v>
                </c:pt>
                <c:pt idx="59">
                  <c:v>Ara-21</c:v>
                </c:pt>
                <c:pt idx="60">
                  <c:v>Oca-22</c:v>
                </c:pt>
                <c:pt idx="61">
                  <c:v>Şub-22</c:v>
                </c:pt>
                <c:pt idx="62">
                  <c:v>Mar-22</c:v>
                </c:pt>
                <c:pt idx="63">
                  <c:v>Nis-22</c:v>
                </c:pt>
                <c:pt idx="64">
                  <c:v>May-22</c:v>
                </c:pt>
                <c:pt idx="65">
                  <c:v>Haz-22</c:v>
                </c:pt>
                <c:pt idx="66">
                  <c:v>Tem-22</c:v>
                </c:pt>
                <c:pt idx="67">
                  <c:v>Ağu-22</c:v>
                </c:pt>
                <c:pt idx="68">
                  <c:v>Eyl-22</c:v>
                </c:pt>
                <c:pt idx="69">
                  <c:v>Eki-22</c:v>
                </c:pt>
                <c:pt idx="70">
                  <c:v>Kas-22</c:v>
                </c:pt>
                <c:pt idx="71">
                  <c:v>Ara-22</c:v>
                </c:pt>
                <c:pt idx="72">
                  <c:v>Oca-23</c:v>
                </c:pt>
                <c:pt idx="73">
                  <c:v>Şub-23</c:v>
                </c:pt>
                <c:pt idx="74">
                  <c:v>Mar-23</c:v>
                </c:pt>
                <c:pt idx="75">
                  <c:v>Nis-23</c:v>
                </c:pt>
                <c:pt idx="76">
                  <c:v>May-23</c:v>
                </c:pt>
                <c:pt idx="77">
                  <c:v>Jun-23</c:v>
                </c:pt>
                <c:pt idx="78">
                  <c:v>Jul-23</c:v>
                </c:pt>
                <c:pt idx="79">
                  <c:v>Aug-23</c:v>
                </c:pt>
                <c:pt idx="80">
                  <c:v>Sep-23</c:v>
                </c:pt>
                <c:pt idx="81">
                  <c:v>Oct-23</c:v>
                </c:pt>
                <c:pt idx="82">
                  <c:v>Nov-23</c:v>
                </c:pt>
                <c:pt idx="83">
                  <c:v>Dec-23</c:v>
                </c:pt>
              </c:strCache>
            </c:strRef>
          </c:cat>
          <c:val>
            <c:numRef>
              <c:f>Sheet1!$E$2:$E$85</c:f>
              <c:numCache>
                <c:formatCode>General</c:formatCode>
                <c:ptCount val="84"/>
                <c:pt idx="0">
                  <c:v>705.70117139677427</c:v>
                </c:pt>
                <c:pt idx="1">
                  <c:v>693.52074540357137</c:v>
                </c:pt>
                <c:pt idx="2">
                  <c:v>693.05994741935478</c:v>
                </c:pt>
                <c:pt idx="3">
                  <c:v>754.67698203000009</c:v>
                </c:pt>
                <c:pt idx="4">
                  <c:v>736.59283972258072</c:v>
                </c:pt>
                <c:pt idx="5">
                  <c:v>727.98147426000003</c:v>
                </c:pt>
                <c:pt idx="6">
                  <c:v>772.34092741935467</c:v>
                </c:pt>
                <c:pt idx="7">
                  <c:v>762.49056977419332</c:v>
                </c:pt>
                <c:pt idx="8">
                  <c:v>752.74426143333324</c:v>
                </c:pt>
                <c:pt idx="9">
                  <c:v>812.20864423032242</c:v>
                </c:pt>
                <c:pt idx="10">
                  <c:v>862.3743527766668</c:v>
                </c:pt>
                <c:pt idx="11">
                  <c:v>855.56573843548358</c:v>
                </c:pt>
                <c:pt idx="12">
                  <c:v>880.39921157419337</c:v>
                </c:pt>
                <c:pt idx="13">
                  <c:v>882.92457874285719</c:v>
                </c:pt>
                <c:pt idx="14">
                  <c:v>907.98344405806461</c:v>
                </c:pt>
                <c:pt idx="15">
                  <c:v>1024.2878831266667</c:v>
                </c:pt>
                <c:pt idx="16">
                  <c:v>1116.7749995322577</c:v>
                </c:pt>
                <c:pt idx="17">
                  <c:v>1168.8859116766664</c:v>
                </c:pt>
                <c:pt idx="18">
                  <c:v>1332.2663625354839</c:v>
                </c:pt>
                <c:pt idx="19">
                  <c:v>1635.9481257741934</c:v>
                </c:pt>
                <c:pt idx="20">
                  <c:v>1767.6689461733329</c:v>
                </c:pt>
                <c:pt idx="21">
                  <c:v>1750.4797574612903</c:v>
                </c:pt>
                <c:pt idx="22">
                  <c:v>1612.3862889</c:v>
                </c:pt>
                <c:pt idx="23">
                  <c:v>1592.6688164322579</c:v>
                </c:pt>
                <c:pt idx="24">
                  <c:v>1664.4926640258066</c:v>
                </c:pt>
                <c:pt idx="25">
                  <c:v>1633.9546730035713</c:v>
                </c:pt>
                <c:pt idx="26">
                  <c:v>1696.4835584387092</c:v>
                </c:pt>
                <c:pt idx="27">
                  <c:v>1747.6684242766669</c:v>
                </c:pt>
                <c:pt idx="28">
                  <c:v>1834.1661275096774</c:v>
                </c:pt>
                <c:pt idx="29">
                  <c:v>1769.1175399966669</c:v>
                </c:pt>
                <c:pt idx="30">
                  <c:v>1666.5060579999999</c:v>
                </c:pt>
                <c:pt idx="31">
                  <c:v>1656.1596999225803</c:v>
                </c:pt>
                <c:pt idx="32">
                  <c:v>1679.0603840666654</c:v>
                </c:pt>
                <c:pt idx="33">
                  <c:v>1623.6810622935488</c:v>
                </c:pt>
                <c:pt idx="34">
                  <c:v>1609.7294202500002</c:v>
                </c:pt>
                <c:pt idx="35">
                  <c:v>1640.9507968451619</c:v>
                </c:pt>
                <c:pt idx="36">
                  <c:v>1576.822088893548</c:v>
                </c:pt>
                <c:pt idx="37">
                  <c:v>1613.4992897724137</c:v>
                </c:pt>
                <c:pt idx="38">
                  <c:v>1685.102585241935</c:v>
                </c:pt>
                <c:pt idx="39">
                  <c:v>1630.9913124799998</c:v>
                </c:pt>
                <c:pt idx="40">
                  <c:v>1651.6849303161289</c:v>
                </c:pt>
                <c:pt idx="41">
                  <c:v>1625.1601377200002</c:v>
                </c:pt>
                <c:pt idx="42">
                  <c:v>1341.4814992064514</c:v>
                </c:pt>
                <c:pt idx="43">
                  <c:v>1417.3156830096775</c:v>
                </c:pt>
                <c:pt idx="44">
                  <c:v>1470.9158617233336</c:v>
                </c:pt>
                <c:pt idx="45">
                  <c:v>1452.9096096774192</c:v>
                </c:pt>
                <c:pt idx="46">
                  <c:v>1461.4508099999998</c:v>
                </c:pt>
                <c:pt idx="47">
                  <c:v>1416.2836354838712</c:v>
                </c:pt>
                <c:pt idx="48">
                  <c:v>1333.7994193548386</c:v>
                </c:pt>
                <c:pt idx="49">
                  <c:v>1279.695857142857</c:v>
                </c:pt>
                <c:pt idx="50">
                  <c:v>1381.1336129032259</c:v>
                </c:pt>
                <c:pt idx="51">
                  <c:v>1782.0795133333324</c:v>
                </c:pt>
                <c:pt idx="52">
                  <c:v>1825.4089354838716</c:v>
                </c:pt>
                <c:pt idx="53">
                  <c:v>1881.0798533333332</c:v>
                </c:pt>
                <c:pt idx="54">
                  <c:v>2152.1395161290338</c:v>
                </c:pt>
                <c:pt idx="55">
                  <c:v>2125.2435483870959</c:v>
                </c:pt>
                <c:pt idx="56">
                  <c:v>2140.5291666666676</c:v>
                </c:pt>
                <c:pt idx="57">
                  <c:v>2627.9537419354847</c:v>
                </c:pt>
                <c:pt idx="58">
                  <c:v>3053.8614499999994</c:v>
                </c:pt>
                <c:pt idx="59">
                  <c:v>3898.9737580645174</c:v>
                </c:pt>
                <c:pt idx="60">
                  <c:v>4300.499716129033</c:v>
                </c:pt>
                <c:pt idx="61">
                  <c:v>4341.4157607142861</c:v>
                </c:pt>
                <c:pt idx="62">
                  <c:v>4648.8336322580644</c:v>
                </c:pt>
                <c:pt idx="63">
                  <c:v>5158.5135000000028</c:v>
                </c:pt>
                <c:pt idx="64">
                  <c:v>5472.501774193549</c:v>
                </c:pt>
                <c:pt idx="65" formatCode="_(* #,##0.00_);_(* \(#,##0.00\);_(* &quot;-&quot;??_);_(@_)">
                  <c:v>5967.8418333333348</c:v>
                </c:pt>
                <c:pt idx="66" formatCode="_(* #,##0.00_);_(* \(#,##0.00\);_(* &quot;-&quot;??_);_(@_)">
                  <c:v>7081.5713225806448</c:v>
                </c:pt>
                <c:pt idx="67" formatCode="_(* #,##0.00_);_(* \(#,##0.00\);_(* &quot;-&quot;??_);_(@_)">
                  <c:v>7321.1941451612902</c:v>
                </c:pt>
                <c:pt idx="68" formatCode="_(* #,##0.00_);_(* \(#,##0.00\);_(* &quot;-&quot;??_);_(@_)">
                  <c:v>7430.7820499999998</c:v>
                </c:pt>
                <c:pt idx="69" formatCode="_(* #,##0.00_);_(* \(#,##0.00\);_(* &quot;-&quot;??_);_(@_)">
                  <c:v>7749.2345806451603</c:v>
                </c:pt>
                <c:pt idx="70" formatCode="_(* #,##0.00_);_(* \(#,##0.00\);_(* &quot;-&quot;??_);_(@_)">
                  <c:v>7758.4110933333386</c:v>
                </c:pt>
                <c:pt idx="71" formatCode="_(* #,##0.00_);_(* \(#,##0.00\);_(* &quot;-&quot;??_);_(@_)">
                  <c:v>7780.8183741935482</c:v>
                </c:pt>
                <c:pt idx="72" formatCode="_(* #,##0.00_);_(* \(#,##0.00\);_(* &quot;-&quot;??_);_(@_)">
                  <c:v>7651.9715672234415</c:v>
                </c:pt>
                <c:pt idx="73" formatCode="_(* #,##0.00_);_(* \(#,##0.00\);_(* &quot;-&quot;??_);_(@_)">
                  <c:v>7675.0017480422202</c:v>
                </c:pt>
                <c:pt idx="74" formatCode="_(* #,##0.00_);_(* \(#,##0.00\);_(* &quot;-&quot;??_);_(@_)">
                  <c:v>7737.7284589236551</c:v>
                </c:pt>
                <c:pt idx="75" formatCode="_(* #,##0.00_);_(* \(#,##0.00\);_(* &quot;-&quot;??_);_(@_)">
                  <c:v>6968.6909918567399</c:v>
                </c:pt>
                <c:pt idx="76" formatCode="_(* #,##0.00_);_(* \(#,##0.00\);_(* &quot;-&quot;??_);_(@_)">
                  <c:v>7114.3890603062364</c:v>
                </c:pt>
                <c:pt idx="77" formatCode="_(* #,##0.00_);_(* \(#,##0.00\);_(* &quot;-&quot;??_);_(@_)">
                  <c:v>8504.7780181487415</c:v>
                </c:pt>
                <c:pt idx="78" formatCode="_(* #,##0.00_);_(* \(#,##0.00\);_(* &quot;-&quot;??_);_(@_)">
                  <c:v>8836.9131507232269</c:v>
                </c:pt>
              </c:numCache>
            </c:numRef>
          </c:val>
          <c:smooth val="0"/>
          <c:extLst>
            <c:ext xmlns:c16="http://schemas.microsoft.com/office/drawing/2014/chart" uri="{C3380CC4-5D6E-409C-BE32-E72D297353CC}">
              <c16:uniqueId val="{00000003-6B89-4B51-9148-1E9AF150960F}"/>
            </c:ext>
          </c:extLst>
        </c:ser>
        <c:ser>
          <c:idx val="4"/>
          <c:order val="4"/>
          <c:tx>
            <c:strRef>
              <c:f>Sheet1!$F$1</c:f>
              <c:strCache>
                <c:ptCount val="1"/>
                <c:pt idx="0">
                  <c:v>Ağırlıklı Ortalama Doğal Gaz Maliyeti (TL/1.000 sm3)</c:v>
                </c:pt>
              </c:strCache>
            </c:strRef>
          </c:tx>
          <c:spPr>
            <a:ln w="12700" cap="rnd">
              <a:solidFill>
                <a:srgbClr val="C00000"/>
              </a:solidFill>
              <a:prstDash val="sysDash"/>
              <a:round/>
            </a:ln>
            <a:effectLst/>
          </c:spPr>
          <c:marker>
            <c:symbol val="none"/>
          </c:marker>
          <c:cat>
            <c:strRef>
              <c:f>Sheet1!$A$2:$A$85</c:f>
              <c:strCache>
                <c:ptCount val="84"/>
                <c:pt idx="0">
                  <c:v>Oca-17</c:v>
                </c:pt>
                <c:pt idx="1">
                  <c:v>Şub-17</c:v>
                </c:pt>
                <c:pt idx="2">
                  <c:v>Mar-17</c:v>
                </c:pt>
                <c:pt idx="3">
                  <c:v>Nis-17</c:v>
                </c:pt>
                <c:pt idx="4">
                  <c:v>May-17</c:v>
                </c:pt>
                <c:pt idx="5">
                  <c:v>Haz-17</c:v>
                </c:pt>
                <c:pt idx="6">
                  <c:v>Tem-17</c:v>
                </c:pt>
                <c:pt idx="7">
                  <c:v>Ağu-17</c:v>
                </c:pt>
                <c:pt idx="8">
                  <c:v>Eyl-17</c:v>
                </c:pt>
                <c:pt idx="9">
                  <c:v>Eki-17</c:v>
                </c:pt>
                <c:pt idx="10">
                  <c:v>Kas-17</c:v>
                </c:pt>
                <c:pt idx="11">
                  <c:v>Ara-17</c:v>
                </c:pt>
                <c:pt idx="12">
                  <c:v>Oca-18</c:v>
                </c:pt>
                <c:pt idx="13">
                  <c:v>Şub-18</c:v>
                </c:pt>
                <c:pt idx="14">
                  <c:v>Mar-18</c:v>
                </c:pt>
                <c:pt idx="15">
                  <c:v>Nis-18</c:v>
                </c:pt>
                <c:pt idx="16">
                  <c:v>May-18</c:v>
                </c:pt>
                <c:pt idx="17">
                  <c:v>Haz-18</c:v>
                </c:pt>
                <c:pt idx="18">
                  <c:v>Tem-18</c:v>
                </c:pt>
                <c:pt idx="19">
                  <c:v>Ağu-18</c:v>
                </c:pt>
                <c:pt idx="20">
                  <c:v>Eyl-18</c:v>
                </c:pt>
                <c:pt idx="21">
                  <c:v>Eki-18</c:v>
                </c:pt>
                <c:pt idx="22">
                  <c:v>Kas-18</c:v>
                </c:pt>
                <c:pt idx="23">
                  <c:v>Ara-18</c:v>
                </c:pt>
                <c:pt idx="24">
                  <c:v>Oca-19</c:v>
                </c:pt>
                <c:pt idx="25">
                  <c:v>Şub-19</c:v>
                </c:pt>
                <c:pt idx="26">
                  <c:v>Mar-19</c:v>
                </c:pt>
                <c:pt idx="27">
                  <c:v>Nis-19</c:v>
                </c:pt>
                <c:pt idx="28">
                  <c:v>May-19</c:v>
                </c:pt>
                <c:pt idx="29">
                  <c:v>Haz-19</c:v>
                </c:pt>
                <c:pt idx="30">
                  <c:v>Tem-19</c:v>
                </c:pt>
                <c:pt idx="31">
                  <c:v>Ağu-19</c:v>
                </c:pt>
                <c:pt idx="32">
                  <c:v>Eyl-19</c:v>
                </c:pt>
                <c:pt idx="33">
                  <c:v>Eki-19</c:v>
                </c:pt>
                <c:pt idx="34">
                  <c:v>Kas-19</c:v>
                </c:pt>
                <c:pt idx="35">
                  <c:v>Ara-19</c:v>
                </c:pt>
                <c:pt idx="36">
                  <c:v>Oca-20</c:v>
                </c:pt>
                <c:pt idx="37">
                  <c:v>Şub-20</c:v>
                </c:pt>
                <c:pt idx="38">
                  <c:v>Mar-20</c:v>
                </c:pt>
                <c:pt idx="39">
                  <c:v>Nis-20</c:v>
                </c:pt>
                <c:pt idx="40">
                  <c:v>May-20</c:v>
                </c:pt>
                <c:pt idx="41">
                  <c:v>Haz-20</c:v>
                </c:pt>
                <c:pt idx="42">
                  <c:v>Tem-20</c:v>
                </c:pt>
                <c:pt idx="43">
                  <c:v>Ağu-20</c:v>
                </c:pt>
                <c:pt idx="44">
                  <c:v>Eyl-20</c:v>
                </c:pt>
                <c:pt idx="45">
                  <c:v>Eki-20</c:v>
                </c:pt>
                <c:pt idx="46">
                  <c:v>Kas-20</c:v>
                </c:pt>
                <c:pt idx="47">
                  <c:v>Ara-20</c:v>
                </c:pt>
                <c:pt idx="48">
                  <c:v>Oca-21</c:v>
                </c:pt>
                <c:pt idx="49">
                  <c:v>Şub-21</c:v>
                </c:pt>
                <c:pt idx="50">
                  <c:v>Mar-21</c:v>
                </c:pt>
                <c:pt idx="51">
                  <c:v>Nis-21</c:v>
                </c:pt>
                <c:pt idx="52">
                  <c:v>May-21</c:v>
                </c:pt>
                <c:pt idx="53">
                  <c:v>Haz-21</c:v>
                </c:pt>
                <c:pt idx="54">
                  <c:v>Tem-21</c:v>
                </c:pt>
                <c:pt idx="55">
                  <c:v>Ağu-21</c:v>
                </c:pt>
                <c:pt idx="56">
                  <c:v>Eyl-21</c:v>
                </c:pt>
                <c:pt idx="57">
                  <c:v>Eki-21</c:v>
                </c:pt>
                <c:pt idx="58">
                  <c:v>Kas-21</c:v>
                </c:pt>
                <c:pt idx="59">
                  <c:v>Ara-21</c:v>
                </c:pt>
                <c:pt idx="60">
                  <c:v>Oca-22</c:v>
                </c:pt>
                <c:pt idx="61">
                  <c:v>Şub-22</c:v>
                </c:pt>
                <c:pt idx="62">
                  <c:v>Mar-22</c:v>
                </c:pt>
                <c:pt idx="63">
                  <c:v>Nis-22</c:v>
                </c:pt>
                <c:pt idx="64">
                  <c:v>May-22</c:v>
                </c:pt>
                <c:pt idx="65">
                  <c:v>Haz-22</c:v>
                </c:pt>
                <c:pt idx="66">
                  <c:v>Tem-22</c:v>
                </c:pt>
                <c:pt idx="67">
                  <c:v>Ağu-22</c:v>
                </c:pt>
                <c:pt idx="68">
                  <c:v>Eyl-22</c:v>
                </c:pt>
                <c:pt idx="69">
                  <c:v>Eki-22</c:v>
                </c:pt>
                <c:pt idx="70">
                  <c:v>Kas-22</c:v>
                </c:pt>
                <c:pt idx="71">
                  <c:v>Ara-22</c:v>
                </c:pt>
                <c:pt idx="72">
                  <c:v>Oca-23</c:v>
                </c:pt>
                <c:pt idx="73">
                  <c:v>Şub-23</c:v>
                </c:pt>
                <c:pt idx="74">
                  <c:v>Mar-23</c:v>
                </c:pt>
                <c:pt idx="75">
                  <c:v>Nis-23</c:v>
                </c:pt>
                <c:pt idx="76">
                  <c:v>May-23</c:v>
                </c:pt>
                <c:pt idx="77">
                  <c:v>Jun-23</c:v>
                </c:pt>
                <c:pt idx="78">
                  <c:v>Jul-23</c:v>
                </c:pt>
                <c:pt idx="79">
                  <c:v>Aug-23</c:v>
                </c:pt>
                <c:pt idx="80">
                  <c:v>Sep-23</c:v>
                </c:pt>
                <c:pt idx="81">
                  <c:v>Oct-23</c:v>
                </c:pt>
                <c:pt idx="82">
                  <c:v>Nov-23</c:v>
                </c:pt>
                <c:pt idx="83">
                  <c:v>Dec-23</c:v>
                </c:pt>
              </c:strCache>
            </c:strRef>
          </c:cat>
          <c:val>
            <c:numRef>
              <c:f>Sheet1!$F$2:$F$85</c:f>
              <c:numCache>
                <c:formatCode>General</c:formatCode>
                <c:ptCount val="84"/>
                <c:pt idx="0" formatCode="_-* #,##0.0_-;\-* #,##0.0_-;_-* &quot;-&quot;??_-;_-@_-">
                  <c:v>718.78224196770725</c:v>
                </c:pt>
                <c:pt idx="1">
                  <c:v>702.04104401309201</c:v>
                </c:pt>
                <c:pt idx="2">
                  <c:v>645.60347956671137</c:v>
                </c:pt>
                <c:pt idx="3">
                  <c:v>675.6503938040363</c:v>
                </c:pt>
                <c:pt idx="4">
                  <c:v>662.89324270188069</c:v>
                </c:pt>
                <c:pt idx="5">
                  <c:v>649.73503408041131</c:v>
                </c:pt>
                <c:pt idx="6">
                  <c:v>687.3850293794244</c:v>
                </c:pt>
                <c:pt idx="7">
                  <c:v>689.67836578227855</c:v>
                </c:pt>
                <c:pt idx="8">
                  <c:v>686.92907410436067</c:v>
                </c:pt>
                <c:pt idx="9">
                  <c:v>744.47021079503645</c:v>
                </c:pt>
                <c:pt idx="10">
                  <c:v>842.76287528709975</c:v>
                </c:pt>
                <c:pt idx="11">
                  <c:v>879.92405761476846</c:v>
                </c:pt>
                <c:pt idx="12">
                  <c:v>859.69876639838128</c:v>
                </c:pt>
                <c:pt idx="13">
                  <c:v>861.04844481910982</c:v>
                </c:pt>
                <c:pt idx="14">
                  <c:v>852.06279662332281</c:v>
                </c:pt>
                <c:pt idx="15">
                  <c:v>942.8953728577286</c:v>
                </c:pt>
                <c:pt idx="16">
                  <c:v>1048.7187068577807</c:v>
                </c:pt>
                <c:pt idx="17">
                  <c:v>1094.4923822134251</c:v>
                </c:pt>
                <c:pt idx="18">
                  <c:v>1206.7304633000406</c:v>
                </c:pt>
                <c:pt idx="19">
                  <c:v>1479.6210974870405</c:v>
                </c:pt>
                <c:pt idx="20">
                  <c:v>1649.7929609560765</c:v>
                </c:pt>
                <c:pt idx="21">
                  <c:v>1787.6202779643106</c:v>
                </c:pt>
                <c:pt idx="22">
                  <c:v>1634.4528524685957</c:v>
                </c:pt>
                <c:pt idx="23">
                  <c:v>1622.0843627697502</c:v>
                </c:pt>
                <c:pt idx="24">
                  <c:v>1626.9422121992075</c:v>
                </c:pt>
                <c:pt idx="25">
                  <c:v>1499.168376472863</c:v>
                </c:pt>
                <c:pt idx="26">
                  <c:v>1526.6555279096033</c:v>
                </c:pt>
                <c:pt idx="27">
                  <c:v>1615.0876985807356</c:v>
                </c:pt>
                <c:pt idx="28">
                  <c:v>1689.3687686852988</c:v>
                </c:pt>
                <c:pt idx="29">
                  <c:v>1545.3337971850272</c:v>
                </c:pt>
                <c:pt idx="30">
                  <c:v>1516.5277164989768</c:v>
                </c:pt>
                <c:pt idx="31">
                  <c:v>1453.5510296665989</c:v>
                </c:pt>
                <c:pt idx="32">
                  <c:v>1542.196735149068</c:v>
                </c:pt>
                <c:pt idx="33">
                  <c:v>1449.9337463564284</c:v>
                </c:pt>
                <c:pt idx="34">
                  <c:v>1434.3852824349533</c:v>
                </c:pt>
                <c:pt idx="35">
                  <c:v>1415.1091511524619</c:v>
                </c:pt>
                <c:pt idx="36">
                  <c:v>1334.6731078527039</c:v>
                </c:pt>
                <c:pt idx="37">
                  <c:v>1220.6346101382996</c:v>
                </c:pt>
                <c:pt idx="38">
                  <c:v>1219.3313189838686</c:v>
                </c:pt>
                <c:pt idx="39">
                  <c:v>1188.2261180423918</c:v>
                </c:pt>
                <c:pt idx="40">
                  <c:v>1081.6882404684607</c:v>
                </c:pt>
                <c:pt idx="41">
                  <c:v>1154.5904946543762</c:v>
                </c:pt>
                <c:pt idx="42">
                  <c:v>1178.0018552479501</c:v>
                </c:pt>
                <c:pt idx="43">
                  <c:v>1288.5574557815032</c:v>
                </c:pt>
                <c:pt idx="44">
                  <c:v>1387.1813282423086</c:v>
                </c:pt>
                <c:pt idx="45">
                  <c:v>1431.9651575655553</c:v>
                </c:pt>
                <c:pt idx="46">
                  <c:v>1443.3004169519802</c:v>
                </c:pt>
                <c:pt idx="47">
                  <c:v>1472.4689412991956</c:v>
                </c:pt>
                <c:pt idx="48">
                  <c:v>1525.5906835781441</c:v>
                </c:pt>
                <c:pt idx="49">
                  <c:v>1414.8523558643121</c:v>
                </c:pt>
                <c:pt idx="50">
                  <c:v>1469.274213689665</c:v>
                </c:pt>
                <c:pt idx="51">
                  <c:v>1732.2133025791079</c:v>
                </c:pt>
                <c:pt idx="52">
                  <c:v>1840.7887567071084</c:v>
                </c:pt>
                <c:pt idx="53">
                  <c:v>1849.0526297710294</c:v>
                </c:pt>
                <c:pt idx="54">
                  <c:v>2371.6382879721918</c:v>
                </c:pt>
                <c:pt idx="55">
                  <c:v>2502.953194870197</c:v>
                </c:pt>
                <c:pt idx="56">
                  <c:v>2858.1081165917958</c:v>
                </c:pt>
                <c:pt idx="57">
                  <c:v>5421.5298096892411</c:v>
                </c:pt>
                <c:pt idx="58">
                  <c:v>6186.1247678879654</c:v>
                </c:pt>
                <c:pt idx="59">
                  <c:v>10089.046160143789</c:v>
                </c:pt>
                <c:pt idx="60">
                  <c:v>8532.0236192407756</c:v>
                </c:pt>
                <c:pt idx="61">
                  <c:v>8482.6310253531938</c:v>
                </c:pt>
                <c:pt idx="62">
                  <c:v>11081.79084905699</c:v>
                </c:pt>
                <c:pt idx="63">
                  <c:v>10906.519068885378</c:v>
                </c:pt>
                <c:pt idx="64">
                  <c:v>10787.844715820524</c:v>
                </c:pt>
                <c:pt idx="65">
                  <c:v>12996.783174602728</c:v>
                </c:pt>
                <c:pt idx="66" formatCode="_-* #,##0.0_-;\-* #,##0.0_-;_-* &quot;-&quot;??_-;_-@_-">
                  <c:v>17687.870249658357</c:v>
                </c:pt>
                <c:pt idx="67" formatCode="_-* #,##0.0_-;\-* #,##0.0_-;_-* &quot;-&quot;??_-;_-@_-">
                  <c:v>25341.900037654086</c:v>
                </c:pt>
                <c:pt idx="68" formatCode="_-* #,##0.0_-;\-* #,##0.0_-;_-* &quot;-&quot;??_-;_-@_-">
                  <c:v>20484.594503778175</c:v>
                </c:pt>
                <c:pt idx="69" formatCode="_-* #,##0.0_-;\-* #,##0.0_-;_-* &quot;-&quot;??_-;_-@_-">
                  <c:v>16869.90749334803</c:v>
                </c:pt>
                <c:pt idx="70" formatCode="_-* #,##0.0_-;\-* #,##0.0_-;_-* &quot;-&quot;??_-;_-@_-">
                  <c:v>17306.286480135106</c:v>
                </c:pt>
                <c:pt idx="71" formatCode="_-* #,##0.0_-;\-* #,##0.0_-;_-* &quot;-&quot;??_-;_-@_-">
                  <c:v>18614.593635660884</c:v>
                </c:pt>
                <c:pt idx="72" formatCode="_-* #,##0.0_-;\-* #,##0.0_-;_-* &quot;-&quot;??_-;_-@_-">
                  <c:v>12390.301072598881</c:v>
                </c:pt>
                <c:pt idx="73" formatCode="_-* #,##0.0_-;\-* #,##0.0_-;_-* &quot;-&quot;??_-;_-@_-">
                  <c:v>10683.980991489463</c:v>
                </c:pt>
                <c:pt idx="74" formatCode="_-* #,##0.0_-;\-* #,##0.0_-;_-* &quot;-&quot;??_-;_-@_-">
                  <c:v>8931.6350930332628</c:v>
                </c:pt>
                <c:pt idx="75" formatCode="_-* #,##0.0_-;\-* #,##0.0_-;_-* &quot;-&quot;??_-;_-@_-">
                  <c:v>8408.3068926667402</c:v>
                </c:pt>
                <c:pt idx="76" formatCode="_-* #,##0.0_-;\-* #,##0.0_-;_-* &quot;-&quot;??_-;_-@_-">
                  <c:v>7534.1886403991884</c:v>
                </c:pt>
                <c:pt idx="77" formatCode="_-* #,##0.0_-;\-* #,##0.0_-;_-* &quot;-&quot;??_-;_-@_-">
                  <c:v>9076.3496597496596</c:v>
                </c:pt>
                <c:pt idx="78" formatCode="_-* #,##0.0_-;\-* #,##0.0_-;_-* &quot;-&quot;??_-;_-@_-">
                  <c:v>9584.7000000000007</c:v>
                </c:pt>
              </c:numCache>
            </c:numRef>
          </c:val>
          <c:smooth val="0"/>
          <c:extLst>
            <c:ext xmlns:c16="http://schemas.microsoft.com/office/drawing/2014/chart" uri="{C3380CC4-5D6E-409C-BE32-E72D297353CC}">
              <c16:uniqueId val="{00000004-6B89-4B51-9148-1E9AF150960F}"/>
            </c:ext>
          </c:extLst>
        </c:ser>
        <c:dLbls>
          <c:showLegendKey val="0"/>
          <c:showVal val="0"/>
          <c:showCatName val="0"/>
          <c:showSerName val="0"/>
          <c:showPercent val="0"/>
          <c:showBubbleSize val="0"/>
        </c:dLbls>
        <c:smooth val="0"/>
        <c:axId val="458787072"/>
        <c:axId val="1036057488"/>
      </c:lineChart>
      <c:catAx>
        <c:axId val="458787072"/>
        <c:scaling>
          <c:orientation val="minMax"/>
        </c:scaling>
        <c:delete val="0"/>
        <c:axPos val="b"/>
        <c:numFmt formatCode="General" sourceLinked="1"/>
        <c:majorTickMark val="out"/>
        <c:minorTickMark val="none"/>
        <c:tickLblPos val="nextTo"/>
        <c:spPr>
          <a:noFill/>
          <a:ln w="9525" cap="flat" cmpd="sng" algn="ctr">
            <a:solidFill>
              <a:srgbClr val="000000"/>
            </a:solidFill>
            <a:round/>
          </a:ln>
          <a:effectLst/>
        </c:spPr>
        <c:txPr>
          <a:bodyPr rot="-5400000" spcFirstLastPara="1" vertOverflow="ellipsis" wrap="square" anchor="ctr" anchorCtr="1"/>
          <a:lstStyle/>
          <a:p>
            <a:pPr>
              <a:defRPr sz="900" b="0" i="0" u="none" strike="noStrike" kern="1200" baseline="0">
                <a:solidFill>
                  <a:srgbClr val="000000"/>
                </a:solidFill>
                <a:latin typeface="+mn-lt"/>
                <a:ea typeface="+mn-ea"/>
                <a:cs typeface="+mn-cs"/>
              </a:defRPr>
            </a:pPr>
            <a:endParaRPr lang="en-US"/>
          </a:p>
        </c:txPr>
        <c:crossAx val="1036057488"/>
        <c:crosses val="autoZero"/>
        <c:auto val="1"/>
        <c:lblAlgn val="ctr"/>
        <c:lblOffset val="100"/>
        <c:tickLblSkip val="3"/>
        <c:noMultiLvlLbl val="1"/>
      </c:catAx>
      <c:valAx>
        <c:axId val="10360574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rgbClr val="000000"/>
                    </a:solidFill>
                    <a:latin typeface="+mn-lt"/>
                    <a:ea typeface="+mn-ea"/>
                    <a:cs typeface="+mn-cs"/>
                  </a:defRPr>
                </a:pPr>
                <a:r>
                  <a:rPr lang="tr-TR" sz="1000" b="1" baseline="0"/>
                  <a:t>TL/</a:t>
                </a:r>
                <a:r>
                  <a:rPr lang="en-US" sz="1000" b="1" i="0" u="none" strike="noStrike" baseline="0">
                    <a:effectLst/>
                  </a:rPr>
                  <a:t>1.000 sm</a:t>
                </a:r>
                <a:r>
                  <a:rPr lang="en-US" sz="1000" b="1" i="0" u="none" strike="noStrike" baseline="30000">
                    <a:effectLst/>
                  </a:rPr>
                  <a:t>3 </a:t>
                </a:r>
                <a:endParaRPr lang="en-US" sz="1000" b="1" baseline="0"/>
              </a:p>
            </c:rich>
          </c:tx>
          <c:layout>
            <c:manualLayout>
              <c:xMode val="edge"/>
              <c:yMode val="edge"/>
              <c:x val="6.1043849832129416E-3"/>
              <c:y val="0.219668703237821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000000"/>
                  </a:solidFill>
                  <a:latin typeface="+mn-lt"/>
                  <a:ea typeface="+mn-ea"/>
                  <a:cs typeface="+mn-cs"/>
                </a:defRPr>
              </a:pPr>
              <a:endParaRPr lang="en-US"/>
            </a:p>
          </c:txPr>
        </c:title>
        <c:numFmt formatCode="#,##0" sourceLinked="0"/>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458787072"/>
        <c:crosses val="autoZero"/>
        <c:crossBetween val="between"/>
      </c:valAx>
      <c:spPr>
        <a:noFill/>
        <a:ln>
          <a:noFill/>
        </a:ln>
        <a:effectLst/>
      </c:spPr>
    </c:plotArea>
    <c:legend>
      <c:legendPos val="b"/>
      <c:layout>
        <c:manualLayout>
          <c:xMode val="edge"/>
          <c:yMode val="edge"/>
          <c:x val="0.13550053839423917"/>
          <c:y val="0.84369256727524444"/>
          <c:w val="0.8358365300491285"/>
          <c:h val="0.1233403997577226"/>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500" baseline="0">
          <a:solidFill>
            <a:srgbClr val="000000"/>
          </a:solidFill>
        </a:defRPr>
      </a:pPr>
      <a:endParaRPr lang="en-US"/>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8361262534491"/>
          <c:y val="0.10580461827067855"/>
          <c:w val="0.85055769582633534"/>
          <c:h val="0.49323820613438696"/>
        </c:manualLayout>
      </c:layout>
      <c:barChart>
        <c:barDir val="col"/>
        <c:grouping val="clustered"/>
        <c:varyColors val="0"/>
        <c:ser>
          <c:idx val="5"/>
          <c:order val="5"/>
          <c:tx>
            <c:strRef>
              <c:f>'Retail Tariff (p 101)'!$G$1</c:f>
              <c:strCache>
                <c:ptCount val="1"/>
                <c:pt idx="0">
                  <c:v>PTF+YEKDEM Birim Maliyeti</c:v>
                </c:pt>
              </c:strCache>
            </c:strRef>
          </c:tx>
          <c:spPr>
            <a:solidFill>
              <a:schemeClr val="accent1">
                <a:lumMod val="60000"/>
                <a:lumOff val="40000"/>
              </a:schemeClr>
            </a:solidFill>
            <a:ln>
              <a:noFill/>
            </a:ln>
            <a:effectLst/>
          </c:spPr>
          <c:invertIfNegative val="0"/>
          <c:cat>
            <c:strRef>
              <c:f>'Retail Tariff (p 101)'!$A$74:$A$121</c:f>
              <c:strCache>
                <c:ptCount val="48"/>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pt idx="12">
                  <c:v>2021-01</c:v>
                </c:pt>
                <c:pt idx="13">
                  <c:v>2021-02</c:v>
                </c:pt>
                <c:pt idx="14">
                  <c:v>2021-03</c:v>
                </c:pt>
                <c:pt idx="15">
                  <c:v>2021-04</c:v>
                </c:pt>
                <c:pt idx="16">
                  <c:v>2021-05</c:v>
                </c:pt>
                <c:pt idx="17">
                  <c:v>2021-06</c:v>
                </c:pt>
                <c:pt idx="18">
                  <c:v>2021-07</c:v>
                </c:pt>
                <c:pt idx="19">
                  <c:v>2021-08</c:v>
                </c:pt>
                <c:pt idx="20">
                  <c:v>2021-09</c:v>
                </c:pt>
                <c:pt idx="21">
                  <c:v>2021-10</c:v>
                </c:pt>
                <c:pt idx="22">
                  <c:v>2021-11</c:v>
                </c:pt>
                <c:pt idx="23">
                  <c:v>2021-12</c:v>
                </c:pt>
                <c:pt idx="24">
                  <c:v>2022-01</c:v>
                </c:pt>
                <c:pt idx="25">
                  <c:v>2022-02</c:v>
                </c:pt>
                <c:pt idx="26">
                  <c:v>2022-03</c:v>
                </c:pt>
                <c:pt idx="27">
                  <c:v>2022-04</c:v>
                </c:pt>
                <c:pt idx="28">
                  <c:v>2022-05</c:v>
                </c:pt>
                <c:pt idx="29">
                  <c:v>2022-06</c:v>
                </c:pt>
                <c:pt idx="30">
                  <c:v>2022-07</c:v>
                </c:pt>
                <c:pt idx="31">
                  <c:v>2022-08</c:v>
                </c:pt>
                <c:pt idx="32">
                  <c:v>2022-09</c:v>
                </c:pt>
                <c:pt idx="33">
                  <c:v>2022-10</c:v>
                </c:pt>
                <c:pt idx="34">
                  <c:v>2022-11</c:v>
                </c:pt>
                <c:pt idx="35">
                  <c:v>2022-12</c:v>
                </c:pt>
                <c:pt idx="36">
                  <c:v>2023-01</c:v>
                </c:pt>
                <c:pt idx="37">
                  <c:v>2023-02</c:v>
                </c:pt>
                <c:pt idx="38">
                  <c:v>2023-03</c:v>
                </c:pt>
                <c:pt idx="39">
                  <c:v>2023-04</c:v>
                </c:pt>
                <c:pt idx="40">
                  <c:v>2023-05</c:v>
                </c:pt>
                <c:pt idx="41">
                  <c:v>2023-06</c:v>
                </c:pt>
                <c:pt idx="42">
                  <c:v>2023-07</c:v>
                </c:pt>
                <c:pt idx="43">
                  <c:v>2023-08</c:v>
                </c:pt>
                <c:pt idx="44">
                  <c:v>2023-09</c:v>
                </c:pt>
                <c:pt idx="45">
                  <c:v>2023-10</c:v>
                </c:pt>
                <c:pt idx="46">
                  <c:v>2023-11</c:v>
                </c:pt>
                <c:pt idx="47">
                  <c:v>2023-12</c:v>
                </c:pt>
              </c:strCache>
            </c:strRef>
          </c:cat>
          <c:val>
            <c:numRef>
              <c:f>'Retail Tariff (p 101)'!$G$74:$G$121</c:f>
              <c:numCache>
                <c:formatCode>#,##0.00</c:formatCode>
                <c:ptCount val="48"/>
                <c:pt idx="0">
                  <c:v>373.64586827956992</c:v>
                </c:pt>
                <c:pt idx="1">
                  <c:v>375.67029597701116</c:v>
                </c:pt>
                <c:pt idx="2">
                  <c:v>384.78694892473106</c:v>
                </c:pt>
                <c:pt idx="3">
                  <c:v>414.43498611111124</c:v>
                </c:pt>
                <c:pt idx="4">
                  <c:v>434.01016666666675</c:v>
                </c:pt>
                <c:pt idx="5">
                  <c:v>403.40413888888855</c:v>
                </c:pt>
                <c:pt idx="6">
                  <c:v>400.33706720430109</c:v>
                </c:pt>
                <c:pt idx="7">
                  <c:v>399.67585215053731</c:v>
                </c:pt>
                <c:pt idx="8">
                  <c:v>402.21333333333268</c:v>
                </c:pt>
                <c:pt idx="9">
                  <c:v>411.36464247311801</c:v>
                </c:pt>
                <c:pt idx="10">
                  <c:v>407.16</c:v>
                </c:pt>
                <c:pt idx="11">
                  <c:v>385.48</c:v>
                </c:pt>
                <c:pt idx="12">
                  <c:v>405.2495242</c:v>
                </c:pt>
                <c:pt idx="13">
                  <c:v>405.26650599999999</c:v>
                </c:pt>
                <c:pt idx="14">
                  <c:v>444.26174459999999</c:v>
                </c:pt>
                <c:pt idx="15">
                  <c:v>483.4</c:v>
                </c:pt>
                <c:pt idx="16">
                  <c:v>519.1</c:v>
                </c:pt>
                <c:pt idx="17">
                  <c:v>516.6</c:v>
                </c:pt>
                <c:pt idx="18">
                  <c:v>612.23306451612871</c:v>
                </c:pt>
                <c:pt idx="19">
                  <c:v>624.58124193548326</c:v>
                </c:pt>
                <c:pt idx="20">
                  <c:v>602.32436111111065</c:v>
                </c:pt>
                <c:pt idx="21">
                  <c:v>736.47094892473172</c:v>
                </c:pt>
                <c:pt idx="22">
                  <c:v>883.59887499999854</c:v>
                </c:pt>
                <c:pt idx="23">
                  <c:v>1079.8656048387086</c:v>
                </c:pt>
                <c:pt idx="24">
                  <c:v>1205.5172903225805</c:v>
                </c:pt>
                <c:pt idx="25">
                  <c:v>1404.497678571428</c:v>
                </c:pt>
                <c:pt idx="26">
                  <c:v>1670.8466397849461</c:v>
                </c:pt>
                <c:pt idx="27">
                  <c:v>1830.5545416666657</c:v>
                </c:pt>
                <c:pt idx="28">
                  <c:v>1763.0304032258043</c:v>
                </c:pt>
                <c:pt idx="29">
                  <c:v>2340.1349861111112</c:v>
                </c:pt>
                <c:pt idx="30">
                  <c:v>2330.3695295698908</c:v>
                </c:pt>
                <c:pt idx="31">
                  <c:v>3066.5470161290327</c:v>
                </c:pt>
                <c:pt idx="32">
                  <c:v>3851.8</c:v>
                </c:pt>
                <c:pt idx="33">
                  <c:v>3470.0193010752655</c:v>
                </c:pt>
                <c:pt idx="34">
                  <c:v>3438.3141666666656</c:v>
                </c:pt>
                <c:pt idx="35">
                  <c:v>3724.4127822580626</c:v>
                </c:pt>
                <c:pt idx="36">
                  <c:v>3431.4889516128987</c:v>
                </c:pt>
                <c:pt idx="37">
                  <c:v>2802.7</c:v>
                </c:pt>
                <c:pt idx="38">
                  <c:v>2126.2193413978466</c:v>
                </c:pt>
                <c:pt idx="39">
                  <c:v>1837.89570833333</c:v>
                </c:pt>
                <c:pt idx="40">
                  <c:v>1938.2003118279549</c:v>
                </c:pt>
                <c:pt idx="41">
                  <c:v>1879.7428611111093</c:v>
                </c:pt>
                <c:pt idx="42">
                  <c:v>2178.3474086021474</c:v>
                </c:pt>
                <c:pt idx="43">
                  <c:v>2367.2456451612879</c:v>
                </c:pt>
                <c:pt idx="44">
                  <c:v>2204.3971111111046</c:v>
                </c:pt>
                <c:pt idx="45">
                  <c:v>2423.5700000000002</c:v>
                </c:pt>
                <c:pt idx="46">
                  <c:v>2297.9499999999998</c:v>
                </c:pt>
              </c:numCache>
            </c:numRef>
          </c:val>
          <c:extLst>
            <c:ext xmlns:c16="http://schemas.microsoft.com/office/drawing/2014/chart" uri="{C3380CC4-5D6E-409C-BE32-E72D297353CC}">
              <c16:uniqueId val="{00000000-35D1-48B9-88EB-3B54007898C6}"/>
            </c:ext>
          </c:extLst>
        </c:ser>
        <c:dLbls>
          <c:showLegendKey val="0"/>
          <c:showVal val="0"/>
          <c:showCatName val="0"/>
          <c:showSerName val="0"/>
          <c:showPercent val="0"/>
          <c:showBubbleSize val="0"/>
        </c:dLbls>
        <c:gapWidth val="150"/>
        <c:axId val="1603129375"/>
        <c:axId val="518267088"/>
      </c:barChart>
      <c:lineChart>
        <c:grouping val="standard"/>
        <c:varyColors val="0"/>
        <c:ser>
          <c:idx val="0"/>
          <c:order val="0"/>
          <c:tx>
            <c:strRef>
              <c:f>'Retail Tariff (p 101)'!$B$1</c:f>
              <c:strCache>
                <c:ptCount val="1"/>
                <c:pt idx="0">
                  <c:v>Mesken Aktif Enerji Bedeli&lt;8 kWh</c:v>
                </c:pt>
              </c:strCache>
            </c:strRef>
          </c:tx>
          <c:spPr>
            <a:ln w="12700" cap="rnd">
              <a:solidFill>
                <a:srgbClr val="0070C0"/>
              </a:solidFill>
              <a:round/>
            </a:ln>
            <a:effectLst/>
          </c:spPr>
          <c:marker>
            <c:symbol val="none"/>
          </c:marker>
          <c:cat>
            <c:strRef>
              <c:f>'Retail Tariff (p 101)'!$A$74:$A$121</c:f>
              <c:strCache>
                <c:ptCount val="48"/>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pt idx="12">
                  <c:v>2021-01</c:v>
                </c:pt>
                <c:pt idx="13">
                  <c:v>2021-02</c:v>
                </c:pt>
                <c:pt idx="14">
                  <c:v>2021-03</c:v>
                </c:pt>
                <c:pt idx="15">
                  <c:v>2021-04</c:v>
                </c:pt>
                <c:pt idx="16">
                  <c:v>2021-05</c:v>
                </c:pt>
                <c:pt idx="17">
                  <c:v>2021-06</c:v>
                </c:pt>
                <c:pt idx="18">
                  <c:v>2021-07</c:v>
                </c:pt>
                <c:pt idx="19">
                  <c:v>2021-08</c:v>
                </c:pt>
                <c:pt idx="20">
                  <c:v>2021-09</c:v>
                </c:pt>
                <c:pt idx="21">
                  <c:v>2021-10</c:v>
                </c:pt>
                <c:pt idx="22">
                  <c:v>2021-11</c:v>
                </c:pt>
                <c:pt idx="23">
                  <c:v>2021-12</c:v>
                </c:pt>
                <c:pt idx="24">
                  <c:v>2022-01</c:v>
                </c:pt>
                <c:pt idx="25">
                  <c:v>2022-02</c:v>
                </c:pt>
                <c:pt idx="26">
                  <c:v>2022-03</c:v>
                </c:pt>
                <c:pt idx="27">
                  <c:v>2022-04</c:v>
                </c:pt>
                <c:pt idx="28">
                  <c:v>2022-05</c:v>
                </c:pt>
                <c:pt idx="29">
                  <c:v>2022-06</c:v>
                </c:pt>
                <c:pt idx="30">
                  <c:v>2022-07</c:v>
                </c:pt>
                <c:pt idx="31">
                  <c:v>2022-08</c:v>
                </c:pt>
                <c:pt idx="32">
                  <c:v>2022-09</c:v>
                </c:pt>
                <c:pt idx="33">
                  <c:v>2022-10</c:v>
                </c:pt>
                <c:pt idx="34">
                  <c:v>2022-11</c:v>
                </c:pt>
                <c:pt idx="35">
                  <c:v>2022-12</c:v>
                </c:pt>
                <c:pt idx="36">
                  <c:v>2023-01</c:v>
                </c:pt>
                <c:pt idx="37">
                  <c:v>2023-02</c:v>
                </c:pt>
                <c:pt idx="38">
                  <c:v>2023-03</c:v>
                </c:pt>
                <c:pt idx="39">
                  <c:v>2023-04</c:v>
                </c:pt>
                <c:pt idx="40">
                  <c:v>2023-05</c:v>
                </c:pt>
                <c:pt idx="41">
                  <c:v>2023-06</c:v>
                </c:pt>
                <c:pt idx="42">
                  <c:v>2023-07</c:v>
                </c:pt>
                <c:pt idx="43">
                  <c:v>2023-08</c:v>
                </c:pt>
                <c:pt idx="44">
                  <c:v>2023-09</c:v>
                </c:pt>
                <c:pt idx="45">
                  <c:v>2023-10</c:v>
                </c:pt>
                <c:pt idx="46">
                  <c:v>2023-11</c:v>
                </c:pt>
                <c:pt idx="47">
                  <c:v>2023-12</c:v>
                </c:pt>
              </c:strCache>
            </c:strRef>
          </c:cat>
          <c:val>
            <c:numRef>
              <c:f>'Retail Tariff (p 101)'!$B$74:$B$121</c:f>
              <c:numCache>
                <c:formatCode>#,##0.00</c:formatCode>
                <c:ptCount val="48"/>
                <c:pt idx="0">
                  <c:v>343.8</c:v>
                </c:pt>
                <c:pt idx="1">
                  <c:v>343.8</c:v>
                </c:pt>
                <c:pt idx="2">
                  <c:v>343.8</c:v>
                </c:pt>
                <c:pt idx="3">
                  <c:v>348.2</c:v>
                </c:pt>
                <c:pt idx="4">
                  <c:v>348.2</c:v>
                </c:pt>
                <c:pt idx="5">
                  <c:v>348.2</c:v>
                </c:pt>
                <c:pt idx="6">
                  <c:v>362.67</c:v>
                </c:pt>
                <c:pt idx="7">
                  <c:v>362.67</c:v>
                </c:pt>
                <c:pt idx="8">
                  <c:v>362.67</c:v>
                </c:pt>
                <c:pt idx="9">
                  <c:v>392.7</c:v>
                </c:pt>
                <c:pt idx="10">
                  <c:v>392.7</c:v>
                </c:pt>
                <c:pt idx="11">
                  <c:v>392.7</c:v>
                </c:pt>
                <c:pt idx="12">
                  <c:v>397.6</c:v>
                </c:pt>
                <c:pt idx="13">
                  <c:v>397.6</c:v>
                </c:pt>
                <c:pt idx="14">
                  <c:v>397.6</c:v>
                </c:pt>
                <c:pt idx="15">
                  <c:v>396.7</c:v>
                </c:pt>
                <c:pt idx="16">
                  <c:v>396.7</c:v>
                </c:pt>
                <c:pt idx="17">
                  <c:v>396.7</c:v>
                </c:pt>
                <c:pt idx="18">
                  <c:v>474.25299999999999</c:v>
                </c:pt>
                <c:pt idx="19">
                  <c:v>474.25299999999999</c:v>
                </c:pt>
                <c:pt idx="20">
                  <c:v>474.25299999999999</c:v>
                </c:pt>
                <c:pt idx="21">
                  <c:v>474.25299999999999</c:v>
                </c:pt>
                <c:pt idx="22">
                  <c:v>474.25299999999999</c:v>
                </c:pt>
                <c:pt idx="23">
                  <c:v>474.25299999999999</c:v>
                </c:pt>
                <c:pt idx="24">
                  <c:v>794.62199999999996</c:v>
                </c:pt>
                <c:pt idx="25">
                  <c:v>794.62199999999996</c:v>
                </c:pt>
                <c:pt idx="26">
                  <c:v>794.62199999999996</c:v>
                </c:pt>
                <c:pt idx="27">
                  <c:v>789.19</c:v>
                </c:pt>
                <c:pt idx="28">
                  <c:v>789.19</c:v>
                </c:pt>
                <c:pt idx="29">
                  <c:v>955.452</c:v>
                </c:pt>
                <c:pt idx="30">
                  <c:v>955.452</c:v>
                </c:pt>
                <c:pt idx="31">
                  <c:v>955.452</c:v>
                </c:pt>
                <c:pt idx="32">
                  <c:v>1210.3879999999999</c:v>
                </c:pt>
                <c:pt idx="33">
                  <c:v>1210.3879999999999</c:v>
                </c:pt>
                <c:pt idx="34">
                  <c:v>1210.3879999999999</c:v>
                </c:pt>
                <c:pt idx="35">
                  <c:v>1210.3879999999999</c:v>
                </c:pt>
                <c:pt idx="36">
                  <c:v>787.82</c:v>
                </c:pt>
                <c:pt idx="37">
                  <c:v>787.82</c:v>
                </c:pt>
                <c:pt idx="38">
                  <c:v>787.82</c:v>
                </c:pt>
                <c:pt idx="39">
                  <c:v>558.37800000000004</c:v>
                </c:pt>
                <c:pt idx="40">
                  <c:v>558.37800000000004</c:v>
                </c:pt>
                <c:pt idx="41">
                  <c:v>558.37800000000004</c:v>
                </c:pt>
                <c:pt idx="42">
                  <c:v>482.18700000000001</c:v>
                </c:pt>
                <c:pt idx="43">
                  <c:v>482.18700000000001</c:v>
                </c:pt>
                <c:pt idx="44">
                  <c:v>482.18700000000001</c:v>
                </c:pt>
                <c:pt idx="45">
                  <c:v>482.18700000000001</c:v>
                </c:pt>
                <c:pt idx="46">
                  <c:v>482.18700000000001</c:v>
                </c:pt>
                <c:pt idx="47">
                  <c:v>482.18700000000001</c:v>
                </c:pt>
              </c:numCache>
            </c:numRef>
          </c:val>
          <c:smooth val="1"/>
          <c:extLst>
            <c:ext xmlns:c16="http://schemas.microsoft.com/office/drawing/2014/chart" uri="{C3380CC4-5D6E-409C-BE32-E72D297353CC}">
              <c16:uniqueId val="{00000001-35D1-48B9-88EB-3B54007898C6}"/>
            </c:ext>
          </c:extLst>
        </c:ser>
        <c:ser>
          <c:idx val="1"/>
          <c:order val="1"/>
          <c:tx>
            <c:strRef>
              <c:f>'Retail Tariff (p 101)'!$C$1</c:f>
              <c:strCache>
                <c:ptCount val="1"/>
                <c:pt idx="0">
                  <c:v>Mesken Aktif Enerji Bedeli&gt;8 kWh</c:v>
                </c:pt>
              </c:strCache>
            </c:strRef>
          </c:tx>
          <c:spPr>
            <a:ln w="12700" cap="rnd">
              <a:solidFill>
                <a:srgbClr val="0070C0"/>
              </a:solidFill>
              <a:prstDash val="dash"/>
              <a:round/>
            </a:ln>
            <a:effectLst/>
          </c:spPr>
          <c:marker>
            <c:symbol val="none"/>
          </c:marker>
          <c:cat>
            <c:strRef>
              <c:f>'Retail Tariff (p 101)'!$A$74:$A$121</c:f>
              <c:strCache>
                <c:ptCount val="48"/>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pt idx="12">
                  <c:v>2021-01</c:v>
                </c:pt>
                <c:pt idx="13">
                  <c:v>2021-02</c:v>
                </c:pt>
                <c:pt idx="14">
                  <c:v>2021-03</c:v>
                </c:pt>
                <c:pt idx="15">
                  <c:v>2021-04</c:v>
                </c:pt>
                <c:pt idx="16">
                  <c:v>2021-05</c:v>
                </c:pt>
                <c:pt idx="17">
                  <c:v>2021-06</c:v>
                </c:pt>
                <c:pt idx="18">
                  <c:v>2021-07</c:v>
                </c:pt>
                <c:pt idx="19">
                  <c:v>2021-08</c:v>
                </c:pt>
                <c:pt idx="20">
                  <c:v>2021-09</c:v>
                </c:pt>
                <c:pt idx="21">
                  <c:v>2021-10</c:v>
                </c:pt>
                <c:pt idx="22">
                  <c:v>2021-11</c:v>
                </c:pt>
                <c:pt idx="23">
                  <c:v>2021-12</c:v>
                </c:pt>
                <c:pt idx="24">
                  <c:v>2022-01</c:v>
                </c:pt>
                <c:pt idx="25">
                  <c:v>2022-02</c:v>
                </c:pt>
                <c:pt idx="26">
                  <c:v>2022-03</c:v>
                </c:pt>
                <c:pt idx="27">
                  <c:v>2022-04</c:v>
                </c:pt>
                <c:pt idx="28">
                  <c:v>2022-05</c:v>
                </c:pt>
                <c:pt idx="29">
                  <c:v>2022-06</c:v>
                </c:pt>
                <c:pt idx="30">
                  <c:v>2022-07</c:v>
                </c:pt>
                <c:pt idx="31">
                  <c:v>2022-08</c:v>
                </c:pt>
                <c:pt idx="32">
                  <c:v>2022-09</c:v>
                </c:pt>
                <c:pt idx="33">
                  <c:v>2022-10</c:v>
                </c:pt>
                <c:pt idx="34">
                  <c:v>2022-11</c:v>
                </c:pt>
                <c:pt idx="35">
                  <c:v>2022-12</c:v>
                </c:pt>
                <c:pt idx="36">
                  <c:v>2023-01</c:v>
                </c:pt>
                <c:pt idx="37">
                  <c:v>2023-02</c:v>
                </c:pt>
                <c:pt idx="38">
                  <c:v>2023-03</c:v>
                </c:pt>
                <c:pt idx="39">
                  <c:v>2023-04</c:v>
                </c:pt>
                <c:pt idx="40">
                  <c:v>2023-05</c:v>
                </c:pt>
                <c:pt idx="41">
                  <c:v>2023-06</c:v>
                </c:pt>
                <c:pt idx="42">
                  <c:v>2023-07</c:v>
                </c:pt>
                <c:pt idx="43">
                  <c:v>2023-08</c:v>
                </c:pt>
                <c:pt idx="44">
                  <c:v>2023-09</c:v>
                </c:pt>
                <c:pt idx="45">
                  <c:v>2023-10</c:v>
                </c:pt>
                <c:pt idx="46">
                  <c:v>2023-11</c:v>
                </c:pt>
                <c:pt idx="47">
                  <c:v>2023-12</c:v>
                </c:pt>
              </c:strCache>
            </c:strRef>
          </c:cat>
          <c:val>
            <c:numRef>
              <c:f>'Retail Tariff (p 101)'!$C$74:$C$121</c:f>
              <c:numCache>
                <c:formatCode>#,##0.00</c:formatCode>
                <c:ptCount val="48"/>
                <c:pt idx="0">
                  <c:v>343.8</c:v>
                </c:pt>
                <c:pt idx="1">
                  <c:v>343.8</c:v>
                </c:pt>
                <c:pt idx="2">
                  <c:v>343.8</c:v>
                </c:pt>
                <c:pt idx="3">
                  <c:v>348.2</c:v>
                </c:pt>
                <c:pt idx="4">
                  <c:v>348.2</c:v>
                </c:pt>
                <c:pt idx="5">
                  <c:v>348.2</c:v>
                </c:pt>
                <c:pt idx="6">
                  <c:v>362.67</c:v>
                </c:pt>
                <c:pt idx="7">
                  <c:v>362.67</c:v>
                </c:pt>
                <c:pt idx="8">
                  <c:v>362.67</c:v>
                </c:pt>
                <c:pt idx="9">
                  <c:v>392.7</c:v>
                </c:pt>
                <c:pt idx="10">
                  <c:v>392.7</c:v>
                </c:pt>
                <c:pt idx="11">
                  <c:v>392.7</c:v>
                </c:pt>
                <c:pt idx="12">
                  <c:v>397.6</c:v>
                </c:pt>
                <c:pt idx="13">
                  <c:v>397.6</c:v>
                </c:pt>
                <c:pt idx="14">
                  <c:v>397.6</c:v>
                </c:pt>
                <c:pt idx="15">
                  <c:v>396.7</c:v>
                </c:pt>
                <c:pt idx="16">
                  <c:v>396.7</c:v>
                </c:pt>
                <c:pt idx="17">
                  <c:v>396.7</c:v>
                </c:pt>
                <c:pt idx="18">
                  <c:v>474.25299999999999</c:v>
                </c:pt>
                <c:pt idx="19">
                  <c:v>474.25299999999999</c:v>
                </c:pt>
                <c:pt idx="20">
                  <c:v>474.25299999999999</c:v>
                </c:pt>
                <c:pt idx="21">
                  <c:v>474.25299999999999</c:v>
                </c:pt>
                <c:pt idx="22">
                  <c:v>474.25299999999999</c:v>
                </c:pt>
                <c:pt idx="23">
                  <c:v>474.25299999999999</c:v>
                </c:pt>
                <c:pt idx="24">
                  <c:v>1348.829</c:v>
                </c:pt>
                <c:pt idx="25">
                  <c:v>1348.829</c:v>
                </c:pt>
                <c:pt idx="26">
                  <c:v>1348.829</c:v>
                </c:pt>
                <c:pt idx="27">
                  <c:v>1343.3969999999999</c:v>
                </c:pt>
                <c:pt idx="28">
                  <c:v>1343.3969999999999</c:v>
                </c:pt>
                <c:pt idx="29">
                  <c:v>1592.79</c:v>
                </c:pt>
                <c:pt idx="30">
                  <c:v>1592.79</c:v>
                </c:pt>
                <c:pt idx="31">
                  <c:v>1592.79</c:v>
                </c:pt>
                <c:pt idx="32">
                  <c:v>1975.1929999999998</c:v>
                </c:pt>
                <c:pt idx="33">
                  <c:v>1975.1929999999998</c:v>
                </c:pt>
                <c:pt idx="34">
                  <c:v>1975.1929999999998</c:v>
                </c:pt>
                <c:pt idx="35">
                  <c:v>1975.1929999999998</c:v>
                </c:pt>
                <c:pt idx="36">
                  <c:v>1552.625</c:v>
                </c:pt>
                <c:pt idx="37">
                  <c:v>1552.625</c:v>
                </c:pt>
                <c:pt idx="38">
                  <c:v>1552.625</c:v>
                </c:pt>
                <c:pt idx="39">
                  <c:v>1208.462</c:v>
                </c:pt>
                <c:pt idx="40">
                  <c:v>1208.462</c:v>
                </c:pt>
                <c:pt idx="41">
                  <c:v>1208.462</c:v>
                </c:pt>
                <c:pt idx="42">
                  <c:v>1132.271</c:v>
                </c:pt>
                <c:pt idx="43">
                  <c:v>1132.271</c:v>
                </c:pt>
                <c:pt idx="44">
                  <c:v>1132.271</c:v>
                </c:pt>
                <c:pt idx="45">
                  <c:v>1132.271</c:v>
                </c:pt>
                <c:pt idx="46">
                  <c:v>1132.271</c:v>
                </c:pt>
                <c:pt idx="47">
                  <c:v>1132.271</c:v>
                </c:pt>
              </c:numCache>
            </c:numRef>
          </c:val>
          <c:smooth val="1"/>
          <c:extLst>
            <c:ext xmlns:c16="http://schemas.microsoft.com/office/drawing/2014/chart" uri="{C3380CC4-5D6E-409C-BE32-E72D297353CC}">
              <c16:uniqueId val="{00000002-35D1-48B9-88EB-3B54007898C6}"/>
            </c:ext>
          </c:extLst>
        </c:ser>
        <c:ser>
          <c:idx val="2"/>
          <c:order val="2"/>
          <c:tx>
            <c:strRef>
              <c:f>'Retail Tariff (p 101)'!$D$1</c:f>
              <c:strCache>
                <c:ptCount val="1"/>
                <c:pt idx="0">
                  <c:v>Sanayi Aktif Enerji Bedeli</c:v>
                </c:pt>
              </c:strCache>
            </c:strRef>
          </c:tx>
          <c:spPr>
            <a:ln w="12700" cap="rnd">
              <a:solidFill>
                <a:srgbClr val="8E0000"/>
              </a:solidFill>
              <a:round/>
            </a:ln>
            <a:effectLst/>
          </c:spPr>
          <c:marker>
            <c:symbol val="none"/>
          </c:marker>
          <c:cat>
            <c:strRef>
              <c:f>'Retail Tariff (p 101)'!$A$74:$A$121</c:f>
              <c:strCache>
                <c:ptCount val="48"/>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pt idx="12">
                  <c:v>2021-01</c:v>
                </c:pt>
                <c:pt idx="13">
                  <c:v>2021-02</c:v>
                </c:pt>
                <c:pt idx="14">
                  <c:v>2021-03</c:v>
                </c:pt>
                <c:pt idx="15">
                  <c:v>2021-04</c:v>
                </c:pt>
                <c:pt idx="16">
                  <c:v>2021-05</c:v>
                </c:pt>
                <c:pt idx="17">
                  <c:v>2021-06</c:v>
                </c:pt>
                <c:pt idx="18">
                  <c:v>2021-07</c:v>
                </c:pt>
                <c:pt idx="19">
                  <c:v>2021-08</c:v>
                </c:pt>
                <c:pt idx="20">
                  <c:v>2021-09</c:v>
                </c:pt>
                <c:pt idx="21">
                  <c:v>2021-10</c:v>
                </c:pt>
                <c:pt idx="22">
                  <c:v>2021-11</c:v>
                </c:pt>
                <c:pt idx="23">
                  <c:v>2021-12</c:v>
                </c:pt>
                <c:pt idx="24">
                  <c:v>2022-01</c:v>
                </c:pt>
                <c:pt idx="25">
                  <c:v>2022-02</c:v>
                </c:pt>
                <c:pt idx="26">
                  <c:v>2022-03</c:v>
                </c:pt>
                <c:pt idx="27">
                  <c:v>2022-04</c:v>
                </c:pt>
                <c:pt idx="28">
                  <c:v>2022-05</c:v>
                </c:pt>
                <c:pt idx="29">
                  <c:v>2022-06</c:v>
                </c:pt>
                <c:pt idx="30">
                  <c:v>2022-07</c:v>
                </c:pt>
                <c:pt idx="31">
                  <c:v>2022-08</c:v>
                </c:pt>
                <c:pt idx="32">
                  <c:v>2022-09</c:v>
                </c:pt>
                <c:pt idx="33">
                  <c:v>2022-10</c:v>
                </c:pt>
                <c:pt idx="34">
                  <c:v>2022-11</c:v>
                </c:pt>
                <c:pt idx="35">
                  <c:v>2022-12</c:v>
                </c:pt>
                <c:pt idx="36">
                  <c:v>2023-01</c:v>
                </c:pt>
                <c:pt idx="37">
                  <c:v>2023-02</c:v>
                </c:pt>
                <c:pt idx="38">
                  <c:v>2023-03</c:v>
                </c:pt>
                <c:pt idx="39">
                  <c:v>2023-04</c:v>
                </c:pt>
                <c:pt idx="40">
                  <c:v>2023-05</c:v>
                </c:pt>
                <c:pt idx="41">
                  <c:v>2023-06</c:v>
                </c:pt>
                <c:pt idx="42">
                  <c:v>2023-07</c:v>
                </c:pt>
                <c:pt idx="43">
                  <c:v>2023-08</c:v>
                </c:pt>
                <c:pt idx="44">
                  <c:v>2023-09</c:v>
                </c:pt>
                <c:pt idx="45">
                  <c:v>2023-10</c:v>
                </c:pt>
                <c:pt idx="46">
                  <c:v>2023-11</c:v>
                </c:pt>
                <c:pt idx="47">
                  <c:v>2023-12</c:v>
                </c:pt>
              </c:strCache>
            </c:strRef>
          </c:cat>
          <c:val>
            <c:numRef>
              <c:f>'Retail Tariff (p 101)'!$D$74:$D$121</c:f>
              <c:numCache>
                <c:formatCode>#,##0.00</c:formatCode>
                <c:ptCount val="48"/>
                <c:pt idx="0">
                  <c:v>483.3</c:v>
                </c:pt>
                <c:pt idx="1">
                  <c:v>483.3</c:v>
                </c:pt>
                <c:pt idx="2">
                  <c:v>483.3</c:v>
                </c:pt>
                <c:pt idx="3">
                  <c:v>486.81</c:v>
                </c:pt>
                <c:pt idx="4">
                  <c:v>486.81</c:v>
                </c:pt>
                <c:pt idx="5">
                  <c:v>486.81</c:v>
                </c:pt>
                <c:pt idx="6">
                  <c:v>498.37</c:v>
                </c:pt>
                <c:pt idx="7">
                  <c:v>498.37</c:v>
                </c:pt>
                <c:pt idx="8">
                  <c:v>498.37</c:v>
                </c:pt>
                <c:pt idx="9">
                  <c:v>534.36</c:v>
                </c:pt>
                <c:pt idx="10">
                  <c:v>534.36</c:v>
                </c:pt>
                <c:pt idx="11">
                  <c:v>534.36</c:v>
                </c:pt>
                <c:pt idx="12">
                  <c:v>552.29999999999995</c:v>
                </c:pt>
                <c:pt idx="13">
                  <c:v>552.29999999999995</c:v>
                </c:pt>
                <c:pt idx="14">
                  <c:v>552.29999999999995</c:v>
                </c:pt>
                <c:pt idx="15">
                  <c:v>551.5</c:v>
                </c:pt>
                <c:pt idx="16">
                  <c:v>551.5</c:v>
                </c:pt>
                <c:pt idx="17">
                  <c:v>551.5</c:v>
                </c:pt>
                <c:pt idx="18">
                  <c:v>648.68299999999999</c:v>
                </c:pt>
                <c:pt idx="19">
                  <c:v>648.68299999999999</c:v>
                </c:pt>
                <c:pt idx="20">
                  <c:v>648.68299999999999</c:v>
                </c:pt>
                <c:pt idx="21">
                  <c:v>648.68299999999999</c:v>
                </c:pt>
                <c:pt idx="22">
                  <c:v>648.68299999999999</c:v>
                </c:pt>
                <c:pt idx="23">
                  <c:v>648.68299999999999</c:v>
                </c:pt>
                <c:pt idx="24">
                  <c:v>1669.1279999999999</c:v>
                </c:pt>
                <c:pt idx="25">
                  <c:v>1669.1279999999999</c:v>
                </c:pt>
                <c:pt idx="26">
                  <c:v>1669.1279999999999</c:v>
                </c:pt>
                <c:pt idx="27">
                  <c:v>2048.2040000000002</c:v>
                </c:pt>
                <c:pt idx="28">
                  <c:v>2048.2040000000002</c:v>
                </c:pt>
                <c:pt idx="29">
                  <c:v>2622.8510000000001</c:v>
                </c:pt>
                <c:pt idx="30">
                  <c:v>2622.8510000000001</c:v>
                </c:pt>
                <c:pt idx="31">
                  <c:v>2622.8510000000001</c:v>
                </c:pt>
                <c:pt idx="32">
                  <c:v>4059.4690000000001</c:v>
                </c:pt>
                <c:pt idx="33">
                  <c:v>4059.4690000000001</c:v>
                </c:pt>
                <c:pt idx="34">
                  <c:v>4059.4690000000001</c:v>
                </c:pt>
                <c:pt idx="35">
                  <c:v>4059.4690000000001</c:v>
                </c:pt>
                <c:pt idx="36">
                  <c:v>3041.1280000000002</c:v>
                </c:pt>
                <c:pt idx="37">
                  <c:v>3041.1280000000002</c:v>
                </c:pt>
                <c:pt idx="38">
                  <c:v>3041.1280000000002</c:v>
                </c:pt>
                <c:pt idx="39">
                  <c:v>2497.6849999999999</c:v>
                </c:pt>
                <c:pt idx="40">
                  <c:v>2497.6849999999999</c:v>
                </c:pt>
                <c:pt idx="41">
                  <c:v>2497.6849999999999</c:v>
                </c:pt>
                <c:pt idx="42">
                  <c:v>2437.9259999999999</c:v>
                </c:pt>
                <c:pt idx="43">
                  <c:v>2437.9259999999999</c:v>
                </c:pt>
                <c:pt idx="44">
                  <c:v>2437.9259999999999</c:v>
                </c:pt>
                <c:pt idx="45">
                  <c:v>3053.8279999999995</c:v>
                </c:pt>
                <c:pt idx="46">
                  <c:v>3053.8279999999995</c:v>
                </c:pt>
                <c:pt idx="47">
                  <c:v>3053.8279999999995</c:v>
                </c:pt>
              </c:numCache>
            </c:numRef>
          </c:val>
          <c:smooth val="1"/>
          <c:extLst>
            <c:ext xmlns:c16="http://schemas.microsoft.com/office/drawing/2014/chart" uri="{C3380CC4-5D6E-409C-BE32-E72D297353CC}">
              <c16:uniqueId val="{00000003-35D1-48B9-88EB-3B54007898C6}"/>
            </c:ext>
          </c:extLst>
        </c:ser>
        <c:ser>
          <c:idx val="3"/>
          <c:order val="3"/>
          <c:tx>
            <c:strRef>
              <c:f>'Retail Tariff (p 101)'!$E$1</c:f>
              <c:strCache>
                <c:ptCount val="1"/>
                <c:pt idx="0">
                  <c:v>Ticarethane Aktif Enerji Bedeli&lt;30 kWh</c:v>
                </c:pt>
              </c:strCache>
            </c:strRef>
          </c:tx>
          <c:spPr>
            <a:ln w="12700" cap="rnd">
              <a:solidFill>
                <a:srgbClr val="FF0000"/>
              </a:solidFill>
              <a:round/>
            </a:ln>
            <a:effectLst/>
          </c:spPr>
          <c:marker>
            <c:symbol val="none"/>
          </c:marker>
          <c:cat>
            <c:strRef>
              <c:f>'Retail Tariff (p 101)'!$A$74:$A$121</c:f>
              <c:strCache>
                <c:ptCount val="48"/>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pt idx="12">
                  <c:v>2021-01</c:v>
                </c:pt>
                <c:pt idx="13">
                  <c:v>2021-02</c:v>
                </c:pt>
                <c:pt idx="14">
                  <c:v>2021-03</c:v>
                </c:pt>
                <c:pt idx="15">
                  <c:v>2021-04</c:v>
                </c:pt>
                <c:pt idx="16">
                  <c:v>2021-05</c:v>
                </c:pt>
                <c:pt idx="17">
                  <c:v>2021-06</c:v>
                </c:pt>
                <c:pt idx="18">
                  <c:v>2021-07</c:v>
                </c:pt>
                <c:pt idx="19">
                  <c:v>2021-08</c:v>
                </c:pt>
                <c:pt idx="20">
                  <c:v>2021-09</c:v>
                </c:pt>
                <c:pt idx="21">
                  <c:v>2021-10</c:v>
                </c:pt>
                <c:pt idx="22">
                  <c:v>2021-11</c:v>
                </c:pt>
                <c:pt idx="23">
                  <c:v>2021-12</c:v>
                </c:pt>
                <c:pt idx="24">
                  <c:v>2022-01</c:v>
                </c:pt>
                <c:pt idx="25">
                  <c:v>2022-02</c:v>
                </c:pt>
                <c:pt idx="26">
                  <c:v>2022-03</c:v>
                </c:pt>
                <c:pt idx="27">
                  <c:v>2022-04</c:v>
                </c:pt>
                <c:pt idx="28">
                  <c:v>2022-05</c:v>
                </c:pt>
                <c:pt idx="29">
                  <c:v>2022-06</c:v>
                </c:pt>
                <c:pt idx="30">
                  <c:v>2022-07</c:v>
                </c:pt>
                <c:pt idx="31">
                  <c:v>2022-08</c:v>
                </c:pt>
                <c:pt idx="32">
                  <c:v>2022-09</c:v>
                </c:pt>
                <c:pt idx="33">
                  <c:v>2022-10</c:v>
                </c:pt>
                <c:pt idx="34">
                  <c:v>2022-11</c:v>
                </c:pt>
                <c:pt idx="35">
                  <c:v>2022-12</c:v>
                </c:pt>
                <c:pt idx="36">
                  <c:v>2023-01</c:v>
                </c:pt>
                <c:pt idx="37">
                  <c:v>2023-02</c:v>
                </c:pt>
                <c:pt idx="38">
                  <c:v>2023-03</c:v>
                </c:pt>
                <c:pt idx="39">
                  <c:v>2023-04</c:v>
                </c:pt>
                <c:pt idx="40">
                  <c:v>2023-05</c:v>
                </c:pt>
                <c:pt idx="41">
                  <c:v>2023-06</c:v>
                </c:pt>
                <c:pt idx="42">
                  <c:v>2023-07</c:v>
                </c:pt>
                <c:pt idx="43">
                  <c:v>2023-08</c:v>
                </c:pt>
                <c:pt idx="44">
                  <c:v>2023-09</c:v>
                </c:pt>
                <c:pt idx="45">
                  <c:v>2023-10</c:v>
                </c:pt>
                <c:pt idx="46">
                  <c:v>2023-11</c:v>
                </c:pt>
                <c:pt idx="47">
                  <c:v>2023-12</c:v>
                </c:pt>
              </c:strCache>
            </c:strRef>
          </c:cat>
          <c:val>
            <c:numRef>
              <c:f>'Retail Tariff (p 101)'!$E$74:$E$121</c:f>
              <c:numCache>
                <c:formatCode>#,##0.00</c:formatCode>
                <c:ptCount val="48"/>
                <c:pt idx="0">
                  <c:v>522.83000000000004</c:v>
                </c:pt>
                <c:pt idx="1">
                  <c:v>522.83000000000004</c:v>
                </c:pt>
                <c:pt idx="2">
                  <c:v>522.83000000000004</c:v>
                </c:pt>
                <c:pt idx="3">
                  <c:v>527.33000000000004</c:v>
                </c:pt>
                <c:pt idx="4">
                  <c:v>527.33000000000004</c:v>
                </c:pt>
                <c:pt idx="5">
                  <c:v>527.33000000000004</c:v>
                </c:pt>
                <c:pt idx="6">
                  <c:v>542.12</c:v>
                </c:pt>
                <c:pt idx="7">
                  <c:v>542.12</c:v>
                </c:pt>
                <c:pt idx="8">
                  <c:v>542.12</c:v>
                </c:pt>
                <c:pt idx="9">
                  <c:v>582.66999999999996</c:v>
                </c:pt>
                <c:pt idx="10">
                  <c:v>582.66999999999996</c:v>
                </c:pt>
                <c:pt idx="11">
                  <c:v>582.66999999999996</c:v>
                </c:pt>
                <c:pt idx="12">
                  <c:v>599.1</c:v>
                </c:pt>
                <c:pt idx="13">
                  <c:v>599.1</c:v>
                </c:pt>
                <c:pt idx="14">
                  <c:v>599.1</c:v>
                </c:pt>
                <c:pt idx="15">
                  <c:v>598.20000000000005</c:v>
                </c:pt>
                <c:pt idx="16">
                  <c:v>598.20000000000005</c:v>
                </c:pt>
                <c:pt idx="17">
                  <c:v>598.20000000000005</c:v>
                </c:pt>
                <c:pt idx="18">
                  <c:v>706.34699999999998</c:v>
                </c:pt>
                <c:pt idx="19">
                  <c:v>706.34699999999998</c:v>
                </c:pt>
                <c:pt idx="20">
                  <c:v>706.34699999999998</c:v>
                </c:pt>
                <c:pt idx="21">
                  <c:v>706.34699999999998</c:v>
                </c:pt>
                <c:pt idx="22">
                  <c:v>706.34699999999998</c:v>
                </c:pt>
                <c:pt idx="23">
                  <c:v>706.34699999999998</c:v>
                </c:pt>
                <c:pt idx="24">
                  <c:v>1890.181</c:v>
                </c:pt>
                <c:pt idx="25">
                  <c:v>1890.181</c:v>
                </c:pt>
                <c:pt idx="26">
                  <c:v>1337.425</c:v>
                </c:pt>
                <c:pt idx="27">
                  <c:v>1331.8710000000001</c:v>
                </c:pt>
                <c:pt idx="28">
                  <c:v>1331.8710000000001</c:v>
                </c:pt>
                <c:pt idx="29">
                  <c:v>1746.4380000000001</c:v>
                </c:pt>
                <c:pt idx="30">
                  <c:v>1746.4380000000001</c:v>
                </c:pt>
                <c:pt idx="31">
                  <c:v>1746.4380000000001</c:v>
                </c:pt>
                <c:pt idx="32">
                  <c:v>2368.288</c:v>
                </c:pt>
                <c:pt idx="33">
                  <c:v>2368.288</c:v>
                </c:pt>
                <c:pt idx="34">
                  <c:v>2368.288</c:v>
                </c:pt>
                <c:pt idx="35">
                  <c:v>2368.288</c:v>
                </c:pt>
                <c:pt idx="36">
                  <c:v>1936.229</c:v>
                </c:pt>
                <c:pt idx="37">
                  <c:v>1936.229</c:v>
                </c:pt>
                <c:pt idx="38">
                  <c:v>1936.229</c:v>
                </c:pt>
                <c:pt idx="39">
                  <c:v>1532.0259999999998</c:v>
                </c:pt>
                <c:pt idx="40">
                  <c:v>1532.0259999999998</c:v>
                </c:pt>
                <c:pt idx="41">
                  <c:v>1532.0259999999998</c:v>
                </c:pt>
                <c:pt idx="42">
                  <c:v>1454.1239999999998</c:v>
                </c:pt>
                <c:pt idx="43">
                  <c:v>1454.1239999999998</c:v>
                </c:pt>
                <c:pt idx="44">
                  <c:v>1454.1239999999998</c:v>
                </c:pt>
                <c:pt idx="45">
                  <c:v>1912.22</c:v>
                </c:pt>
                <c:pt idx="46">
                  <c:v>1912.22</c:v>
                </c:pt>
                <c:pt idx="47">
                  <c:v>1912.22</c:v>
                </c:pt>
              </c:numCache>
            </c:numRef>
          </c:val>
          <c:smooth val="1"/>
          <c:extLst>
            <c:ext xmlns:c16="http://schemas.microsoft.com/office/drawing/2014/chart" uri="{C3380CC4-5D6E-409C-BE32-E72D297353CC}">
              <c16:uniqueId val="{00000004-35D1-48B9-88EB-3B54007898C6}"/>
            </c:ext>
          </c:extLst>
        </c:ser>
        <c:ser>
          <c:idx val="4"/>
          <c:order val="4"/>
          <c:tx>
            <c:strRef>
              <c:f>'Retail Tariff (p 101)'!$F$1</c:f>
              <c:strCache>
                <c:ptCount val="1"/>
                <c:pt idx="0">
                  <c:v>Ticarethane Aktif Enerji Bedeli&gt;30 kWh</c:v>
                </c:pt>
              </c:strCache>
            </c:strRef>
          </c:tx>
          <c:spPr>
            <a:ln w="12700" cap="rnd">
              <a:solidFill>
                <a:srgbClr val="FF0000"/>
              </a:solidFill>
              <a:prstDash val="dash"/>
              <a:round/>
            </a:ln>
            <a:effectLst/>
          </c:spPr>
          <c:marker>
            <c:symbol val="none"/>
          </c:marker>
          <c:cat>
            <c:strRef>
              <c:f>'Retail Tariff (p 101)'!$A$74:$A$121</c:f>
              <c:strCache>
                <c:ptCount val="48"/>
                <c:pt idx="0">
                  <c:v>2020-01</c:v>
                </c:pt>
                <c:pt idx="1">
                  <c:v>2020-02</c:v>
                </c:pt>
                <c:pt idx="2">
                  <c:v>2020-03</c:v>
                </c:pt>
                <c:pt idx="3">
                  <c:v>2020-04</c:v>
                </c:pt>
                <c:pt idx="4">
                  <c:v>2020-05</c:v>
                </c:pt>
                <c:pt idx="5">
                  <c:v>2020-06</c:v>
                </c:pt>
                <c:pt idx="6">
                  <c:v>2020-07</c:v>
                </c:pt>
                <c:pt idx="7">
                  <c:v>2020-08</c:v>
                </c:pt>
                <c:pt idx="8">
                  <c:v>2020-09</c:v>
                </c:pt>
                <c:pt idx="9">
                  <c:v>2020-10</c:v>
                </c:pt>
                <c:pt idx="10">
                  <c:v>2020-11</c:v>
                </c:pt>
                <c:pt idx="11">
                  <c:v>2020-12</c:v>
                </c:pt>
                <c:pt idx="12">
                  <c:v>2021-01</c:v>
                </c:pt>
                <c:pt idx="13">
                  <c:v>2021-02</c:v>
                </c:pt>
                <c:pt idx="14">
                  <c:v>2021-03</c:v>
                </c:pt>
                <c:pt idx="15">
                  <c:v>2021-04</c:v>
                </c:pt>
                <c:pt idx="16">
                  <c:v>2021-05</c:v>
                </c:pt>
                <c:pt idx="17">
                  <c:v>2021-06</c:v>
                </c:pt>
                <c:pt idx="18">
                  <c:v>2021-07</c:v>
                </c:pt>
                <c:pt idx="19">
                  <c:v>2021-08</c:v>
                </c:pt>
                <c:pt idx="20">
                  <c:v>2021-09</c:v>
                </c:pt>
                <c:pt idx="21">
                  <c:v>2021-10</c:v>
                </c:pt>
                <c:pt idx="22">
                  <c:v>2021-11</c:v>
                </c:pt>
                <c:pt idx="23">
                  <c:v>2021-12</c:v>
                </c:pt>
                <c:pt idx="24">
                  <c:v>2022-01</c:v>
                </c:pt>
                <c:pt idx="25">
                  <c:v>2022-02</c:v>
                </c:pt>
                <c:pt idx="26">
                  <c:v>2022-03</c:v>
                </c:pt>
                <c:pt idx="27">
                  <c:v>2022-04</c:v>
                </c:pt>
                <c:pt idx="28">
                  <c:v>2022-05</c:v>
                </c:pt>
                <c:pt idx="29">
                  <c:v>2022-06</c:v>
                </c:pt>
                <c:pt idx="30">
                  <c:v>2022-07</c:v>
                </c:pt>
                <c:pt idx="31">
                  <c:v>2022-08</c:v>
                </c:pt>
                <c:pt idx="32">
                  <c:v>2022-09</c:v>
                </c:pt>
                <c:pt idx="33">
                  <c:v>2022-10</c:v>
                </c:pt>
                <c:pt idx="34">
                  <c:v>2022-11</c:v>
                </c:pt>
                <c:pt idx="35">
                  <c:v>2022-12</c:v>
                </c:pt>
                <c:pt idx="36">
                  <c:v>2023-01</c:v>
                </c:pt>
                <c:pt idx="37">
                  <c:v>2023-02</c:v>
                </c:pt>
                <c:pt idx="38">
                  <c:v>2023-03</c:v>
                </c:pt>
                <c:pt idx="39">
                  <c:v>2023-04</c:v>
                </c:pt>
                <c:pt idx="40">
                  <c:v>2023-05</c:v>
                </c:pt>
                <c:pt idx="41">
                  <c:v>2023-06</c:v>
                </c:pt>
                <c:pt idx="42">
                  <c:v>2023-07</c:v>
                </c:pt>
                <c:pt idx="43">
                  <c:v>2023-08</c:v>
                </c:pt>
                <c:pt idx="44">
                  <c:v>2023-09</c:v>
                </c:pt>
                <c:pt idx="45">
                  <c:v>2023-10</c:v>
                </c:pt>
                <c:pt idx="46">
                  <c:v>2023-11</c:v>
                </c:pt>
                <c:pt idx="47">
                  <c:v>2023-12</c:v>
                </c:pt>
              </c:strCache>
            </c:strRef>
          </c:cat>
          <c:val>
            <c:numRef>
              <c:f>'Retail Tariff (p 101)'!$F$74:$F$121</c:f>
              <c:numCache>
                <c:formatCode>#,##0.00</c:formatCode>
                <c:ptCount val="48"/>
                <c:pt idx="0">
                  <c:v>522.83000000000004</c:v>
                </c:pt>
                <c:pt idx="1">
                  <c:v>522.83000000000004</c:v>
                </c:pt>
                <c:pt idx="2">
                  <c:v>522.83000000000004</c:v>
                </c:pt>
                <c:pt idx="3">
                  <c:v>527.33000000000004</c:v>
                </c:pt>
                <c:pt idx="4">
                  <c:v>527.33000000000004</c:v>
                </c:pt>
                <c:pt idx="5">
                  <c:v>527.33000000000004</c:v>
                </c:pt>
                <c:pt idx="6">
                  <c:v>542.12</c:v>
                </c:pt>
                <c:pt idx="7">
                  <c:v>542.12</c:v>
                </c:pt>
                <c:pt idx="8">
                  <c:v>542.12</c:v>
                </c:pt>
                <c:pt idx="9">
                  <c:v>582.66999999999996</c:v>
                </c:pt>
                <c:pt idx="10">
                  <c:v>582.66999999999996</c:v>
                </c:pt>
                <c:pt idx="11">
                  <c:v>582.66999999999996</c:v>
                </c:pt>
                <c:pt idx="12">
                  <c:v>599.1</c:v>
                </c:pt>
                <c:pt idx="13">
                  <c:v>599.1</c:v>
                </c:pt>
                <c:pt idx="14">
                  <c:v>599.1</c:v>
                </c:pt>
                <c:pt idx="15">
                  <c:v>598.20000000000005</c:v>
                </c:pt>
                <c:pt idx="16">
                  <c:v>598.20000000000005</c:v>
                </c:pt>
                <c:pt idx="17">
                  <c:v>598.20000000000005</c:v>
                </c:pt>
                <c:pt idx="18">
                  <c:v>706.34699999999998</c:v>
                </c:pt>
                <c:pt idx="19">
                  <c:v>706.34699999999998</c:v>
                </c:pt>
                <c:pt idx="20">
                  <c:v>706.34699999999998</c:v>
                </c:pt>
                <c:pt idx="21">
                  <c:v>706.34699999999998</c:v>
                </c:pt>
                <c:pt idx="22">
                  <c:v>706.34699999999998</c:v>
                </c:pt>
                <c:pt idx="23">
                  <c:v>706.34699999999998</c:v>
                </c:pt>
                <c:pt idx="24">
                  <c:v>1890.181</c:v>
                </c:pt>
                <c:pt idx="25">
                  <c:v>1890.181</c:v>
                </c:pt>
                <c:pt idx="26">
                  <c:v>1890.181</c:v>
                </c:pt>
                <c:pt idx="27">
                  <c:v>1884.627</c:v>
                </c:pt>
                <c:pt idx="28">
                  <c:v>1884.627</c:v>
                </c:pt>
                <c:pt idx="29">
                  <c:v>2437.3829999999998</c:v>
                </c:pt>
                <c:pt idx="30">
                  <c:v>2437.3830000000003</c:v>
                </c:pt>
                <c:pt idx="31">
                  <c:v>2437.3830000000003</c:v>
                </c:pt>
                <c:pt idx="32">
                  <c:v>3266.5169999999998</c:v>
                </c:pt>
                <c:pt idx="33">
                  <c:v>3266.5169999999998</c:v>
                </c:pt>
                <c:pt idx="34">
                  <c:v>3266.5169999999998</c:v>
                </c:pt>
                <c:pt idx="35">
                  <c:v>3266.5169999999998</c:v>
                </c:pt>
                <c:pt idx="36">
                  <c:v>2834.4580000000001</c:v>
                </c:pt>
                <c:pt idx="37">
                  <c:v>2834.4580000000001</c:v>
                </c:pt>
                <c:pt idx="38">
                  <c:v>2834.4580000000001</c:v>
                </c:pt>
                <c:pt idx="39">
                  <c:v>2295.5209999999997</c:v>
                </c:pt>
                <c:pt idx="40">
                  <c:v>2295.5209999999997</c:v>
                </c:pt>
                <c:pt idx="41">
                  <c:v>2295.5209999999997</c:v>
                </c:pt>
                <c:pt idx="42">
                  <c:v>2217.6190000000001</c:v>
                </c:pt>
                <c:pt idx="43">
                  <c:v>2217.6190000000001</c:v>
                </c:pt>
                <c:pt idx="44">
                  <c:v>2217.6190000000001</c:v>
                </c:pt>
                <c:pt idx="45">
                  <c:v>2828.4140000000002</c:v>
                </c:pt>
                <c:pt idx="46">
                  <c:v>2828.4140000000002</c:v>
                </c:pt>
                <c:pt idx="47">
                  <c:v>2828.4140000000002</c:v>
                </c:pt>
              </c:numCache>
            </c:numRef>
          </c:val>
          <c:smooth val="1"/>
          <c:extLst>
            <c:ext xmlns:c16="http://schemas.microsoft.com/office/drawing/2014/chart" uri="{C3380CC4-5D6E-409C-BE32-E72D297353CC}">
              <c16:uniqueId val="{00000005-35D1-48B9-88EB-3B54007898C6}"/>
            </c:ext>
          </c:extLst>
        </c:ser>
        <c:dLbls>
          <c:showLegendKey val="0"/>
          <c:showVal val="0"/>
          <c:showCatName val="0"/>
          <c:showSerName val="0"/>
          <c:showPercent val="0"/>
          <c:showBubbleSize val="0"/>
        </c:dLbls>
        <c:marker val="1"/>
        <c:smooth val="0"/>
        <c:axId val="1603129375"/>
        <c:axId val="518267088"/>
      </c:lineChart>
      <c:catAx>
        <c:axId val="1603129375"/>
        <c:scaling>
          <c:orientation val="minMax"/>
        </c:scaling>
        <c:delete val="0"/>
        <c:axPos val="b"/>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Lato" panose="020F0502020204030203" pitchFamily="34" charset="0"/>
                <a:cs typeface="Calibri" panose="020F0502020204030204" pitchFamily="34" charset="0"/>
              </a:defRPr>
            </a:pPr>
            <a:endParaRPr lang="en-US"/>
          </a:p>
        </c:txPr>
        <c:crossAx val="518267088"/>
        <c:crosses val="autoZero"/>
        <c:auto val="1"/>
        <c:lblAlgn val="ctr"/>
        <c:lblOffset val="100"/>
        <c:noMultiLvlLbl val="0"/>
      </c:catAx>
      <c:valAx>
        <c:axId val="5182670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Lato" panose="020F0502020204030203" pitchFamily="34" charset="0"/>
                    <a:cs typeface="Calibri" panose="020F0502020204030204" pitchFamily="34" charset="0"/>
                  </a:defRPr>
                </a:pPr>
                <a:r>
                  <a:rPr lang="en-US" sz="1000" b="1"/>
                  <a:t>TL/MWh</a:t>
                </a:r>
              </a:p>
            </c:rich>
          </c:tx>
          <c:layout>
            <c:manualLayout>
              <c:xMode val="edge"/>
              <c:yMode val="edge"/>
              <c:x val="5.738583640839864E-3"/>
              <c:y val="0.2440178346554167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Lato" panose="020F0502020204030203" pitchFamily="34" charset="0"/>
                  <a:cs typeface="Calibri" panose="020F0502020204030204" pitchFamily="34" charset="0"/>
                </a:defRPr>
              </a:pPr>
              <a:endParaRPr lang="en-US"/>
            </a:p>
          </c:txPr>
        </c:title>
        <c:numFmt formatCode="#,##0" sourceLinked="0"/>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Lato" panose="020F0502020204030203" pitchFamily="34" charset="0"/>
                <a:cs typeface="Calibri" panose="020F0502020204030204" pitchFamily="34" charset="0"/>
              </a:defRPr>
            </a:pPr>
            <a:endParaRPr lang="en-US"/>
          </a:p>
        </c:txPr>
        <c:crossAx val="1603129375"/>
        <c:crosses val="autoZero"/>
        <c:crossBetween val="between"/>
        <c:majorUnit val="1000"/>
      </c:valAx>
      <c:spPr>
        <a:noFill/>
        <a:ln>
          <a:noFill/>
        </a:ln>
        <a:effectLst/>
      </c:spPr>
    </c:plotArea>
    <c:legend>
      <c:legendPos val="b"/>
      <c:layout>
        <c:manualLayout>
          <c:xMode val="edge"/>
          <c:yMode val="edge"/>
          <c:x val="0"/>
          <c:y val="0.82095998176618712"/>
          <c:w val="1"/>
          <c:h val="0.1298240365815874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Lato" panose="020F0502020204030203"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mn-lt"/>
          <a:ea typeface="Lato" panose="020F0502020204030203" pitchFamily="34" charset="0"/>
          <a:cs typeface="Calibri" panose="020F0502020204030204" pitchFamily="34" charset="0"/>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Sheet3!$C$1</c:f>
              <c:strCache>
                <c:ptCount val="1"/>
                <c:pt idx="0">
                  <c:v>PTF </c:v>
                </c:pt>
              </c:strCache>
            </c:strRef>
          </c:tx>
          <c:spPr>
            <a:solidFill>
              <a:schemeClr val="accent1"/>
            </a:solidFill>
            <a:ln>
              <a:noFill/>
            </a:ln>
            <a:effectLst/>
          </c:spPr>
          <c:invertIfNegative val="0"/>
          <c:cat>
            <c:multiLvlStrRef>
              <c:f>Sheet3!$A$2:$B$73</c:f>
              <c:multiLvlStrCache>
                <c:ptCount val="72"/>
                <c:lvl>
                  <c:pt idx="0">
                    <c:v>2022-04</c:v>
                  </c:pt>
                  <c:pt idx="1">
                    <c:v>2022-05</c:v>
                  </c:pt>
                  <c:pt idx="2">
                    <c:v>2022-06</c:v>
                  </c:pt>
                  <c:pt idx="3">
                    <c:v>2022-07</c:v>
                  </c:pt>
                  <c:pt idx="4">
                    <c:v>2022-08</c:v>
                  </c:pt>
                  <c:pt idx="5">
                    <c:v>2022-09</c:v>
                  </c:pt>
                  <c:pt idx="6">
                    <c:v>2022-10</c:v>
                  </c:pt>
                  <c:pt idx="7">
                    <c:v>2022-11</c:v>
                  </c:pt>
                  <c:pt idx="8">
                    <c:v>2022-12</c:v>
                  </c:pt>
                  <c:pt idx="9">
                    <c:v>2023-01</c:v>
                  </c:pt>
                  <c:pt idx="10">
                    <c:v>2023-02</c:v>
                  </c:pt>
                  <c:pt idx="11">
                    <c:v>2023-03</c:v>
                  </c:pt>
                  <c:pt idx="12">
                    <c:v>2023-04</c:v>
                  </c:pt>
                  <c:pt idx="13">
                    <c:v>2023-05</c:v>
                  </c:pt>
                  <c:pt idx="14">
                    <c:v>2023-06</c:v>
                  </c:pt>
                  <c:pt idx="15">
                    <c:v>2023-07</c:v>
                  </c:pt>
                  <c:pt idx="16">
                    <c:v>2023-08</c:v>
                  </c:pt>
                  <c:pt idx="17">
                    <c:v>2023-09</c:v>
                  </c:pt>
                  <c:pt idx="18">
                    <c:v>2022-04</c:v>
                  </c:pt>
                  <c:pt idx="19">
                    <c:v>2022-05</c:v>
                  </c:pt>
                  <c:pt idx="20">
                    <c:v>2022-06</c:v>
                  </c:pt>
                  <c:pt idx="21">
                    <c:v>2022-07</c:v>
                  </c:pt>
                  <c:pt idx="22">
                    <c:v>2022-08</c:v>
                  </c:pt>
                  <c:pt idx="23">
                    <c:v>2022-09</c:v>
                  </c:pt>
                  <c:pt idx="24">
                    <c:v>2022-10</c:v>
                  </c:pt>
                  <c:pt idx="25">
                    <c:v>2022-11</c:v>
                  </c:pt>
                  <c:pt idx="26">
                    <c:v>2022-12</c:v>
                  </c:pt>
                  <c:pt idx="27">
                    <c:v>2023-01</c:v>
                  </c:pt>
                  <c:pt idx="28">
                    <c:v>2023-02</c:v>
                  </c:pt>
                  <c:pt idx="29">
                    <c:v>2023-03</c:v>
                  </c:pt>
                  <c:pt idx="30">
                    <c:v>2023-04</c:v>
                  </c:pt>
                  <c:pt idx="31">
                    <c:v>2023-05</c:v>
                  </c:pt>
                  <c:pt idx="32">
                    <c:v>2023-06</c:v>
                  </c:pt>
                  <c:pt idx="33">
                    <c:v>2023-07</c:v>
                  </c:pt>
                  <c:pt idx="34">
                    <c:v>2023-08</c:v>
                  </c:pt>
                  <c:pt idx="35">
                    <c:v>2023-09</c:v>
                  </c:pt>
                  <c:pt idx="36">
                    <c:v>2022-04</c:v>
                  </c:pt>
                  <c:pt idx="37">
                    <c:v>2022-05</c:v>
                  </c:pt>
                  <c:pt idx="38">
                    <c:v>2022-06</c:v>
                  </c:pt>
                  <c:pt idx="39">
                    <c:v>2022-07</c:v>
                  </c:pt>
                  <c:pt idx="40">
                    <c:v>2022-08</c:v>
                  </c:pt>
                  <c:pt idx="41">
                    <c:v>2022-09</c:v>
                  </c:pt>
                  <c:pt idx="42">
                    <c:v>2022-10</c:v>
                  </c:pt>
                  <c:pt idx="43">
                    <c:v>2022-11</c:v>
                  </c:pt>
                  <c:pt idx="44">
                    <c:v>2022-12</c:v>
                  </c:pt>
                  <c:pt idx="45">
                    <c:v>2023-01</c:v>
                  </c:pt>
                  <c:pt idx="46">
                    <c:v>2023-02</c:v>
                  </c:pt>
                  <c:pt idx="47">
                    <c:v>2023-03</c:v>
                  </c:pt>
                  <c:pt idx="48">
                    <c:v>2023-04</c:v>
                  </c:pt>
                  <c:pt idx="49">
                    <c:v>2023-05</c:v>
                  </c:pt>
                  <c:pt idx="50">
                    <c:v>2023-06</c:v>
                  </c:pt>
                  <c:pt idx="51">
                    <c:v>2023-07</c:v>
                  </c:pt>
                  <c:pt idx="52">
                    <c:v>2023-08</c:v>
                  </c:pt>
                  <c:pt idx="53">
                    <c:v>2023-09</c:v>
                  </c:pt>
                  <c:pt idx="54">
                    <c:v>2022-04</c:v>
                  </c:pt>
                  <c:pt idx="55">
                    <c:v>2022-05</c:v>
                  </c:pt>
                  <c:pt idx="56">
                    <c:v>2022-06</c:v>
                  </c:pt>
                  <c:pt idx="57">
                    <c:v>2022-07</c:v>
                  </c:pt>
                  <c:pt idx="58">
                    <c:v>2022-08</c:v>
                  </c:pt>
                  <c:pt idx="59">
                    <c:v>2022-09</c:v>
                  </c:pt>
                  <c:pt idx="60">
                    <c:v>2022-10</c:v>
                  </c:pt>
                  <c:pt idx="61">
                    <c:v>2022-11</c:v>
                  </c:pt>
                  <c:pt idx="62">
                    <c:v>2022-12</c:v>
                  </c:pt>
                  <c:pt idx="63">
                    <c:v>2023-01</c:v>
                  </c:pt>
                  <c:pt idx="64">
                    <c:v>2023-02</c:v>
                  </c:pt>
                  <c:pt idx="65">
                    <c:v>2023-03</c:v>
                  </c:pt>
                  <c:pt idx="66">
                    <c:v>2023-04</c:v>
                  </c:pt>
                  <c:pt idx="67">
                    <c:v>2023-05</c:v>
                  </c:pt>
                  <c:pt idx="68">
                    <c:v>2023-06</c:v>
                  </c:pt>
                  <c:pt idx="69">
                    <c:v>2023-07</c:v>
                  </c:pt>
                  <c:pt idx="70">
                    <c:v>2023-08</c:v>
                  </c:pt>
                  <c:pt idx="71">
                    <c:v>2023-09</c:v>
                  </c:pt>
                </c:lvl>
                <c:lvl>
                  <c:pt idx="0">
                    <c:v>Doğal Gaz Santralleri</c:v>
                  </c:pt>
                  <c:pt idx="18">
                    <c:v>İthal Kömür Santralleri</c:v>
                  </c:pt>
                  <c:pt idx="36">
                    <c:v>Yerli Kömür Santralleri</c:v>
                  </c:pt>
                  <c:pt idx="54">
                    <c:v>Yenilenebilir Enerji Santralleri</c:v>
                  </c:pt>
                </c:lvl>
              </c:multiLvlStrCache>
            </c:multiLvlStrRef>
          </c:cat>
          <c:val>
            <c:numRef>
              <c:f>Sheet3!$C$2:$C$73</c:f>
              <c:numCache>
                <c:formatCode>General</c:formatCode>
                <c:ptCount val="72"/>
                <c:pt idx="0">
                  <c:v>1830.5545416666657</c:v>
                </c:pt>
                <c:pt idx="1">
                  <c:v>1763.0304032258043</c:v>
                </c:pt>
                <c:pt idx="2">
                  <c:v>2340.1349861111112</c:v>
                </c:pt>
                <c:pt idx="3">
                  <c:v>2330.3695295698908</c:v>
                </c:pt>
                <c:pt idx="4">
                  <c:v>3066.5470161290327</c:v>
                </c:pt>
                <c:pt idx="5">
                  <c:v>3850.5920555555545</c:v>
                </c:pt>
                <c:pt idx="6">
                  <c:v>3470.0193010752655</c:v>
                </c:pt>
                <c:pt idx="7">
                  <c:v>3438.3141666666656</c:v>
                </c:pt>
                <c:pt idx="8">
                  <c:v>3724.4127822580626</c:v>
                </c:pt>
                <c:pt idx="9">
                  <c:v>3431.4889516128987</c:v>
                </c:pt>
                <c:pt idx="10">
                  <c:v>2802.7073065476193</c:v>
                </c:pt>
                <c:pt idx="11">
                  <c:v>2126.2193413978457</c:v>
                </c:pt>
                <c:pt idx="12">
                  <c:v>1770.81970833333</c:v>
                </c:pt>
                <c:pt idx="13">
                  <c:v>1907.2773118279556</c:v>
                </c:pt>
                <c:pt idx="14">
                  <c:v>1623.9168611111093</c:v>
                </c:pt>
                <c:pt idx="15">
                  <c:v>1977.399408602148</c:v>
                </c:pt>
                <c:pt idx="16">
                  <c:v>2251.0056451612882</c:v>
                </c:pt>
                <c:pt idx="17">
                  <c:v>2006.8421111111086</c:v>
                </c:pt>
                <c:pt idx="18">
                  <c:v>1830.5545416666657</c:v>
                </c:pt>
                <c:pt idx="19">
                  <c:v>1763.0304032258043</c:v>
                </c:pt>
                <c:pt idx="20">
                  <c:v>2340.1349861111112</c:v>
                </c:pt>
                <c:pt idx="21">
                  <c:v>2330.3695295698908</c:v>
                </c:pt>
                <c:pt idx="22">
                  <c:v>3066.5470161290327</c:v>
                </c:pt>
                <c:pt idx="23">
                  <c:v>3850.5920555555545</c:v>
                </c:pt>
                <c:pt idx="24">
                  <c:v>3470.0193010752655</c:v>
                </c:pt>
                <c:pt idx="25">
                  <c:v>3438.3141666666656</c:v>
                </c:pt>
                <c:pt idx="26">
                  <c:v>3724.4127822580626</c:v>
                </c:pt>
                <c:pt idx="27">
                  <c:v>3431.4889516128987</c:v>
                </c:pt>
                <c:pt idx="28">
                  <c:v>2802.7073065476193</c:v>
                </c:pt>
                <c:pt idx="29">
                  <c:v>2126.2193413978457</c:v>
                </c:pt>
                <c:pt idx="30">
                  <c:v>1770.81970833333</c:v>
                </c:pt>
                <c:pt idx="31">
                  <c:v>1907.2773118279556</c:v>
                </c:pt>
                <c:pt idx="32">
                  <c:v>1623.9168611111093</c:v>
                </c:pt>
                <c:pt idx="33">
                  <c:v>1977.399408602148</c:v>
                </c:pt>
                <c:pt idx="34">
                  <c:v>2251.0056451612882</c:v>
                </c:pt>
                <c:pt idx="35">
                  <c:v>2006.8421111111086</c:v>
                </c:pt>
                <c:pt idx="36">
                  <c:v>1830.5545416666657</c:v>
                </c:pt>
                <c:pt idx="37">
                  <c:v>1763.0304032258043</c:v>
                </c:pt>
                <c:pt idx="38">
                  <c:v>2340.1349861111112</c:v>
                </c:pt>
                <c:pt idx="39">
                  <c:v>2330.3695295698908</c:v>
                </c:pt>
                <c:pt idx="40">
                  <c:v>3066.5470161290327</c:v>
                </c:pt>
                <c:pt idx="41">
                  <c:v>3850.5920555555545</c:v>
                </c:pt>
                <c:pt idx="42">
                  <c:v>3470.0193010752655</c:v>
                </c:pt>
                <c:pt idx="43">
                  <c:v>3438.3141666666656</c:v>
                </c:pt>
                <c:pt idx="44">
                  <c:v>3724.4127822580626</c:v>
                </c:pt>
                <c:pt idx="45">
                  <c:v>3431.4889516128987</c:v>
                </c:pt>
                <c:pt idx="46">
                  <c:v>2802.7073065476193</c:v>
                </c:pt>
                <c:pt idx="47">
                  <c:v>2126.2193413978457</c:v>
                </c:pt>
                <c:pt idx="48">
                  <c:v>1770.81970833333</c:v>
                </c:pt>
                <c:pt idx="49">
                  <c:v>1907.2773118279556</c:v>
                </c:pt>
                <c:pt idx="50">
                  <c:v>1623.9168611111093</c:v>
                </c:pt>
                <c:pt idx="51">
                  <c:v>1977.399408602148</c:v>
                </c:pt>
                <c:pt idx="52">
                  <c:v>2251.0056451612882</c:v>
                </c:pt>
                <c:pt idx="53">
                  <c:v>2006.8421111111086</c:v>
                </c:pt>
                <c:pt idx="54">
                  <c:v>1830.5545416666657</c:v>
                </c:pt>
                <c:pt idx="55">
                  <c:v>1763.0304032258043</c:v>
                </c:pt>
                <c:pt idx="56">
                  <c:v>2340.1349861111112</c:v>
                </c:pt>
                <c:pt idx="57">
                  <c:v>2330.3695295698908</c:v>
                </c:pt>
                <c:pt idx="58">
                  <c:v>3066.5470161290327</c:v>
                </c:pt>
                <c:pt idx="59">
                  <c:v>3850.5920555555545</c:v>
                </c:pt>
                <c:pt idx="60">
                  <c:v>3470.0193010752655</c:v>
                </c:pt>
                <c:pt idx="61">
                  <c:v>3438.3141666666656</c:v>
                </c:pt>
                <c:pt idx="62">
                  <c:v>3724.4127822580626</c:v>
                </c:pt>
                <c:pt idx="63">
                  <c:v>3431.4889516128987</c:v>
                </c:pt>
                <c:pt idx="64">
                  <c:v>2802.7073065476193</c:v>
                </c:pt>
                <c:pt idx="65">
                  <c:v>2126.2193413978457</c:v>
                </c:pt>
                <c:pt idx="66">
                  <c:v>1770.81970833333</c:v>
                </c:pt>
                <c:pt idx="67">
                  <c:v>1907.2773118279556</c:v>
                </c:pt>
                <c:pt idx="68">
                  <c:v>1623.9168611111093</c:v>
                </c:pt>
                <c:pt idx="69">
                  <c:v>1977.399408602148</c:v>
                </c:pt>
                <c:pt idx="70">
                  <c:v>2251.0056451612882</c:v>
                </c:pt>
                <c:pt idx="71">
                  <c:v>2006.8421111111086</c:v>
                </c:pt>
              </c:numCache>
            </c:numRef>
          </c:val>
          <c:extLst>
            <c:ext xmlns:c16="http://schemas.microsoft.com/office/drawing/2014/chart" uri="{C3380CC4-5D6E-409C-BE32-E72D297353CC}">
              <c16:uniqueId val="{00000000-32E8-4854-8EB3-EB6455BCE083}"/>
            </c:ext>
          </c:extLst>
        </c:ser>
        <c:ser>
          <c:idx val="2"/>
          <c:order val="2"/>
          <c:tx>
            <c:strRef>
              <c:f>Sheet3!$E$1</c:f>
              <c:strCache>
                <c:ptCount val="1"/>
                <c:pt idx="0">
                  <c:v>AUF ile Kısıtlanmış PTF</c:v>
                </c:pt>
              </c:strCache>
            </c:strRef>
          </c:tx>
          <c:spPr>
            <a:solidFill>
              <a:schemeClr val="accent3"/>
            </a:solidFill>
            <a:ln>
              <a:noFill/>
            </a:ln>
            <a:effectLst/>
          </c:spPr>
          <c:invertIfNegative val="0"/>
          <c:cat>
            <c:multiLvlStrRef>
              <c:f>Sheet3!$A$2:$B$73</c:f>
              <c:multiLvlStrCache>
                <c:ptCount val="72"/>
                <c:lvl>
                  <c:pt idx="0">
                    <c:v>2022-04</c:v>
                  </c:pt>
                  <c:pt idx="1">
                    <c:v>2022-05</c:v>
                  </c:pt>
                  <c:pt idx="2">
                    <c:v>2022-06</c:v>
                  </c:pt>
                  <c:pt idx="3">
                    <c:v>2022-07</c:v>
                  </c:pt>
                  <c:pt idx="4">
                    <c:v>2022-08</c:v>
                  </c:pt>
                  <c:pt idx="5">
                    <c:v>2022-09</c:v>
                  </c:pt>
                  <c:pt idx="6">
                    <c:v>2022-10</c:v>
                  </c:pt>
                  <c:pt idx="7">
                    <c:v>2022-11</c:v>
                  </c:pt>
                  <c:pt idx="8">
                    <c:v>2022-12</c:v>
                  </c:pt>
                  <c:pt idx="9">
                    <c:v>2023-01</c:v>
                  </c:pt>
                  <c:pt idx="10">
                    <c:v>2023-02</c:v>
                  </c:pt>
                  <c:pt idx="11">
                    <c:v>2023-03</c:v>
                  </c:pt>
                  <c:pt idx="12">
                    <c:v>2023-04</c:v>
                  </c:pt>
                  <c:pt idx="13">
                    <c:v>2023-05</c:v>
                  </c:pt>
                  <c:pt idx="14">
                    <c:v>2023-06</c:v>
                  </c:pt>
                  <c:pt idx="15">
                    <c:v>2023-07</c:v>
                  </c:pt>
                  <c:pt idx="16">
                    <c:v>2023-08</c:v>
                  </c:pt>
                  <c:pt idx="17">
                    <c:v>2023-09</c:v>
                  </c:pt>
                  <c:pt idx="18">
                    <c:v>2022-04</c:v>
                  </c:pt>
                  <c:pt idx="19">
                    <c:v>2022-05</c:v>
                  </c:pt>
                  <c:pt idx="20">
                    <c:v>2022-06</c:v>
                  </c:pt>
                  <c:pt idx="21">
                    <c:v>2022-07</c:v>
                  </c:pt>
                  <c:pt idx="22">
                    <c:v>2022-08</c:v>
                  </c:pt>
                  <c:pt idx="23">
                    <c:v>2022-09</c:v>
                  </c:pt>
                  <c:pt idx="24">
                    <c:v>2022-10</c:v>
                  </c:pt>
                  <c:pt idx="25">
                    <c:v>2022-11</c:v>
                  </c:pt>
                  <c:pt idx="26">
                    <c:v>2022-12</c:v>
                  </c:pt>
                  <c:pt idx="27">
                    <c:v>2023-01</c:v>
                  </c:pt>
                  <c:pt idx="28">
                    <c:v>2023-02</c:v>
                  </c:pt>
                  <c:pt idx="29">
                    <c:v>2023-03</c:v>
                  </c:pt>
                  <c:pt idx="30">
                    <c:v>2023-04</c:v>
                  </c:pt>
                  <c:pt idx="31">
                    <c:v>2023-05</c:v>
                  </c:pt>
                  <c:pt idx="32">
                    <c:v>2023-06</c:v>
                  </c:pt>
                  <c:pt idx="33">
                    <c:v>2023-07</c:v>
                  </c:pt>
                  <c:pt idx="34">
                    <c:v>2023-08</c:v>
                  </c:pt>
                  <c:pt idx="35">
                    <c:v>2023-09</c:v>
                  </c:pt>
                  <c:pt idx="36">
                    <c:v>2022-04</c:v>
                  </c:pt>
                  <c:pt idx="37">
                    <c:v>2022-05</c:v>
                  </c:pt>
                  <c:pt idx="38">
                    <c:v>2022-06</c:v>
                  </c:pt>
                  <c:pt idx="39">
                    <c:v>2022-07</c:v>
                  </c:pt>
                  <c:pt idx="40">
                    <c:v>2022-08</c:v>
                  </c:pt>
                  <c:pt idx="41">
                    <c:v>2022-09</c:v>
                  </c:pt>
                  <c:pt idx="42">
                    <c:v>2022-10</c:v>
                  </c:pt>
                  <c:pt idx="43">
                    <c:v>2022-11</c:v>
                  </c:pt>
                  <c:pt idx="44">
                    <c:v>2022-12</c:v>
                  </c:pt>
                  <c:pt idx="45">
                    <c:v>2023-01</c:v>
                  </c:pt>
                  <c:pt idx="46">
                    <c:v>2023-02</c:v>
                  </c:pt>
                  <c:pt idx="47">
                    <c:v>2023-03</c:v>
                  </c:pt>
                  <c:pt idx="48">
                    <c:v>2023-04</c:v>
                  </c:pt>
                  <c:pt idx="49">
                    <c:v>2023-05</c:v>
                  </c:pt>
                  <c:pt idx="50">
                    <c:v>2023-06</c:v>
                  </c:pt>
                  <c:pt idx="51">
                    <c:v>2023-07</c:v>
                  </c:pt>
                  <c:pt idx="52">
                    <c:v>2023-08</c:v>
                  </c:pt>
                  <c:pt idx="53">
                    <c:v>2023-09</c:v>
                  </c:pt>
                  <c:pt idx="54">
                    <c:v>2022-04</c:v>
                  </c:pt>
                  <c:pt idx="55">
                    <c:v>2022-05</c:v>
                  </c:pt>
                  <c:pt idx="56">
                    <c:v>2022-06</c:v>
                  </c:pt>
                  <c:pt idx="57">
                    <c:v>2022-07</c:v>
                  </c:pt>
                  <c:pt idx="58">
                    <c:v>2022-08</c:v>
                  </c:pt>
                  <c:pt idx="59">
                    <c:v>2022-09</c:v>
                  </c:pt>
                  <c:pt idx="60">
                    <c:v>2022-10</c:v>
                  </c:pt>
                  <c:pt idx="61">
                    <c:v>2022-11</c:v>
                  </c:pt>
                  <c:pt idx="62">
                    <c:v>2022-12</c:v>
                  </c:pt>
                  <c:pt idx="63">
                    <c:v>2023-01</c:v>
                  </c:pt>
                  <c:pt idx="64">
                    <c:v>2023-02</c:v>
                  </c:pt>
                  <c:pt idx="65">
                    <c:v>2023-03</c:v>
                  </c:pt>
                  <c:pt idx="66">
                    <c:v>2023-04</c:v>
                  </c:pt>
                  <c:pt idx="67">
                    <c:v>2023-05</c:v>
                  </c:pt>
                  <c:pt idx="68">
                    <c:v>2023-06</c:v>
                  </c:pt>
                  <c:pt idx="69">
                    <c:v>2023-07</c:v>
                  </c:pt>
                  <c:pt idx="70">
                    <c:v>2023-08</c:v>
                  </c:pt>
                  <c:pt idx="71">
                    <c:v>2023-09</c:v>
                  </c:pt>
                </c:lvl>
                <c:lvl>
                  <c:pt idx="0">
                    <c:v>Doğal Gaz Santralleri</c:v>
                  </c:pt>
                  <c:pt idx="18">
                    <c:v>İthal Kömür Santralleri</c:v>
                  </c:pt>
                  <c:pt idx="36">
                    <c:v>Yerli Kömür Santralleri</c:v>
                  </c:pt>
                  <c:pt idx="54">
                    <c:v>Yenilenebilir Enerji Santralleri</c:v>
                  </c:pt>
                </c:lvl>
              </c:multiLvlStrCache>
            </c:multiLvlStrRef>
          </c:cat>
          <c:val>
            <c:numRef>
              <c:f>Sheet3!$E$2:$E$73</c:f>
              <c:numCache>
                <c:formatCode>General</c:formatCode>
                <c:ptCount val="72"/>
                <c:pt idx="0">
                  <c:v>1830.5545416666657</c:v>
                </c:pt>
                <c:pt idx="1">
                  <c:v>1734.1676334725025</c:v>
                </c:pt>
                <c:pt idx="2">
                  <c:v>2323.2978644341251</c:v>
                </c:pt>
                <c:pt idx="3">
                  <c:v>2258.5754533158379</c:v>
                </c:pt>
                <c:pt idx="4">
                  <c:v>2845.8350779701136</c:v>
                </c:pt>
                <c:pt idx="5">
                  <c:v>3826.2663453629493</c:v>
                </c:pt>
                <c:pt idx="6">
                  <c:v>3421.7975134408566</c:v>
                </c:pt>
                <c:pt idx="7">
                  <c:v>3371.7388467055312</c:v>
                </c:pt>
                <c:pt idx="8">
                  <c:v>3641.4915755665993</c:v>
                </c:pt>
                <c:pt idx="9">
                  <c:v>3373.4948193427563</c:v>
                </c:pt>
                <c:pt idx="10">
                  <c:v>2751.9347139862712</c:v>
                </c:pt>
                <c:pt idx="11">
                  <c:v>2100.897381823956</c:v>
                </c:pt>
                <c:pt idx="12">
                  <c:v>1763.6669861111079</c:v>
                </c:pt>
                <c:pt idx="13">
                  <c:v>1900.2600290255411</c:v>
                </c:pt>
                <c:pt idx="14">
                  <c:v>1623.6629861111094</c:v>
                </c:pt>
                <c:pt idx="15">
                  <c:v>1976.2801478494598</c:v>
                </c:pt>
                <c:pt idx="16">
                  <c:v>2242.1953225806419</c:v>
                </c:pt>
                <c:pt idx="17">
                  <c:v>2003.3755778602606</c:v>
                </c:pt>
                <c:pt idx="18">
                  <c:v>1830.5545416666657</c:v>
                </c:pt>
                <c:pt idx="19">
                  <c:v>1761.1077322821075</c:v>
                </c:pt>
                <c:pt idx="20">
                  <c:v>2334.6482120471333</c:v>
                </c:pt>
                <c:pt idx="21">
                  <c:v>2319.2773630371039</c:v>
                </c:pt>
                <c:pt idx="22">
                  <c:v>2927.9201600352335</c:v>
                </c:pt>
                <c:pt idx="23">
                  <c:v>3256.8406412386498</c:v>
                </c:pt>
                <c:pt idx="24">
                  <c:v>2518.142997311827</c:v>
                </c:pt>
                <c:pt idx="25">
                  <c:v>2046.8117476520742</c:v>
                </c:pt>
                <c:pt idx="26">
                  <c:v>2392.5213052257686</c:v>
                </c:pt>
                <c:pt idx="27">
                  <c:v>1910.0239423754961</c:v>
                </c:pt>
                <c:pt idx="28">
                  <c:v>1557.9144443083821</c:v>
                </c:pt>
                <c:pt idx="29">
                  <c:v>1544.0981764239402</c:v>
                </c:pt>
                <c:pt idx="30">
                  <c:v>1514.7907222222213</c:v>
                </c:pt>
                <c:pt idx="31">
                  <c:v>1523.4011122630707</c:v>
                </c:pt>
                <c:pt idx="32">
                  <c:v>1514.6742916666719</c:v>
                </c:pt>
                <c:pt idx="33">
                  <c:v>1860.8401478494602</c:v>
                </c:pt>
                <c:pt idx="34">
                  <c:v>2021.4976344086097</c:v>
                </c:pt>
                <c:pt idx="35">
                  <c:v>1942.4123806761836</c:v>
                </c:pt>
                <c:pt idx="36">
                  <c:v>1101.3309999999999</c:v>
                </c:pt>
                <c:pt idx="37">
                  <c:v>1097.7634799553493</c:v>
                </c:pt>
                <c:pt idx="38">
                  <c:v>1363.1950025681103</c:v>
                </c:pt>
                <c:pt idx="39">
                  <c:v>1352.8905243268507</c:v>
                </c:pt>
                <c:pt idx="40">
                  <c:v>1452.2523021526122</c:v>
                </c:pt>
                <c:pt idx="41">
                  <c:v>1486.8698064283233</c:v>
                </c:pt>
                <c:pt idx="42">
                  <c:v>1930.7066397849464</c:v>
                </c:pt>
                <c:pt idx="43">
                  <c:v>1935.73793757096</c:v>
                </c:pt>
                <c:pt idx="44">
                  <c:v>1995.5959328406593</c:v>
                </c:pt>
                <c:pt idx="45">
                  <c:v>2072.2122640555435</c:v>
                </c:pt>
                <c:pt idx="46">
                  <c:v>2006.1724543651706</c:v>
                </c:pt>
                <c:pt idx="47">
                  <c:v>1899.5025886309359</c:v>
                </c:pt>
                <c:pt idx="48">
                  <c:v>1514.7907222222213</c:v>
                </c:pt>
                <c:pt idx="49">
                  <c:v>1663.5284224200161</c:v>
                </c:pt>
                <c:pt idx="50">
                  <c:v>1582.9156111111099</c:v>
                </c:pt>
                <c:pt idx="51">
                  <c:v>1942.6110080645121</c:v>
                </c:pt>
                <c:pt idx="52">
                  <c:v>2155.3178763440678</c:v>
                </c:pt>
                <c:pt idx="53">
                  <c:v>1978.2081058506385</c:v>
                </c:pt>
                <c:pt idx="54">
                  <c:v>1101.3309999999999</c:v>
                </c:pt>
                <c:pt idx="55">
                  <c:v>1097.7634799553493</c:v>
                </c:pt>
                <c:pt idx="56">
                  <c:v>1363.1950025681103</c:v>
                </c:pt>
                <c:pt idx="57">
                  <c:v>1352.8905243268507</c:v>
                </c:pt>
                <c:pt idx="58">
                  <c:v>1452.2523021526122</c:v>
                </c:pt>
                <c:pt idx="59">
                  <c:v>1486.8698064283233</c:v>
                </c:pt>
                <c:pt idx="60">
                  <c:v>1476.4366801075271</c:v>
                </c:pt>
                <c:pt idx="61">
                  <c:v>1490.8875282956824</c:v>
                </c:pt>
                <c:pt idx="62">
                  <c:v>1515.5013950249938</c:v>
                </c:pt>
                <c:pt idx="63">
                  <c:v>1573.7247506264371</c:v>
                </c:pt>
                <c:pt idx="64">
                  <c:v>1539.1900785867836</c:v>
                </c:pt>
                <c:pt idx="65">
                  <c:v>1530.6803500408307</c:v>
                </c:pt>
                <c:pt idx="66">
                  <c:v>1458.1271388888883</c:v>
                </c:pt>
                <c:pt idx="67">
                  <c:v>1599.3892517138108</c:v>
                </c:pt>
                <c:pt idx="68">
                  <c:v>1558.3081249999998</c:v>
                </c:pt>
                <c:pt idx="69">
                  <c:v>1911.2792741935409</c:v>
                </c:pt>
                <c:pt idx="70">
                  <c:v>2091.468951612901</c:v>
                </c:pt>
                <c:pt idx="71">
                  <c:v>1954.3165394228208</c:v>
                </c:pt>
              </c:numCache>
            </c:numRef>
          </c:val>
          <c:extLst>
            <c:ext xmlns:c16="http://schemas.microsoft.com/office/drawing/2014/chart" uri="{C3380CC4-5D6E-409C-BE32-E72D297353CC}">
              <c16:uniqueId val="{00000001-32E8-4854-8EB3-EB6455BCE083}"/>
            </c:ext>
          </c:extLst>
        </c:ser>
        <c:dLbls>
          <c:showLegendKey val="0"/>
          <c:showVal val="0"/>
          <c:showCatName val="0"/>
          <c:showSerName val="0"/>
          <c:showPercent val="0"/>
          <c:showBubbleSize val="0"/>
        </c:dLbls>
        <c:gapWidth val="219"/>
        <c:axId val="2028402303"/>
        <c:axId val="1140748895"/>
      </c:barChart>
      <c:lineChart>
        <c:grouping val="standard"/>
        <c:varyColors val="0"/>
        <c:ser>
          <c:idx val="1"/>
          <c:order val="1"/>
          <c:tx>
            <c:strRef>
              <c:f>Sheet3!$D$1</c:f>
              <c:strCache>
                <c:ptCount val="1"/>
                <c:pt idx="0">
                  <c:v>AUF</c:v>
                </c:pt>
              </c:strCache>
            </c:strRef>
          </c:tx>
          <c:spPr>
            <a:ln w="28575" cap="rnd">
              <a:solidFill>
                <a:schemeClr val="accent2"/>
              </a:solidFill>
              <a:round/>
            </a:ln>
            <a:effectLst/>
          </c:spPr>
          <c:marker>
            <c:symbol val="none"/>
          </c:marker>
          <c:cat>
            <c:multiLvlStrRef>
              <c:f>Sheet3!$A$2:$B$73</c:f>
              <c:multiLvlStrCache>
                <c:ptCount val="72"/>
                <c:lvl>
                  <c:pt idx="0">
                    <c:v>2022-04</c:v>
                  </c:pt>
                  <c:pt idx="1">
                    <c:v>2022-05</c:v>
                  </c:pt>
                  <c:pt idx="2">
                    <c:v>2022-06</c:v>
                  </c:pt>
                  <c:pt idx="3">
                    <c:v>2022-07</c:v>
                  </c:pt>
                  <c:pt idx="4">
                    <c:v>2022-08</c:v>
                  </c:pt>
                  <c:pt idx="5">
                    <c:v>2022-09</c:v>
                  </c:pt>
                  <c:pt idx="6">
                    <c:v>2022-10</c:v>
                  </c:pt>
                  <c:pt idx="7">
                    <c:v>2022-11</c:v>
                  </c:pt>
                  <c:pt idx="8">
                    <c:v>2022-12</c:v>
                  </c:pt>
                  <c:pt idx="9">
                    <c:v>2023-01</c:v>
                  </c:pt>
                  <c:pt idx="10">
                    <c:v>2023-02</c:v>
                  </c:pt>
                  <c:pt idx="11">
                    <c:v>2023-03</c:v>
                  </c:pt>
                  <c:pt idx="12">
                    <c:v>2023-04</c:v>
                  </c:pt>
                  <c:pt idx="13">
                    <c:v>2023-05</c:v>
                  </c:pt>
                  <c:pt idx="14">
                    <c:v>2023-06</c:v>
                  </c:pt>
                  <c:pt idx="15">
                    <c:v>2023-07</c:v>
                  </c:pt>
                  <c:pt idx="16">
                    <c:v>2023-08</c:v>
                  </c:pt>
                  <c:pt idx="17">
                    <c:v>2023-09</c:v>
                  </c:pt>
                  <c:pt idx="18">
                    <c:v>2022-04</c:v>
                  </c:pt>
                  <c:pt idx="19">
                    <c:v>2022-05</c:v>
                  </c:pt>
                  <c:pt idx="20">
                    <c:v>2022-06</c:v>
                  </c:pt>
                  <c:pt idx="21">
                    <c:v>2022-07</c:v>
                  </c:pt>
                  <c:pt idx="22">
                    <c:v>2022-08</c:v>
                  </c:pt>
                  <c:pt idx="23">
                    <c:v>2022-09</c:v>
                  </c:pt>
                  <c:pt idx="24">
                    <c:v>2022-10</c:v>
                  </c:pt>
                  <c:pt idx="25">
                    <c:v>2022-11</c:v>
                  </c:pt>
                  <c:pt idx="26">
                    <c:v>2022-12</c:v>
                  </c:pt>
                  <c:pt idx="27">
                    <c:v>2023-01</c:v>
                  </c:pt>
                  <c:pt idx="28">
                    <c:v>2023-02</c:v>
                  </c:pt>
                  <c:pt idx="29">
                    <c:v>2023-03</c:v>
                  </c:pt>
                  <c:pt idx="30">
                    <c:v>2023-04</c:v>
                  </c:pt>
                  <c:pt idx="31">
                    <c:v>2023-05</c:v>
                  </c:pt>
                  <c:pt idx="32">
                    <c:v>2023-06</c:v>
                  </c:pt>
                  <c:pt idx="33">
                    <c:v>2023-07</c:v>
                  </c:pt>
                  <c:pt idx="34">
                    <c:v>2023-08</c:v>
                  </c:pt>
                  <c:pt idx="35">
                    <c:v>2023-09</c:v>
                  </c:pt>
                  <c:pt idx="36">
                    <c:v>2022-04</c:v>
                  </c:pt>
                  <c:pt idx="37">
                    <c:v>2022-05</c:v>
                  </c:pt>
                  <c:pt idx="38">
                    <c:v>2022-06</c:v>
                  </c:pt>
                  <c:pt idx="39">
                    <c:v>2022-07</c:v>
                  </c:pt>
                  <c:pt idx="40">
                    <c:v>2022-08</c:v>
                  </c:pt>
                  <c:pt idx="41">
                    <c:v>2022-09</c:v>
                  </c:pt>
                  <c:pt idx="42">
                    <c:v>2022-10</c:v>
                  </c:pt>
                  <c:pt idx="43">
                    <c:v>2022-11</c:v>
                  </c:pt>
                  <c:pt idx="44">
                    <c:v>2022-12</c:v>
                  </c:pt>
                  <c:pt idx="45">
                    <c:v>2023-01</c:v>
                  </c:pt>
                  <c:pt idx="46">
                    <c:v>2023-02</c:v>
                  </c:pt>
                  <c:pt idx="47">
                    <c:v>2023-03</c:v>
                  </c:pt>
                  <c:pt idx="48">
                    <c:v>2023-04</c:v>
                  </c:pt>
                  <c:pt idx="49">
                    <c:v>2023-05</c:v>
                  </c:pt>
                  <c:pt idx="50">
                    <c:v>2023-06</c:v>
                  </c:pt>
                  <c:pt idx="51">
                    <c:v>2023-07</c:v>
                  </c:pt>
                  <c:pt idx="52">
                    <c:v>2023-08</c:v>
                  </c:pt>
                  <c:pt idx="53">
                    <c:v>2023-09</c:v>
                  </c:pt>
                  <c:pt idx="54">
                    <c:v>2022-04</c:v>
                  </c:pt>
                  <c:pt idx="55">
                    <c:v>2022-05</c:v>
                  </c:pt>
                  <c:pt idx="56">
                    <c:v>2022-06</c:v>
                  </c:pt>
                  <c:pt idx="57">
                    <c:v>2022-07</c:v>
                  </c:pt>
                  <c:pt idx="58">
                    <c:v>2022-08</c:v>
                  </c:pt>
                  <c:pt idx="59">
                    <c:v>2022-09</c:v>
                  </c:pt>
                  <c:pt idx="60">
                    <c:v>2022-10</c:v>
                  </c:pt>
                  <c:pt idx="61">
                    <c:v>2022-11</c:v>
                  </c:pt>
                  <c:pt idx="62">
                    <c:v>2022-12</c:v>
                  </c:pt>
                  <c:pt idx="63">
                    <c:v>2023-01</c:v>
                  </c:pt>
                  <c:pt idx="64">
                    <c:v>2023-02</c:v>
                  </c:pt>
                  <c:pt idx="65">
                    <c:v>2023-03</c:v>
                  </c:pt>
                  <c:pt idx="66">
                    <c:v>2023-04</c:v>
                  </c:pt>
                  <c:pt idx="67">
                    <c:v>2023-05</c:v>
                  </c:pt>
                  <c:pt idx="68">
                    <c:v>2023-06</c:v>
                  </c:pt>
                  <c:pt idx="69">
                    <c:v>2023-07</c:v>
                  </c:pt>
                  <c:pt idx="70">
                    <c:v>2023-08</c:v>
                  </c:pt>
                  <c:pt idx="71">
                    <c:v>2023-09</c:v>
                  </c:pt>
                </c:lvl>
                <c:lvl>
                  <c:pt idx="0">
                    <c:v>Doğal Gaz Santralleri</c:v>
                  </c:pt>
                  <c:pt idx="18">
                    <c:v>İthal Kömür Santralleri</c:v>
                  </c:pt>
                  <c:pt idx="36">
                    <c:v>Yerli Kömür Santralleri</c:v>
                  </c:pt>
                  <c:pt idx="54">
                    <c:v>Yenilenebilir Enerji Santralleri</c:v>
                  </c:pt>
                </c:lvl>
              </c:multiLvlStrCache>
            </c:multiLvlStrRef>
          </c:cat>
          <c:val>
            <c:numRef>
              <c:f>Sheet3!$D$2:$D$73</c:f>
              <c:numCache>
                <c:formatCode>General</c:formatCode>
                <c:ptCount val="72"/>
                <c:pt idx="0">
                  <c:v>2500</c:v>
                </c:pt>
                <c:pt idx="1">
                  <c:v>2512.8573930353846</c:v>
                </c:pt>
                <c:pt idx="2">
                  <c:v>2896.0848272954581</c:v>
                </c:pt>
                <c:pt idx="3">
                  <c:v>2902.6210399014167</c:v>
                </c:pt>
                <c:pt idx="4">
                  <c:v>3172.0109781378069</c:v>
                </c:pt>
                <c:pt idx="5">
                  <c:v>4619.4068484406616</c:v>
                </c:pt>
                <c:pt idx="6">
                  <c:v>4500</c:v>
                </c:pt>
                <c:pt idx="7">
                  <c:v>4500.8154147291098</c:v>
                </c:pt>
                <c:pt idx="8">
                  <c:v>4501.3408320618464</c:v>
                </c:pt>
                <c:pt idx="9">
                  <c:v>3989.0274816292263</c:v>
                </c:pt>
                <c:pt idx="10">
                  <c:v>3400.6256011623818</c:v>
                </c:pt>
                <c:pt idx="11">
                  <c:v>2812.6635776637318</c:v>
                </c:pt>
                <c:pt idx="12">
                  <c:v>2550</c:v>
                </c:pt>
                <c:pt idx="13">
                  <c:v>2553.1713466250139</c:v>
                </c:pt>
                <c:pt idx="14">
                  <c:v>2581.7199999999998</c:v>
                </c:pt>
                <c:pt idx="15">
                  <c:v>2628.25</c:v>
                </c:pt>
                <c:pt idx="16">
                  <c:v>2635.08</c:v>
                </c:pt>
                <c:pt idx="17">
                  <c:v>2636.71</c:v>
                </c:pt>
                <c:pt idx="18">
                  <c:v>2500</c:v>
                </c:pt>
                <c:pt idx="19">
                  <c:v>2731.987660223585</c:v>
                </c:pt>
                <c:pt idx="20">
                  <c:v>3062.2626203240943</c:v>
                </c:pt>
                <c:pt idx="21">
                  <c:v>3556.5197355468854</c:v>
                </c:pt>
                <c:pt idx="22">
                  <c:v>3426.8302660639797</c:v>
                </c:pt>
                <c:pt idx="23">
                  <c:v>3372.6680875322195</c:v>
                </c:pt>
                <c:pt idx="24">
                  <c:v>2750</c:v>
                </c:pt>
                <c:pt idx="25">
                  <c:v>2195.5598724368479</c:v>
                </c:pt>
                <c:pt idx="26">
                  <c:v>2513.7672847073309</c:v>
                </c:pt>
                <c:pt idx="27">
                  <c:v>1924.0650540813583</c:v>
                </c:pt>
                <c:pt idx="28">
                  <c:v>1608.389043565953</c:v>
                </c:pt>
                <c:pt idx="29">
                  <c:v>1614.4955921642918</c:v>
                </c:pt>
                <c:pt idx="30">
                  <c:v>1800</c:v>
                </c:pt>
                <c:pt idx="31">
                  <c:v>1622.4303615395777</c:v>
                </c:pt>
                <c:pt idx="32">
                  <c:v>1806.3</c:v>
                </c:pt>
                <c:pt idx="33">
                  <c:v>2037.68</c:v>
                </c:pt>
                <c:pt idx="34">
                  <c:v>2128.85</c:v>
                </c:pt>
                <c:pt idx="35">
                  <c:v>2223.84</c:v>
                </c:pt>
                <c:pt idx="36">
                  <c:v>1200</c:v>
                </c:pt>
                <c:pt idx="37">
                  <c:v>1277.9874130822086</c:v>
                </c:pt>
                <c:pt idx="38">
                  <c:v>1369.9791895136293</c:v>
                </c:pt>
                <c:pt idx="39">
                  <c:v>1412.1248585680687</c:v>
                </c:pt>
                <c:pt idx="40">
                  <c:v>1452.524512518911</c:v>
                </c:pt>
                <c:pt idx="41">
                  <c:v>1488.2095685193663</c:v>
                </c:pt>
                <c:pt idx="42">
                  <c:v>2050</c:v>
                </c:pt>
                <c:pt idx="43">
                  <c:v>2057.1112500881063</c:v>
                </c:pt>
                <c:pt idx="44">
                  <c:v>2058.5182630481017</c:v>
                </c:pt>
                <c:pt idx="45">
                  <c:v>2097.0801080657643</c:v>
                </c:pt>
                <c:pt idx="46">
                  <c:v>2113.6828411324154</c:v>
                </c:pt>
                <c:pt idx="47">
                  <c:v>2127.2272604005411</c:v>
                </c:pt>
                <c:pt idx="48">
                  <c:v>1800</c:v>
                </c:pt>
                <c:pt idx="49">
                  <c:v>1825.6687616716792</c:v>
                </c:pt>
                <c:pt idx="50">
                  <c:v>2059.42</c:v>
                </c:pt>
                <c:pt idx="51">
                  <c:v>2307.67</c:v>
                </c:pt>
                <c:pt idx="52">
                  <c:v>2383.94</c:v>
                </c:pt>
                <c:pt idx="53">
                  <c:v>2411.9299999999998</c:v>
                </c:pt>
                <c:pt idx="54">
                  <c:v>1200</c:v>
                </c:pt>
                <c:pt idx="55">
                  <c:v>1277.9874130822086</c:v>
                </c:pt>
                <c:pt idx="56">
                  <c:v>1369.9791895136293</c:v>
                </c:pt>
                <c:pt idx="57">
                  <c:v>1412.1248585680687</c:v>
                </c:pt>
                <c:pt idx="58">
                  <c:v>1452.524512518911</c:v>
                </c:pt>
                <c:pt idx="59">
                  <c:v>1488.2095685193663</c:v>
                </c:pt>
                <c:pt idx="60">
                  <c:v>1540</c:v>
                </c:pt>
                <c:pt idx="61">
                  <c:v>1545.3421098222848</c:v>
                </c:pt>
                <c:pt idx="62">
                  <c:v>1546.3990854117449</c:v>
                </c:pt>
                <c:pt idx="63">
                  <c:v>1575.3674958152569</c:v>
                </c:pt>
                <c:pt idx="64">
                  <c:v>1587.8397928506924</c:v>
                </c:pt>
                <c:pt idx="65">
                  <c:v>1598.01462488626</c:v>
                </c:pt>
                <c:pt idx="66">
                  <c:v>1700</c:v>
                </c:pt>
                <c:pt idx="67">
                  <c:v>1724.2427193565859</c:v>
                </c:pt>
                <c:pt idx="68">
                  <c:v>1945.01</c:v>
                </c:pt>
                <c:pt idx="69">
                  <c:v>2179.4699999999998</c:v>
                </c:pt>
                <c:pt idx="70">
                  <c:v>2251.5</c:v>
                </c:pt>
                <c:pt idx="71">
                  <c:v>2277.94</c:v>
                </c:pt>
              </c:numCache>
            </c:numRef>
          </c:val>
          <c:smooth val="0"/>
          <c:extLst>
            <c:ext xmlns:c16="http://schemas.microsoft.com/office/drawing/2014/chart" uri="{C3380CC4-5D6E-409C-BE32-E72D297353CC}">
              <c16:uniqueId val="{00000002-32E8-4854-8EB3-EB6455BCE083}"/>
            </c:ext>
          </c:extLst>
        </c:ser>
        <c:dLbls>
          <c:showLegendKey val="0"/>
          <c:showVal val="0"/>
          <c:showCatName val="0"/>
          <c:showSerName val="0"/>
          <c:showPercent val="0"/>
          <c:showBubbleSize val="0"/>
        </c:dLbls>
        <c:marker val="1"/>
        <c:smooth val="0"/>
        <c:axId val="2028402303"/>
        <c:axId val="1140748895"/>
      </c:lineChart>
      <c:catAx>
        <c:axId val="2028402303"/>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0748895"/>
        <c:crosses val="autoZero"/>
        <c:auto val="1"/>
        <c:lblAlgn val="ctr"/>
        <c:lblOffset val="100"/>
        <c:noMultiLvlLbl val="0"/>
      </c:catAx>
      <c:valAx>
        <c:axId val="1140748895"/>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tr-TR" b="1"/>
                  <a:t>TL/MWh</a:t>
                </a:r>
                <a:endParaRPr lang="en-US" b="1"/>
              </a:p>
            </c:rich>
          </c:tx>
          <c:layout>
            <c:manualLayout>
              <c:xMode val="edge"/>
              <c:yMode val="edge"/>
              <c:x val="1.278227524499361E-2"/>
              <c:y val="0.1785007281613309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28402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05390724210446"/>
          <c:y val="0.10065977280649227"/>
          <c:w val="0.73058622544745622"/>
          <c:h val="0.61821337599542392"/>
        </c:manualLayout>
      </c:layout>
      <c:barChart>
        <c:barDir val="col"/>
        <c:grouping val="clustered"/>
        <c:varyColors val="0"/>
        <c:ser>
          <c:idx val="1"/>
          <c:order val="1"/>
          <c:tx>
            <c:strRef>
              <c:f>'Sheet2 (2)'!$G$2</c:f>
              <c:strCache>
                <c:ptCount val="1"/>
                <c:pt idx="0">
                  <c:v>Azami Limite Takılan Saat Sayısı</c:v>
                </c:pt>
              </c:strCache>
            </c:strRef>
          </c:tx>
          <c:spPr>
            <a:solidFill>
              <a:srgbClr val="C00000"/>
            </a:solidFill>
            <a:ln>
              <a:noFill/>
            </a:ln>
            <a:effectLst/>
          </c:spPr>
          <c:invertIfNegative val="0"/>
          <c:cat>
            <c:numRef>
              <c:f>'Sheet2 (2)'!$E$3:$E$87</c:f>
              <c:numCache>
                <c:formatCode>yyyy\-mm</c:formatCode>
                <c:ptCount val="85"/>
                <c:pt idx="0">
                  <c:v>43831</c:v>
                </c:pt>
                <c:pt idx="1">
                  <c:v>43862</c:v>
                </c:pt>
                <c:pt idx="2">
                  <c:v>43862</c:v>
                </c:pt>
                <c:pt idx="3">
                  <c:v>43891</c:v>
                </c:pt>
                <c:pt idx="4">
                  <c:v>43891</c:v>
                </c:pt>
                <c:pt idx="5">
                  <c:v>43922</c:v>
                </c:pt>
                <c:pt idx="6">
                  <c:v>43922</c:v>
                </c:pt>
                <c:pt idx="7">
                  <c:v>43952</c:v>
                </c:pt>
                <c:pt idx="8">
                  <c:v>43952</c:v>
                </c:pt>
                <c:pt idx="9">
                  <c:v>43983</c:v>
                </c:pt>
                <c:pt idx="10">
                  <c:v>43983</c:v>
                </c:pt>
                <c:pt idx="11">
                  <c:v>44013</c:v>
                </c:pt>
                <c:pt idx="12">
                  <c:v>44013</c:v>
                </c:pt>
                <c:pt idx="13">
                  <c:v>44044</c:v>
                </c:pt>
                <c:pt idx="14">
                  <c:v>44044</c:v>
                </c:pt>
                <c:pt idx="15">
                  <c:v>44075</c:v>
                </c:pt>
                <c:pt idx="16">
                  <c:v>44075</c:v>
                </c:pt>
                <c:pt idx="17">
                  <c:v>44105</c:v>
                </c:pt>
                <c:pt idx="18">
                  <c:v>44105</c:v>
                </c:pt>
                <c:pt idx="19">
                  <c:v>44136</c:v>
                </c:pt>
                <c:pt idx="20">
                  <c:v>44136</c:v>
                </c:pt>
                <c:pt idx="21">
                  <c:v>44166</c:v>
                </c:pt>
                <c:pt idx="22">
                  <c:v>44166</c:v>
                </c:pt>
                <c:pt idx="23">
                  <c:v>44197</c:v>
                </c:pt>
                <c:pt idx="24">
                  <c:v>44228</c:v>
                </c:pt>
                <c:pt idx="25">
                  <c:v>44228</c:v>
                </c:pt>
                <c:pt idx="26">
                  <c:v>44256</c:v>
                </c:pt>
                <c:pt idx="27">
                  <c:v>44256</c:v>
                </c:pt>
                <c:pt idx="28">
                  <c:v>44287</c:v>
                </c:pt>
                <c:pt idx="29">
                  <c:v>44287</c:v>
                </c:pt>
                <c:pt idx="30">
                  <c:v>44317</c:v>
                </c:pt>
                <c:pt idx="31">
                  <c:v>44317</c:v>
                </c:pt>
                <c:pt idx="32">
                  <c:v>44348</c:v>
                </c:pt>
                <c:pt idx="33">
                  <c:v>44348</c:v>
                </c:pt>
                <c:pt idx="34">
                  <c:v>44378</c:v>
                </c:pt>
                <c:pt idx="35">
                  <c:v>44378</c:v>
                </c:pt>
                <c:pt idx="36">
                  <c:v>44409</c:v>
                </c:pt>
                <c:pt idx="37">
                  <c:v>44409</c:v>
                </c:pt>
                <c:pt idx="38">
                  <c:v>44440</c:v>
                </c:pt>
                <c:pt idx="39">
                  <c:v>44440</c:v>
                </c:pt>
                <c:pt idx="40">
                  <c:v>44470</c:v>
                </c:pt>
                <c:pt idx="41">
                  <c:v>44470</c:v>
                </c:pt>
                <c:pt idx="42">
                  <c:v>44501</c:v>
                </c:pt>
                <c:pt idx="43">
                  <c:v>44501</c:v>
                </c:pt>
                <c:pt idx="44">
                  <c:v>44531</c:v>
                </c:pt>
                <c:pt idx="45">
                  <c:v>44531</c:v>
                </c:pt>
                <c:pt idx="46">
                  <c:v>44562</c:v>
                </c:pt>
                <c:pt idx="47">
                  <c:v>44593</c:v>
                </c:pt>
                <c:pt idx="48">
                  <c:v>44593</c:v>
                </c:pt>
                <c:pt idx="49">
                  <c:v>44621</c:v>
                </c:pt>
                <c:pt idx="50">
                  <c:v>44621</c:v>
                </c:pt>
                <c:pt idx="51">
                  <c:v>44652</c:v>
                </c:pt>
                <c:pt idx="52">
                  <c:v>44652</c:v>
                </c:pt>
                <c:pt idx="53">
                  <c:v>44682</c:v>
                </c:pt>
                <c:pt idx="54">
                  <c:v>44682</c:v>
                </c:pt>
                <c:pt idx="55">
                  <c:v>44713</c:v>
                </c:pt>
                <c:pt idx="56">
                  <c:v>44713</c:v>
                </c:pt>
                <c:pt idx="57">
                  <c:v>44743</c:v>
                </c:pt>
                <c:pt idx="58">
                  <c:v>44743</c:v>
                </c:pt>
                <c:pt idx="59">
                  <c:v>44774</c:v>
                </c:pt>
                <c:pt idx="60">
                  <c:v>44774</c:v>
                </c:pt>
                <c:pt idx="61">
                  <c:v>44805</c:v>
                </c:pt>
                <c:pt idx="62">
                  <c:v>44805</c:v>
                </c:pt>
                <c:pt idx="63">
                  <c:v>44835</c:v>
                </c:pt>
                <c:pt idx="64">
                  <c:v>44835</c:v>
                </c:pt>
                <c:pt idx="65">
                  <c:v>44866</c:v>
                </c:pt>
                <c:pt idx="66">
                  <c:v>44866</c:v>
                </c:pt>
                <c:pt idx="67">
                  <c:v>44896</c:v>
                </c:pt>
                <c:pt idx="68">
                  <c:v>44896</c:v>
                </c:pt>
                <c:pt idx="69">
                  <c:v>44927</c:v>
                </c:pt>
                <c:pt idx="70">
                  <c:v>44927</c:v>
                </c:pt>
                <c:pt idx="71">
                  <c:v>44958</c:v>
                </c:pt>
                <c:pt idx="72">
                  <c:v>44986</c:v>
                </c:pt>
                <c:pt idx="73">
                  <c:v>44986</c:v>
                </c:pt>
                <c:pt idx="74">
                  <c:v>45017</c:v>
                </c:pt>
                <c:pt idx="75">
                  <c:v>45017</c:v>
                </c:pt>
                <c:pt idx="76">
                  <c:v>45047</c:v>
                </c:pt>
                <c:pt idx="77">
                  <c:v>45078</c:v>
                </c:pt>
                <c:pt idx="78">
                  <c:v>45078</c:v>
                </c:pt>
                <c:pt idx="79">
                  <c:v>45108</c:v>
                </c:pt>
                <c:pt idx="80">
                  <c:v>45108</c:v>
                </c:pt>
                <c:pt idx="81">
                  <c:v>45139</c:v>
                </c:pt>
                <c:pt idx="82">
                  <c:v>45139</c:v>
                </c:pt>
                <c:pt idx="83">
                  <c:v>45170</c:v>
                </c:pt>
                <c:pt idx="84">
                  <c:v>45170</c:v>
                </c:pt>
              </c:numCache>
            </c:numRef>
          </c:cat>
          <c:val>
            <c:numRef>
              <c:f>'Sheet2 (2)'!$G$3:$G$87</c:f>
              <c:numCache>
                <c:formatCode>_-* #,##0_-;\-* #,##0_-;_-* "-"??_-;_-@_-</c:formatCode>
                <c:ptCount val="8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8</c:v>
                </c:pt>
                <c:pt idx="19">
                  <c:v>2</c:v>
                </c:pt>
                <c:pt idx="20">
                  <c:v>2</c:v>
                </c:pt>
                <c:pt idx="21">
                  <c:v>0</c:v>
                </c:pt>
                <c:pt idx="22">
                  <c:v>0</c:v>
                </c:pt>
                <c:pt idx="23">
                  <c:v>0</c:v>
                </c:pt>
                <c:pt idx="24">
                  <c:v>0</c:v>
                </c:pt>
                <c:pt idx="25">
                  <c:v>0</c:v>
                </c:pt>
                <c:pt idx="26">
                  <c:v>1</c:v>
                </c:pt>
                <c:pt idx="27">
                  <c:v>1</c:v>
                </c:pt>
                <c:pt idx="28">
                  <c:v>6</c:v>
                </c:pt>
                <c:pt idx="29">
                  <c:v>6</c:v>
                </c:pt>
                <c:pt idx="30">
                  <c:v>5</c:v>
                </c:pt>
                <c:pt idx="31">
                  <c:v>5</c:v>
                </c:pt>
                <c:pt idx="32">
                  <c:v>38</c:v>
                </c:pt>
                <c:pt idx="33">
                  <c:v>38</c:v>
                </c:pt>
                <c:pt idx="34">
                  <c:v>297</c:v>
                </c:pt>
                <c:pt idx="35">
                  <c:v>297</c:v>
                </c:pt>
                <c:pt idx="36">
                  <c:v>389</c:v>
                </c:pt>
                <c:pt idx="37">
                  <c:v>389</c:v>
                </c:pt>
                <c:pt idx="38">
                  <c:v>68</c:v>
                </c:pt>
                <c:pt idx="39">
                  <c:v>68</c:v>
                </c:pt>
                <c:pt idx="40">
                  <c:v>173</c:v>
                </c:pt>
                <c:pt idx="41">
                  <c:v>173</c:v>
                </c:pt>
                <c:pt idx="42">
                  <c:v>127</c:v>
                </c:pt>
                <c:pt idx="43">
                  <c:v>127</c:v>
                </c:pt>
                <c:pt idx="44">
                  <c:v>204</c:v>
                </c:pt>
                <c:pt idx="45">
                  <c:v>204</c:v>
                </c:pt>
                <c:pt idx="46">
                  <c:v>287</c:v>
                </c:pt>
                <c:pt idx="47">
                  <c:v>361</c:v>
                </c:pt>
                <c:pt idx="48">
                  <c:v>361</c:v>
                </c:pt>
                <c:pt idx="49">
                  <c:v>481</c:v>
                </c:pt>
                <c:pt idx="50">
                  <c:v>481</c:v>
                </c:pt>
                <c:pt idx="51">
                  <c:v>83</c:v>
                </c:pt>
                <c:pt idx="52">
                  <c:v>83</c:v>
                </c:pt>
                <c:pt idx="53">
                  <c:v>82</c:v>
                </c:pt>
                <c:pt idx="54">
                  <c:v>82</c:v>
                </c:pt>
                <c:pt idx="55">
                  <c:v>7</c:v>
                </c:pt>
                <c:pt idx="56">
                  <c:v>7</c:v>
                </c:pt>
                <c:pt idx="57">
                  <c:v>35</c:v>
                </c:pt>
                <c:pt idx="58">
                  <c:v>35</c:v>
                </c:pt>
                <c:pt idx="59">
                  <c:v>146</c:v>
                </c:pt>
                <c:pt idx="60">
                  <c:v>146</c:v>
                </c:pt>
                <c:pt idx="61">
                  <c:v>70</c:v>
                </c:pt>
                <c:pt idx="62">
                  <c:v>70</c:v>
                </c:pt>
                <c:pt idx="63">
                  <c:v>89</c:v>
                </c:pt>
                <c:pt idx="64">
                  <c:v>89</c:v>
                </c:pt>
                <c:pt idx="65">
                  <c:v>136</c:v>
                </c:pt>
                <c:pt idx="66">
                  <c:v>136</c:v>
                </c:pt>
                <c:pt idx="67">
                  <c:v>189</c:v>
                </c:pt>
                <c:pt idx="68">
                  <c:v>189</c:v>
                </c:pt>
                <c:pt idx="69">
                  <c:v>175</c:v>
                </c:pt>
                <c:pt idx="70">
                  <c:v>175</c:v>
                </c:pt>
                <c:pt idx="71">
                  <c:v>105</c:v>
                </c:pt>
                <c:pt idx="72">
                  <c:v>59</c:v>
                </c:pt>
                <c:pt idx="73">
                  <c:v>59</c:v>
                </c:pt>
                <c:pt idx="74">
                  <c:v>101</c:v>
                </c:pt>
                <c:pt idx="75">
                  <c:v>101</c:v>
                </c:pt>
                <c:pt idx="76">
                  <c:v>99</c:v>
                </c:pt>
                <c:pt idx="77">
                  <c:v>9</c:v>
                </c:pt>
                <c:pt idx="78">
                  <c:v>9</c:v>
                </c:pt>
                <c:pt idx="79">
                  <c:v>21</c:v>
                </c:pt>
                <c:pt idx="80">
                  <c:v>21</c:v>
                </c:pt>
                <c:pt idx="81" formatCode="General">
                  <c:v>94</c:v>
                </c:pt>
                <c:pt idx="82" formatCode="General">
                  <c:v>94</c:v>
                </c:pt>
                <c:pt idx="83" formatCode="General">
                  <c:v>30</c:v>
                </c:pt>
                <c:pt idx="84" formatCode="General">
                  <c:v>30</c:v>
                </c:pt>
              </c:numCache>
            </c:numRef>
          </c:val>
          <c:extLst>
            <c:ext xmlns:c16="http://schemas.microsoft.com/office/drawing/2014/chart" uri="{C3380CC4-5D6E-409C-BE32-E72D297353CC}">
              <c16:uniqueId val="{00000000-CC95-4BB2-B6F8-2D8FEB5F160E}"/>
            </c:ext>
          </c:extLst>
        </c:ser>
        <c:dLbls>
          <c:showLegendKey val="0"/>
          <c:showVal val="0"/>
          <c:showCatName val="0"/>
          <c:showSerName val="0"/>
          <c:showPercent val="0"/>
          <c:showBubbleSize val="0"/>
        </c:dLbls>
        <c:gapWidth val="150"/>
        <c:axId val="1296640975"/>
        <c:axId val="1296638895"/>
      </c:barChart>
      <c:lineChart>
        <c:grouping val="standard"/>
        <c:varyColors val="0"/>
        <c:ser>
          <c:idx val="0"/>
          <c:order val="0"/>
          <c:tx>
            <c:strRef>
              <c:f>'Sheet2 (2)'!$F$2</c:f>
              <c:strCache>
                <c:ptCount val="1"/>
                <c:pt idx="0">
                  <c:v>Azami Limit</c:v>
                </c:pt>
              </c:strCache>
            </c:strRef>
          </c:tx>
          <c:spPr>
            <a:ln w="12700" cap="rnd">
              <a:solidFill>
                <a:srgbClr val="006666"/>
              </a:solidFill>
              <a:round/>
            </a:ln>
            <a:effectLst/>
          </c:spPr>
          <c:marker>
            <c:symbol val="none"/>
          </c:marker>
          <c:cat>
            <c:numRef>
              <c:f>'Sheet2 (2)'!$E$3:$E$87</c:f>
              <c:numCache>
                <c:formatCode>yyyy\-mm</c:formatCode>
                <c:ptCount val="85"/>
                <c:pt idx="0">
                  <c:v>43831</c:v>
                </c:pt>
                <c:pt idx="1">
                  <c:v>43862</c:v>
                </c:pt>
                <c:pt idx="2">
                  <c:v>43862</c:v>
                </c:pt>
                <c:pt idx="3">
                  <c:v>43891</c:v>
                </c:pt>
                <c:pt idx="4">
                  <c:v>43891</c:v>
                </c:pt>
                <c:pt idx="5">
                  <c:v>43922</c:v>
                </c:pt>
                <c:pt idx="6">
                  <c:v>43922</c:v>
                </c:pt>
                <c:pt idx="7">
                  <c:v>43952</c:v>
                </c:pt>
                <c:pt idx="8">
                  <c:v>43952</c:v>
                </c:pt>
                <c:pt idx="9">
                  <c:v>43983</c:v>
                </c:pt>
                <c:pt idx="10">
                  <c:v>43983</c:v>
                </c:pt>
                <c:pt idx="11">
                  <c:v>44013</c:v>
                </c:pt>
                <c:pt idx="12">
                  <c:v>44013</c:v>
                </c:pt>
                <c:pt idx="13">
                  <c:v>44044</c:v>
                </c:pt>
                <c:pt idx="14">
                  <c:v>44044</c:v>
                </c:pt>
                <c:pt idx="15">
                  <c:v>44075</c:v>
                </c:pt>
                <c:pt idx="16">
                  <c:v>44075</c:v>
                </c:pt>
                <c:pt idx="17">
                  <c:v>44105</c:v>
                </c:pt>
                <c:pt idx="18">
                  <c:v>44105</c:v>
                </c:pt>
                <c:pt idx="19">
                  <c:v>44136</c:v>
                </c:pt>
                <c:pt idx="20">
                  <c:v>44136</c:v>
                </c:pt>
                <c:pt idx="21">
                  <c:v>44166</c:v>
                </c:pt>
                <c:pt idx="22">
                  <c:v>44166</c:v>
                </c:pt>
                <c:pt idx="23">
                  <c:v>44197</c:v>
                </c:pt>
                <c:pt idx="24">
                  <c:v>44228</c:v>
                </c:pt>
                <c:pt idx="25">
                  <c:v>44228</c:v>
                </c:pt>
                <c:pt idx="26">
                  <c:v>44256</c:v>
                </c:pt>
                <c:pt idx="27">
                  <c:v>44256</c:v>
                </c:pt>
                <c:pt idx="28">
                  <c:v>44287</c:v>
                </c:pt>
                <c:pt idx="29">
                  <c:v>44287</c:v>
                </c:pt>
                <c:pt idx="30">
                  <c:v>44317</c:v>
                </c:pt>
                <c:pt idx="31">
                  <c:v>44317</c:v>
                </c:pt>
                <c:pt idx="32">
                  <c:v>44348</c:v>
                </c:pt>
                <c:pt idx="33">
                  <c:v>44348</c:v>
                </c:pt>
                <c:pt idx="34">
                  <c:v>44378</c:v>
                </c:pt>
                <c:pt idx="35">
                  <c:v>44378</c:v>
                </c:pt>
                <c:pt idx="36">
                  <c:v>44409</c:v>
                </c:pt>
                <c:pt idx="37">
                  <c:v>44409</c:v>
                </c:pt>
                <c:pt idx="38">
                  <c:v>44440</c:v>
                </c:pt>
                <c:pt idx="39">
                  <c:v>44440</c:v>
                </c:pt>
                <c:pt idx="40">
                  <c:v>44470</c:v>
                </c:pt>
                <c:pt idx="41">
                  <c:v>44470</c:v>
                </c:pt>
                <c:pt idx="42">
                  <c:v>44501</c:v>
                </c:pt>
                <c:pt idx="43">
                  <c:v>44501</c:v>
                </c:pt>
                <c:pt idx="44">
                  <c:v>44531</c:v>
                </c:pt>
                <c:pt idx="45">
                  <c:v>44531</c:v>
                </c:pt>
                <c:pt idx="46">
                  <c:v>44562</c:v>
                </c:pt>
                <c:pt idx="47">
                  <c:v>44593</c:v>
                </c:pt>
                <c:pt idx="48">
                  <c:v>44593</c:v>
                </c:pt>
                <c:pt idx="49">
                  <c:v>44621</c:v>
                </c:pt>
                <c:pt idx="50">
                  <c:v>44621</c:v>
                </c:pt>
                <c:pt idx="51">
                  <c:v>44652</c:v>
                </c:pt>
                <c:pt idx="52">
                  <c:v>44652</c:v>
                </c:pt>
                <c:pt idx="53">
                  <c:v>44682</c:v>
                </c:pt>
                <c:pt idx="54">
                  <c:v>44682</c:v>
                </c:pt>
                <c:pt idx="55">
                  <c:v>44713</c:v>
                </c:pt>
                <c:pt idx="56">
                  <c:v>44713</c:v>
                </c:pt>
                <c:pt idx="57">
                  <c:v>44743</c:v>
                </c:pt>
                <c:pt idx="58">
                  <c:v>44743</c:v>
                </c:pt>
                <c:pt idx="59">
                  <c:v>44774</c:v>
                </c:pt>
                <c:pt idx="60">
                  <c:v>44774</c:v>
                </c:pt>
                <c:pt idx="61">
                  <c:v>44805</c:v>
                </c:pt>
                <c:pt idx="62">
                  <c:v>44805</c:v>
                </c:pt>
                <c:pt idx="63">
                  <c:v>44835</c:v>
                </c:pt>
                <c:pt idx="64">
                  <c:v>44835</c:v>
                </c:pt>
                <c:pt idx="65">
                  <c:v>44866</c:v>
                </c:pt>
                <c:pt idx="66">
                  <c:v>44866</c:v>
                </c:pt>
                <c:pt idx="67">
                  <c:v>44896</c:v>
                </c:pt>
                <c:pt idx="68">
                  <c:v>44896</c:v>
                </c:pt>
                <c:pt idx="69">
                  <c:v>44927</c:v>
                </c:pt>
                <c:pt idx="70">
                  <c:v>44927</c:v>
                </c:pt>
                <c:pt idx="71">
                  <c:v>44958</c:v>
                </c:pt>
                <c:pt idx="72">
                  <c:v>44986</c:v>
                </c:pt>
                <c:pt idx="73">
                  <c:v>44986</c:v>
                </c:pt>
                <c:pt idx="74">
                  <c:v>45017</c:v>
                </c:pt>
                <c:pt idx="75">
                  <c:v>45017</c:v>
                </c:pt>
                <c:pt idx="76">
                  <c:v>45047</c:v>
                </c:pt>
                <c:pt idx="77">
                  <c:v>45078</c:v>
                </c:pt>
                <c:pt idx="78">
                  <c:v>45078</c:v>
                </c:pt>
                <c:pt idx="79">
                  <c:v>45108</c:v>
                </c:pt>
                <c:pt idx="80">
                  <c:v>45108</c:v>
                </c:pt>
                <c:pt idx="81">
                  <c:v>45139</c:v>
                </c:pt>
                <c:pt idx="82">
                  <c:v>45139</c:v>
                </c:pt>
                <c:pt idx="83">
                  <c:v>45170</c:v>
                </c:pt>
                <c:pt idx="84">
                  <c:v>45170</c:v>
                </c:pt>
              </c:numCache>
            </c:numRef>
          </c:cat>
          <c:val>
            <c:numRef>
              <c:f>'Sheet2 (2)'!$F$3:$F$87</c:f>
              <c:numCache>
                <c:formatCode>_-* #,##0_-;\-* #,##0_-;_-* "-"??_-;_-@_-</c:formatCode>
                <c:ptCount val="85"/>
                <c:pt idx="0">
                  <c:v>600</c:v>
                </c:pt>
                <c:pt idx="1">
                  <c:v>600</c:v>
                </c:pt>
                <c:pt idx="2">
                  <c:v>600</c:v>
                </c:pt>
                <c:pt idx="3">
                  <c:v>600</c:v>
                </c:pt>
                <c:pt idx="4">
                  <c:v>600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pt idx="17">
                  <c:v>2000</c:v>
                </c:pt>
                <c:pt idx="18">
                  <c:v>563</c:v>
                </c:pt>
                <c:pt idx="19">
                  <c:v>566</c:v>
                </c:pt>
                <c:pt idx="20">
                  <c:v>566</c:v>
                </c:pt>
                <c:pt idx="21">
                  <c:v>572</c:v>
                </c:pt>
                <c:pt idx="22">
                  <c:v>572</c:v>
                </c:pt>
                <c:pt idx="23">
                  <c:v>572</c:v>
                </c:pt>
                <c:pt idx="24">
                  <c:v>572</c:v>
                </c:pt>
                <c:pt idx="25">
                  <c:v>572</c:v>
                </c:pt>
                <c:pt idx="26">
                  <c:v>569</c:v>
                </c:pt>
                <c:pt idx="27">
                  <c:v>569</c:v>
                </c:pt>
                <c:pt idx="28">
                  <c:v>567</c:v>
                </c:pt>
                <c:pt idx="29">
                  <c:v>567</c:v>
                </c:pt>
                <c:pt idx="30">
                  <c:v>578</c:v>
                </c:pt>
                <c:pt idx="31">
                  <c:v>578</c:v>
                </c:pt>
                <c:pt idx="32">
                  <c:v>595</c:v>
                </c:pt>
                <c:pt idx="33">
                  <c:v>595</c:v>
                </c:pt>
                <c:pt idx="34">
                  <c:v>617</c:v>
                </c:pt>
                <c:pt idx="35">
                  <c:v>617</c:v>
                </c:pt>
                <c:pt idx="36">
                  <c:v>636</c:v>
                </c:pt>
                <c:pt idx="37">
                  <c:v>636</c:v>
                </c:pt>
                <c:pt idx="38">
                  <c:v>674</c:v>
                </c:pt>
                <c:pt idx="39">
                  <c:v>674</c:v>
                </c:pt>
                <c:pt idx="40">
                  <c:v>718</c:v>
                </c:pt>
                <c:pt idx="41">
                  <c:v>1078</c:v>
                </c:pt>
                <c:pt idx="42">
                  <c:v>1131</c:v>
                </c:pt>
                <c:pt idx="43">
                  <c:v>1131</c:v>
                </c:pt>
                <c:pt idx="44">
                  <c:v>1217</c:v>
                </c:pt>
                <c:pt idx="45">
                  <c:v>1217</c:v>
                </c:pt>
                <c:pt idx="46">
                  <c:v>1345</c:v>
                </c:pt>
                <c:pt idx="47">
                  <c:v>1524</c:v>
                </c:pt>
                <c:pt idx="48">
                  <c:v>1524</c:v>
                </c:pt>
                <c:pt idx="49">
                  <c:v>1745</c:v>
                </c:pt>
                <c:pt idx="50">
                  <c:v>1745</c:v>
                </c:pt>
                <c:pt idx="51">
                  <c:v>2500</c:v>
                </c:pt>
                <c:pt idx="52">
                  <c:v>2500</c:v>
                </c:pt>
                <c:pt idx="53">
                  <c:v>2500</c:v>
                </c:pt>
                <c:pt idx="54">
                  <c:v>2750</c:v>
                </c:pt>
                <c:pt idx="55">
                  <c:v>3200</c:v>
                </c:pt>
                <c:pt idx="56">
                  <c:v>3200</c:v>
                </c:pt>
                <c:pt idx="57">
                  <c:v>3750</c:v>
                </c:pt>
                <c:pt idx="58">
                  <c:v>3750</c:v>
                </c:pt>
                <c:pt idx="59">
                  <c:v>4000</c:v>
                </c:pt>
                <c:pt idx="60">
                  <c:v>4000</c:v>
                </c:pt>
                <c:pt idx="61">
                  <c:v>4000</c:v>
                </c:pt>
                <c:pt idx="62">
                  <c:v>4800</c:v>
                </c:pt>
                <c:pt idx="63">
                  <c:v>4800</c:v>
                </c:pt>
                <c:pt idx="64">
                  <c:v>4800</c:v>
                </c:pt>
                <c:pt idx="65">
                  <c:v>4800</c:v>
                </c:pt>
                <c:pt idx="66">
                  <c:v>4800</c:v>
                </c:pt>
                <c:pt idx="67">
                  <c:v>4800</c:v>
                </c:pt>
                <c:pt idx="68">
                  <c:v>4800</c:v>
                </c:pt>
                <c:pt idx="69">
                  <c:v>4200</c:v>
                </c:pt>
                <c:pt idx="70">
                  <c:v>4200</c:v>
                </c:pt>
                <c:pt idx="71">
                  <c:v>3650</c:v>
                </c:pt>
                <c:pt idx="72">
                  <c:v>3050</c:v>
                </c:pt>
                <c:pt idx="73">
                  <c:v>3050</c:v>
                </c:pt>
                <c:pt idx="74">
                  <c:v>2600</c:v>
                </c:pt>
                <c:pt idx="75">
                  <c:v>2600</c:v>
                </c:pt>
                <c:pt idx="76">
                  <c:v>2600</c:v>
                </c:pt>
                <c:pt idx="77">
                  <c:v>2600</c:v>
                </c:pt>
                <c:pt idx="78">
                  <c:v>2600</c:v>
                </c:pt>
                <c:pt idx="79">
                  <c:v>2700</c:v>
                </c:pt>
                <c:pt idx="80">
                  <c:v>2700</c:v>
                </c:pt>
                <c:pt idx="81" formatCode="#,##0">
                  <c:v>2700</c:v>
                </c:pt>
                <c:pt idx="82" formatCode="#,##0">
                  <c:v>2700</c:v>
                </c:pt>
                <c:pt idx="83" formatCode="#,##0">
                  <c:v>2700</c:v>
                </c:pt>
                <c:pt idx="84" formatCode="#,##0">
                  <c:v>2700</c:v>
                </c:pt>
              </c:numCache>
            </c:numRef>
          </c:val>
          <c:smooth val="0"/>
          <c:extLst>
            <c:ext xmlns:c16="http://schemas.microsoft.com/office/drawing/2014/chart" uri="{C3380CC4-5D6E-409C-BE32-E72D297353CC}">
              <c16:uniqueId val="{00000001-CC95-4BB2-B6F8-2D8FEB5F160E}"/>
            </c:ext>
          </c:extLst>
        </c:ser>
        <c:dLbls>
          <c:showLegendKey val="0"/>
          <c:showVal val="0"/>
          <c:showCatName val="0"/>
          <c:showSerName val="0"/>
          <c:showPercent val="0"/>
          <c:showBubbleSize val="0"/>
        </c:dLbls>
        <c:marker val="1"/>
        <c:smooth val="0"/>
        <c:axId val="820167168"/>
        <c:axId val="820157600"/>
      </c:lineChart>
      <c:dateAx>
        <c:axId val="820167168"/>
        <c:scaling>
          <c:orientation val="minMax"/>
        </c:scaling>
        <c:delete val="0"/>
        <c:axPos val="b"/>
        <c:numFmt formatCode="yyyy\-mm"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820157600"/>
        <c:crosses val="autoZero"/>
        <c:auto val="0"/>
        <c:lblOffset val="100"/>
        <c:baseTimeUnit val="months"/>
        <c:majorUnit val="1"/>
        <c:majorTimeUnit val="months"/>
      </c:dateAx>
      <c:valAx>
        <c:axId val="82015760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r>
                  <a:rPr lang="en-US" sz="1000" b="1"/>
                  <a:t>GÖP Azami Limiti </a:t>
                </a:r>
              </a:p>
              <a:p>
                <a:pPr>
                  <a:defRPr sz="1000" b="1"/>
                </a:pPr>
                <a:r>
                  <a:rPr lang="pl-PL" sz="1000" b="1"/>
                  <a:t>(TL/MWh)</a:t>
                </a:r>
              </a:p>
            </c:rich>
          </c:tx>
          <c:layout>
            <c:manualLayout>
              <c:xMode val="edge"/>
              <c:yMode val="edge"/>
              <c:x val="1.5133969893528947E-3"/>
              <c:y val="0.1918750529042005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820167168"/>
        <c:crosses val="autoZero"/>
        <c:crossBetween val="between"/>
      </c:valAx>
      <c:valAx>
        <c:axId val="1296638895"/>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r>
                  <a:rPr lang="en-US" sz="1000" b="1"/>
                  <a:t>Azami Limite Takılan Saat Sayısı</a:t>
                </a:r>
              </a:p>
            </c:rich>
          </c:tx>
          <c:layout>
            <c:manualLayout>
              <c:xMode val="edge"/>
              <c:yMode val="edge"/>
              <c:x val="0.95672512450186609"/>
              <c:y val="6.148238848123554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mn-lt"/>
                <a:ea typeface="+mn-ea"/>
                <a:cs typeface="+mn-cs"/>
              </a:defRPr>
            </a:pPr>
            <a:endParaRPr lang="en-US"/>
          </a:p>
        </c:txPr>
        <c:crossAx val="1296640975"/>
        <c:crosses val="max"/>
        <c:crossBetween val="between"/>
      </c:valAx>
      <c:dateAx>
        <c:axId val="1296640975"/>
        <c:scaling>
          <c:orientation val="minMax"/>
        </c:scaling>
        <c:delete val="1"/>
        <c:axPos val="b"/>
        <c:numFmt formatCode="yyyy\-mm" sourceLinked="1"/>
        <c:majorTickMark val="out"/>
        <c:minorTickMark val="none"/>
        <c:tickLblPos val="nextTo"/>
        <c:crossAx val="1296638895"/>
        <c:crosses val="autoZero"/>
        <c:auto val="1"/>
        <c:lblOffset val="100"/>
        <c:baseTimeUnit val="days"/>
        <c:majorUnit val="1"/>
        <c:minorUnit val="1"/>
      </c:dateAx>
      <c:spPr>
        <a:noFill/>
        <a:ln>
          <a:noFill/>
        </a:ln>
        <a:effectLst/>
      </c:spPr>
    </c:plotArea>
    <c:legend>
      <c:legendPos val="r"/>
      <c:layout>
        <c:manualLayout>
          <c:xMode val="edge"/>
          <c:yMode val="edge"/>
          <c:x val="0.32575219701735186"/>
          <c:y val="8.725231706990088E-3"/>
          <c:w val="0.37354742201452706"/>
          <c:h val="0.14301890003577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lumMod val="95000"/>
              <a:lumOff val="5000"/>
            </a:schemeClr>
          </a:solidFill>
          <a:latin typeface="+mn-lt"/>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PTF (TL/MWh)</c:v>
                </c:pt>
              </c:strCache>
            </c:strRef>
          </c:tx>
          <c:spPr>
            <a:solidFill>
              <a:schemeClr val="accent1"/>
            </a:solidFill>
            <a:ln>
              <a:noFill/>
            </a:ln>
            <a:effectLst/>
          </c:spPr>
          <c:invertIfNegative val="0"/>
          <c:cat>
            <c:strRef>
              <c:f>Sheet1!$A$2:$A$61</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Sheet1!$B$2:$B$61</c:f>
              <c:numCache>
                <c:formatCode>General</c:formatCode>
                <c:ptCount val="60"/>
                <c:pt idx="0">
                  <c:v>181.32290322580673</c:v>
                </c:pt>
                <c:pt idx="1">
                  <c:v>172.55427083333356</c:v>
                </c:pt>
                <c:pt idx="2">
                  <c:v>145.28939516129068</c:v>
                </c:pt>
                <c:pt idx="3">
                  <c:v>145.13105555555597</c:v>
                </c:pt>
                <c:pt idx="4">
                  <c:v>152.36319892473114</c:v>
                </c:pt>
                <c:pt idx="5">
                  <c:v>148.53991666666687</c:v>
                </c:pt>
                <c:pt idx="6">
                  <c:v>175.05538978494639</c:v>
                </c:pt>
                <c:pt idx="7">
                  <c:v>173.32930107526914</c:v>
                </c:pt>
                <c:pt idx="8">
                  <c:v>178.50911111111145</c:v>
                </c:pt>
                <c:pt idx="9">
                  <c:v>164.13407258064527</c:v>
                </c:pt>
                <c:pt idx="10">
                  <c:v>174.65334722222224</c:v>
                </c:pt>
                <c:pt idx="11">
                  <c:v>155.81700268817204</c:v>
                </c:pt>
                <c:pt idx="12">
                  <c:v>182.86456989247333</c:v>
                </c:pt>
                <c:pt idx="13">
                  <c:v>175.76947916666663</c:v>
                </c:pt>
                <c:pt idx="14">
                  <c:v>158.56466397849479</c:v>
                </c:pt>
                <c:pt idx="15">
                  <c:v>193.56654166666664</c:v>
                </c:pt>
                <c:pt idx="16">
                  <c:v>179.43517473118303</c:v>
                </c:pt>
                <c:pt idx="17">
                  <c:v>185.61811111111112</c:v>
                </c:pt>
                <c:pt idx="18">
                  <c:v>208.13108870967741</c:v>
                </c:pt>
                <c:pt idx="19">
                  <c:v>298.90942204301058</c:v>
                </c:pt>
                <c:pt idx="20">
                  <c:v>327.27366666666666</c:v>
                </c:pt>
                <c:pt idx="21">
                  <c:v>317.28150537634383</c:v>
                </c:pt>
                <c:pt idx="22">
                  <c:v>291.22347222222203</c:v>
                </c:pt>
                <c:pt idx="23">
                  <c:v>257.88689516129023</c:v>
                </c:pt>
                <c:pt idx="24">
                  <c:v>223.04241935483847</c:v>
                </c:pt>
                <c:pt idx="25">
                  <c:v>257.0475744047622</c:v>
                </c:pt>
                <c:pt idx="26">
                  <c:v>256.04086021505401</c:v>
                </c:pt>
                <c:pt idx="27">
                  <c:v>187.15061111111135</c:v>
                </c:pt>
                <c:pt idx="28">
                  <c:v>196.1730779569894</c:v>
                </c:pt>
                <c:pt idx="29">
                  <c:v>221.32179166666668</c:v>
                </c:pt>
                <c:pt idx="30">
                  <c:v>304.55364247311815</c:v>
                </c:pt>
                <c:pt idx="31">
                  <c:v>298.2992338709679</c:v>
                </c:pt>
                <c:pt idx="32">
                  <c:v>297.90054166666675</c:v>
                </c:pt>
                <c:pt idx="33">
                  <c:v>291.60959677419322</c:v>
                </c:pt>
                <c:pt idx="34">
                  <c:v>297.87145833333341</c:v>
                </c:pt>
                <c:pt idx="35">
                  <c:v>291.32202956989232</c:v>
                </c:pt>
                <c:pt idx="36">
                  <c:v>314.61186827956993</c:v>
                </c:pt>
                <c:pt idx="37">
                  <c:v>298.41429597701114</c:v>
                </c:pt>
                <c:pt idx="38">
                  <c:v>245.08694892473108</c:v>
                </c:pt>
                <c:pt idx="39">
                  <c:v>181.15998611111127</c:v>
                </c:pt>
                <c:pt idx="40">
                  <c:v>203.22416666666675</c:v>
                </c:pt>
                <c:pt idx="41">
                  <c:v>291.30713888888857</c:v>
                </c:pt>
                <c:pt idx="42">
                  <c:v>296.36006720430112</c:v>
                </c:pt>
                <c:pt idx="43">
                  <c:v>298.69985215053731</c:v>
                </c:pt>
                <c:pt idx="44">
                  <c:v>308.20333333333269</c:v>
                </c:pt>
                <c:pt idx="45">
                  <c:v>318.70364247311801</c:v>
                </c:pt>
                <c:pt idx="46">
                  <c:v>295.50706944444454</c:v>
                </c:pt>
                <c:pt idx="47">
                  <c:v>293.34470430107513</c:v>
                </c:pt>
                <c:pt idx="48">
                  <c:v>297.71552419354833</c:v>
                </c:pt>
                <c:pt idx="49">
                  <c:v>286.88550595238092</c:v>
                </c:pt>
                <c:pt idx="50">
                  <c:v>311.40974462365591</c:v>
                </c:pt>
                <c:pt idx="51">
                  <c:v>312.14955555555605</c:v>
                </c:pt>
                <c:pt idx="52">
                  <c:v>360.59255376344021</c:v>
                </c:pt>
                <c:pt idx="53">
                  <c:v>402.02958333333316</c:v>
                </c:pt>
                <c:pt idx="54">
                  <c:v>518.3680645161287</c:v>
                </c:pt>
                <c:pt idx="55">
                  <c:v>557.36524193548325</c:v>
                </c:pt>
                <c:pt idx="56">
                  <c:v>520.85936111111062</c:v>
                </c:pt>
                <c:pt idx="57">
                  <c:v>669.92694892473173</c:v>
                </c:pt>
                <c:pt idx="58">
                  <c:v>830.95687499999849</c:v>
                </c:pt>
                <c:pt idx="59">
                  <c:v>1008.6406048387086</c:v>
                </c:pt>
              </c:numCache>
            </c:numRef>
          </c:val>
          <c:extLst>
            <c:ext xmlns:c16="http://schemas.microsoft.com/office/drawing/2014/chart" uri="{C3380CC4-5D6E-409C-BE32-E72D297353CC}">
              <c16:uniqueId val="{00000000-B475-4619-8D37-8BED7B069D53}"/>
            </c:ext>
          </c:extLst>
        </c:ser>
        <c:ser>
          <c:idx val="1"/>
          <c:order val="1"/>
          <c:tx>
            <c:strRef>
              <c:f>Sheet1!$C$1</c:f>
              <c:strCache>
                <c:ptCount val="1"/>
                <c:pt idx="0">
                  <c:v>Yerli Kömür Alım Fiyatı (TL/MWh)</c:v>
                </c:pt>
              </c:strCache>
            </c:strRef>
          </c:tx>
          <c:spPr>
            <a:solidFill>
              <a:schemeClr val="accent2"/>
            </a:solidFill>
            <a:ln>
              <a:noFill/>
            </a:ln>
            <a:effectLst/>
          </c:spPr>
          <c:invertIfNegative val="0"/>
          <c:cat>
            <c:strRef>
              <c:f>Sheet1!$A$2:$A$61</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Sheet1!$C$2:$C$61</c:f>
              <c:numCache>
                <c:formatCode>General</c:formatCode>
                <c:ptCount val="60"/>
                <c:pt idx="0">
                  <c:v>185</c:v>
                </c:pt>
                <c:pt idx="1">
                  <c:v>185</c:v>
                </c:pt>
                <c:pt idx="2">
                  <c:v>185</c:v>
                </c:pt>
                <c:pt idx="3">
                  <c:v>185</c:v>
                </c:pt>
                <c:pt idx="4">
                  <c:v>185</c:v>
                </c:pt>
                <c:pt idx="5">
                  <c:v>185</c:v>
                </c:pt>
                <c:pt idx="6">
                  <c:v>185</c:v>
                </c:pt>
                <c:pt idx="7">
                  <c:v>185</c:v>
                </c:pt>
                <c:pt idx="8">
                  <c:v>185</c:v>
                </c:pt>
                <c:pt idx="9">
                  <c:v>185</c:v>
                </c:pt>
                <c:pt idx="10">
                  <c:v>185</c:v>
                </c:pt>
                <c:pt idx="11">
                  <c:v>185</c:v>
                </c:pt>
                <c:pt idx="12">
                  <c:v>201.35</c:v>
                </c:pt>
                <c:pt idx="13">
                  <c:v>201.35</c:v>
                </c:pt>
                <c:pt idx="14">
                  <c:v>201.35</c:v>
                </c:pt>
                <c:pt idx="15">
                  <c:v>209.46088232813838</c:v>
                </c:pt>
                <c:pt idx="16">
                  <c:v>209.46088232813838</c:v>
                </c:pt>
                <c:pt idx="17">
                  <c:v>209.46088232813838</c:v>
                </c:pt>
                <c:pt idx="18">
                  <c:v>226.16517090898373</c:v>
                </c:pt>
                <c:pt idx="19">
                  <c:v>226.16517090898373</c:v>
                </c:pt>
                <c:pt idx="20">
                  <c:v>226.16517090898373</c:v>
                </c:pt>
                <c:pt idx="21">
                  <c:v>259.67624516809531</c:v>
                </c:pt>
                <c:pt idx="22">
                  <c:v>259.67624516809531</c:v>
                </c:pt>
                <c:pt idx="23">
                  <c:v>259.67624516809531</c:v>
                </c:pt>
                <c:pt idx="24">
                  <c:v>285</c:v>
                </c:pt>
                <c:pt idx="25">
                  <c:v>285</c:v>
                </c:pt>
                <c:pt idx="26">
                  <c:v>285</c:v>
                </c:pt>
                <c:pt idx="27">
                  <c:v>292.54463290160646</c:v>
                </c:pt>
                <c:pt idx="28">
                  <c:v>292.54463290160646</c:v>
                </c:pt>
                <c:pt idx="29">
                  <c:v>292.54463290160646</c:v>
                </c:pt>
                <c:pt idx="30">
                  <c:v>308.54910108806075</c:v>
                </c:pt>
                <c:pt idx="31">
                  <c:v>308.54910108806075</c:v>
                </c:pt>
                <c:pt idx="32">
                  <c:v>308.54910108806075</c:v>
                </c:pt>
                <c:pt idx="33">
                  <c:v>306.51396038146049</c:v>
                </c:pt>
                <c:pt idx="34">
                  <c:v>306.51396038146049</c:v>
                </c:pt>
                <c:pt idx="35">
                  <c:v>306.51396038146049</c:v>
                </c:pt>
                <c:pt idx="36">
                  <c:v>313.325609720964</c:v>
                </c:pt>
                <c:pt idx="37">
                  <c:v>313.325609720964</c:v>
                </c:pt>
                <c:pt idx="38">
                  <c:v>313.325609720964</c:v>
                </c:pt>
                <c:pt idx="39">
                  <c:v>330.52622349039592</c:v>
                </c:pt>
                <c:pt idx="40">
                  <c:v>330.52622349039592</c:v>
                </c:pt>
                <c:pt idx="41">
                  <c:v>330.52622349039592</c:v>
                </c:pt>
                <c:pt idx="42">
                  <c:v>349.03463550646399</c:v>
                </c:pt>
                <c:pt idx="43">
                  <c:v>349.03463550646399</c:v>
                </c:pt>
                <c:pt idx="44">
                  <c:v>349.03463550646399</c:v>
                </c:pt>
                <c:pt idx="45">
                  <c:v>374.57221874072366</c:v>
                </c:pt>
                <c:pt idx="46">
                  <c:v>374.57221874072366</c:v>
                </c:pt>
                <c:pt idx="47">
                  <c:v>374.57221874072366</c:v>
                </c:pt>
                <c:pt idx="48">
                  <c:v>394.57518862305403</c:v>
                </c:pt>
                <c:pt idx="49">
                  <c:v>394.57518862305403</c:v>
                </c:pt>
                <c:pt idx="50">
                  <c:v>394.57518862305403</c:v>
                </c:pt>
                <c:pt idx="51">
                  <c:v>404.64116314273735</c:v>
                </c:pt>
                <c:pt idx="52">
                  <c:v>404.64116314273735</c:v>
                </c:pt>
                <c:pt idx="53">
                  <c:v>404.64116314273735</c:v>
                </c:pt>
                <c:pt idx="54">
                  <c:v>447.41137722120192</c:v>
                </c:pt>
                <c:pt idx="55">
                  <c:v>447.41137722120192</c:v>
                </c:pt>
                <c:pt idx="56">
                  <c:v>447.41137722120192</c:v>
                </c:pt>
                <c:pt idx="57">
                  <c:v>458.15801945920083</c:v>
                </c:pt>
                <c:pt idx="58">
                  <c:v>458.15801945920083</c:v>
                </c:pt>
                <c:pt idx="59">
                  <c:v>458.15801945920083</c:v>
                </c:pt>
              </c:numCache>
            </c:numRef>
          </c:val>
          <c:extLst>
            <c:ext xmlns:c16="http://schemas.microsoft.com/office/drawing/2014/chart" uri="{C3380CC4-5D6E-409C-BE32-E72D297353CC}">
              <c16:uniqueId val="{00000001-B475-4619-8D37-8BED7B069D53}"/>
            </c:ext>
          </c:extLst>
        </c:ser>
        <c:dLbls>
          <c:showLegendKey val="0"/>
          <c:showVal val="0"/>
          <c:showCatName val="0"/>
          <c:showSerName val="0"/>
          <c:showPercent val="0"/>
          <c:showBubbleSize val="0"/>
        </c:dLbls>
        <c:gapWidth val="150"/>
        <c:axId val="1770650815"/>
        <c:axId val="1798637839"/>
      </c:barChart>
      <c:lineChart>
        <c:grouping val="standard"/>
        <c:varyColors val="0"/>
        <c:ser>
          <c:idx val="2"/>
          <c:order val="2"/>
          <c:tx>
            <c:strRef>
              <c:f>Sheet1!$D$1</c:f>
              <c:strCache>
                <c:ptCount val="1"/>
                <c:pt idx="0">
                  <c:v>PTF (USD/MWh)</c:v>
                </c:pt>
              </c:strCache>
            </c:strRef>
          </c:tx>
          <c:spPr>
            <a:ln w="28575" cap="rnd">
              <a:solidFill>
                <a:schemeClr val="accent3"/>
              </a:solidFill>
              <a:round/>
            </a:ln>
            <a:effectLst/>
          </c:spPr>
          <c:marker>
            <c:symbol val="none"/>
          </c:marker>
          <c:cat>
            <c:strRef>
              <c:f>Sheet1!$A$2:$A$61</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Sheet1!$D$2:$D$61</c:f>
              <c:numCache>
                <c:formatCode>General</c:formatCode>
                <c:ptCount val="60"/>
                <c:pt idx="0">
                  <c:v>48.3</c:v>
                </c:pt>
                <c:pt idx="1">
                  <c:v>46.8</c:v>
                </c:pt>
                <c:pt idx="2">
                  <c:v>39.5</c:v>
                </c:pt>
                <c:pt idx="3">
                  <c:v>39.6</c:v>
                </c:pt>
                <c:pt idx="4">
                  <c:v>42.6</c:v>
                </c:pt>
                <c:pt idx="5">
                  <c:v>42.1</c:v>
                </c:pt>
                <c:pt idx="6">
                  <c:v>49.1</c:v>
                </c:pt>
                <c:pt idx="7">
                  <c:v>49.2</c:v>
                </c:pt>
                <c:pt idx="8">
                  <c:v>51.4</c:v>
                </c:pt>
                <c:pt idx="9">
                  <c:v>44.8</c:v>
                </c:pt>
                <c:pt idx="10">
                  <c:v>45</c:v>
                </c:pt>
                <c:pt idx="11">
                  <c:v>40.4</c:v>
                </c:pt>
                <c:pt idx="12">
                  <c:v>48.4</c:v>
                </c:pt>
                <c:pt idx="13">
                  <c:v>46.4</c:v>
                </c:pt>
                <c:pt idx="14">
                  <c:v>40.700000000000003</c:v>
                </c:pt>
                <c:pt idx="15">
                  <c:v>47.6</c:v>
                </c:pt>
                <c:pt idx="16">
                  <c:v>40.5</c:v>
                </c:pt>
                <c:pt idx="17">
                  <c:v>40</c:v>
                </c:pt>
                <c:pt idx="18">
                  <c:v>43.6</c:v>
                </c:pt>
                <c:pt idx="19">
                  <c:v>51.1</c:v>
                </c:pt>
                <c:pt idx="20">
                  <c:v>51.7</c:v>
                </c:pt>
                <c:pt idx="21">
                  <c:v>54.4</c:v>
                </c:pt>
                <c:pt idx="22">
                  <c:v>54.1</c:v>
                </c:pt>
                <c:pt idx="23">
                  <c:v>48.5</c:v>
                </c:pt>
                <c:pt idx="24">
                  <c:v>41.5</c:v>
                </c:pt>
                <c:pt idx="25">
                  <c:v>48.7</c:v>
                </c:pt>
                <c:pt idx="26">
                  <c:v>46.8</c:v>
                </c:pt>
                <c:pt idx="27">
                  <c:v>32.5</c:v>
                </c:pt>
                <c:pt idx="28">
                  <c:v>32.4</c:v>
                </c:pt>
                <c:pt idx="29">
                  <c:v>37.9</c:v>
                </c:pt>
                <c:pt idx="30">
                  <c:v>53.6</c:v>
                </c:pt>
                <c:pt idx="31">
                  <c:v>52.9</c:v>
                </c:pt>
                <c:pt idx="32">
                  <c:v>52.1</c:v>
                </c:pt>
                <c:pt idx="33">
                  <c:v>50.3</c:v>
                </c:pt>
                <c:pt idx="34">
                  <c:v>51.8</c:v>
                </c:pt>
                <c:pt idx="35">
                  <c:v>49.7</c:v>
                </c:pt>
                <c:pt idx="36">
                  <c:v>53</c:v>
                </c:pt>
                <c:pt idx="37">
                  <c:v>49.1</c:v>
                </c:pt>
                <c:pt idx="38">
                  <c:v>38.700000000000003</c:v>
                </c:pt>
                <c:pt idx="39">
                  <c:v>26.3</c:v>
                </c:pt>
                <c:pt idx="40">
                  <c:v>29.3</c:v>
                </c:pt>
                <c:pt idx="41">
                  <c:v>42.6</c:v>
                </c:pt>
                <c:pt idx="42">
                  <c:v>43.1</c:v>
                </c:pt>
                <c:pt idx="43">
                  <c:v>41.1</c:v>
                </c:pt>
                <c:pt idx="44">
                  <c:v>40.9</c:v>
                </c:pt>
                <c:pt idx="45">
                  <c:v>40.200000000000003</c:v>
                </c:pt>
                <c:pt idx="46">
                  <c:v>37.1</c:v>
                </c:pt>
                <c:pt idx="47">
                  <c:v>37.9</c:v>
                </c:pt>
                <c:pt idx="48">
                  <c:v>40.200000000000003</c:v>
                </c:pt>
                <c:pt idx="49">
                  <c:v>40.4</c:v>
                </c:pt>
                <c:pt idx="50">
                  <c:v>40.700000000000003</c:v>
                </c:pt>
                <c:pt idx="51">
                  <c:v>38.200000000000003</c:v>
                </c:pt>
                <c:pt idx="52">
                  <c:v>43.1</c:v>
                </c:pt>
                <c:pt idx="53">
                  <c:v>46.6</c:v>
                </c:pt>
                <c:pt idx="54">
                  <c:v>60.2</c:v>
                </c:pt>
                <c:pt idx="55">
                  <c:v>65.599999999999994</c:v>
                </c:pt>
                <c:pt idx="56">
                  <c:v>60.9</c:v>
                </c:pt>
                <c:pt idx="57">
                  <c:v>72.5</c:v>
                </c:pt>
                <c:pt idx="58">
                  <c:v>78.5</c:v>
                </c:pt>
                <c:pt idx="59">
                  <c:v>74.7</c:v>
                </c:pt>
              </c:numCache>
            </c:numRef>
          </c:val>
          <c:smooth val="0"/>
          <c:extLst>
            <c:ext xmlns:c16="http://schemas.microsoft.com/office/drawing/2014/chart" uri="{C3380CC4-5D6E-409C-BE32-E72D297353CC}">
              <c16:uniqueId val="{00000002-B475-4619-8D37-8BED7B069D53}"/>
            </c:ext>
          </c:extLst>
        </c:ser>
        <c:ser>
          <c:idx val="3"/>
          <c:order val="3"/>
          <c:tx>
            <c:strRef>
              <c:f>Sheet1!$E$1</c:f>
              <c:strCache>
                <c:ptCount val="1"/>
                <c:pt idx="0">
                  <c:v>Yerli Kömür Alım Fiyatı (USD/MWh)</c:v>
                </c:pt>
              </c:strCache>
            </c:strRef>
          </c:tx>
          <c:spPr>
            <a:ln w="28575" cap="rnd">
              <a:solidFill>
                <a:schemeClr val="accent4"/>
              </a:solidFill>
              <a:round/>
            </a:ln>
            <a:effectLst/>
          </c:spPr>
          <c:marker>
            <c:symbol val="none"/>
          </c:marker>
          <c:cat>
            <c:strRef>
              <c:f>Sheet1!$A$2:$A$61</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Sheet1!$E$2:$E$61</c:f>
              <c:numCache>
                <c:formatCode>General</c:formatCode>
                <c:ptCount val="60"/>
                <c:pt idx="0">
                  <c:v>49.279488917472051</c:v>
                </c:pt>
                <c:pt idx="1">
                  <c:v>50.175518451018661</c:v>
                </c:pt>
                <c:pt idx="2">
                  <c:v>50.296169186248569</c:v>
                </c:pt>
                <c:pt idx="3">
                  <c:v>50.4785138642888</c:v>
                </c:pt>
                <c:pt idx="4">
                  <c:v>51.725088837845213</c:v>
                </c:pt>
                <c:pt idx="5">
                  <c:v>52.433717311676531</c:v>
                </c:pt>
                <c:pt idx="6">
                  <c:v>51.889290647714304</c:v>
                </c:pt>
                <c:pt idx="7">
                  <c:v>52.512760067309166</c:v>
                </c:pt>
                <c:pt idx="8">
                  <c:v>53.268989693647654</c:v>
                </c:pt>
                <c:pt idx="9">
                  <c:v>50.495304659718308</c:v>
                </c:pt>
                <c:pt idx="10">
                  <c:v>47.665848564628931</c:v>
                </c:pt>
                <c:pt idx="11">
                  <c:v>47.96652400609517</c:v>
                </c:pt>
                <c:pt idx="12">
                  <c:v>53.292663558229911</c:v>
                </c:pt>
                <c:pt idx="13">
                  <c:v>53.152800157877245</c:v>
                </c:pt>
                <c:pt idx="14">
                  <c:v>51.682038068150121</c:v>
                </c:pt>
                <c:pt idx="15">
                  <c:v>51.508581560489496</c:v>
                </c:pt>
                <c:pt idx="16">
                  <c:v>47.277050037700121</c:v>
                </c:pt>
                <c:pt idx="17">
                  <c:v>45.138026903582691</c:v>
                </c:pt>
                <c:pt idx="18">
                  <c:v>47.377840152398122</c:v>
                </c:pt>
                <c:pt idx="19">
                  <c:v>38.664021209027347</c:v>
                </c:pt>
                <c:pt idx="20">
                  <c:v>35.727712085994675</c:v>
                </c:pt>
                <c:pt idx="21">
                  <c:v>44.523199423137989</c:v>
                </c:pt>
                <c:pt idx="22">
                  <c:v>48.239534939938046</c:v>
                </c:pt>
                <c:pt idx="23">
                  <c:v>48.836517585648423</c:v>
                </c:pt>
                <c:pt idx="24">
                  <c:v>53.028029530040271</c:v>
                </c:pt>
                <c:pt idx="25">
                  <c:v>53.995841167302849</c:v>
                </c:pt>
                <c:pt idx="26">
                  <c:v>52.093247885502088</c:v>
                </c:pt>
                <c:pt idx="27">
                  <c:v>50.802401941703977</c:v>
                </c:pt>
                <c:pt idx="28">
                  <c:v>48.316752760999051</c:v>
                </c:pt>
                <c:pt idx="29">
                  <c:v>50.096474926742452</c:v>
                </c:pt>
                <c:pt idx="30">
                  <c:v>54.303181810671752</c:v>
                </c:pt>
                <c:pt idx="31">
                  <c:v>54.717698184296218</c:v>
                </c:pt>
                <c:pt idx="32">
                  <c:v>53.962332786475443</c:v>
                </c:pt>
                <c:pt idx="33">
                  <c:v>52.870867000738876</c:v>
                </c:pt>
                <c:pt idx="34">
                  <c:v>53.302935556826675</c:v>
                </c:pt>
                <c:pt idx="35">
                  <c:v>52.291767476183239</c:v>
                </c:pt>
                <c:pt idx="36">
                  <c:v>52.783314901694887</c:v>
                </c:pt>
                <c:pt idx="37">
                  <c:v>51.553453184710989</c:v>
                </c:pt>
                <c:pt idx="38">
                  <c:v>49.475099140938937</c:v>
                </c:pt>
                <c:pt idx="39">
                  <c:v>47.984325150399457</c:v>
                </c:pt>
                <c:pt idx="40">
                  <c:v>47.653871619280501</c:v>
                </c:pt>
                <c:pt idx="41">
                  <c:v>48.335297151991426</c:v>
                </c:pt>
                <c:pt idx="42">
                  <c:v>50.760525641122108</c:v>
                </c:pt>
                <c:pt idx="43">
                  <c:v>48.025880883549895</c:v>
                </c:pt>
                <c:pt idx="44">
                  <c:v>46.318501613267451</c:v>
                </c:pt>
                <c:pt idx="45">
                  <c:v>47.247038272074931</c:v>
                </c:pt>
                <c:pt idx="46">
                  <c:v>47.026385329483361</c:v>
                </c:pt>
                <c:pt idx="47">
                  <c:v>48.39455726360422</c:v>
                </c:pt>
                <c:pt idx="48">
                  <c:v>53.278788956718138</c:v>
                </c:pt>
                <c:pt idx="49">
                  <c:v>55.565155051846169</c:v>
                </c:pt>
                <c:pt idx="50">
                  <c:v>51.569388736907172</c:v>
                </c:pt>
                <c:pt idx="51">
                  <c:v>49.518867340823412</c:v>
                </c:pt>
                <c:pt idx="52">
                  <c:v>48.364931414787833</c:v>
                </c:pt>
                <c:pt idx="53">
                  <c:v>46.902713094168824</c:v>
                </c:pt>
                <c:pt idx="54">
                  <c:v>51.959537541839282</c:v>
                </c:pt>
                <c:pt idx="55">
                  <c:v>52.658802769599724</c:v>
                </c:pt>
                <c:pt idx="56">
                  <c:v>52.31230329555072</c:v>
                </c:pt>
                <c:pt idx="57">
                  <c:v>49.582206633284763</c:v>
                </c:pt>
                <c:pt idx="58">
                  <c:v>43.281914633111775</c:v>
                </c:pt>
                <c:pt idx="59">
                  <c:v>33.931217808820136</c:v>
                </c:pt>
              </c:numCache>
            </c:numRef>
          </c:val>
          <c:smooth val="0"/>
          <c:extLst>
            <c:ext xmlns:c16="http://schemas.microsoft.com/office/drawing/2014/chart" uri="{C3380CC4-5D6E-409C-BE32-E72D297353CC}">
              <c16:uniqueId val="{00000003-B475-4619-8D37-8BED7B069D53}"/>
            </c:ext>
          </c:extLst>
        </c:ser>
        <c:ser>
          <c:idx val="4"/>
          <c:order val="4"/>
          <c:tx>
            <c:strRef>
              <c:f>Sheet1!$F$1</c:f>
              <c:strCache>
                <c:ptCount val="1"/>
                <c:pt idx="0">
                  <c:v>Yerli Kömür Alım Fiyatı için Alt Limit (USD/MWh)</c:v>
                </c:pt>
              </c:strCache>
            </c:strRef>
          </c:tx>
          <c:spPr>
            <a:ln w="28575" cap="rnd">
              <a:solidFill>
                <a:srgbClr val="C00000"/>
              </a:solidFill>
              <a:round/>
            </a:ln>
            <a:effectLst/>
          </c:spPr>
          <c:marker>
            <c:symbol val="none"/>
          </c:marker>
          <c:cat>
            <c:strRef>
              <c:f>Sheet1!$A$2:$A$61</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Sheet1!$F$2:$F$61</c:f>
              <c:numCache>
                <c:formatCode>General</c:formatCode>
                <c:ptCount val="60"/>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numCache>
            </c:numRef>
          </c:val>
          <c:smooth val="0"/>
          <c:extLst>
            <c:ext xmlns:c16="http://schemas.microsoft.com/office/drawing/2014/chart" uri="{C3380CC4-5D6E-409C-BE32-E72D297353CC}">
              <c16:uniqueId val="{00000004-B475-4619-8D37-8BED7B069D53}"/>
            </c:ext>
          </c:extLst>
        </c:ser>
        <c:dLbls>
          <c:showLegendKey val="0"/>
          <c:showVal val="0"/>
          <c:showCatName val="0"/>
          <c:showSerName val="0"/>
          <c:showPercent val="0"/>
          <c:showBubbleSize val="0"/>
        </c:dLbls>
        <c:marker val="1"/>
        <c:smooth val="0"/>
        <c:axId val="1924272864"/>
        <c:axId val="1024103967"/>
      </c:lineChart>
      <c:catAx>
        <c:axId val="177065081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798637839"/>
        <c:crosses val="autoZero"/>
        <c:auto val="1"/>
        <c:lblAlgn val="ctr"/>
        <c:lblOffset val="100"/>
        <c:noMultiLvlLbl val="0"/>
      </c:catAx>
      <c:valAx>
        <c:axId val="17986378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TL/MWh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70650815"/>
        <c:crosses val="autoZero"/>
        <c:crossBetween val="between"/>
      </c:valAx>
      <c:valAx>
        <c:axId val="1024103967"/>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USD/MWh</a:t>
                </a:r>
              </a:p>
            </c:rich>
          </c:tx>
          <c:layout>
            <c:manualLayout>
              <c:xMode val="edge"/>
              <c:yMode val="edge"/>
              <c:x val="0.94506281054490826"/>
              <c:y val="0.1306463573121320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24272864"/>
        <c:crosses val="max"/>
        <c:crossBetween val="between"/>
      </c:valAx>
      <c:catAx>
        <c:axId val="1924272864"/>
        <c:scaling>
          <c:orientation val="minMax"/>
        </c:scaling>
        <c:delete val="1"/>
        <c:axPos val="b"/>
        <c:numFmt formatCode="General" sourceLinked="1"/>
        <c:majorTickMark val="out"/>
        <c:minorTickMark val="none"/>
        <c:tickLblPos val="nextTo"/>
        <c:crossAx val="102410396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9484141585105"/>
          <c:y val="0.14605712295001977"/>
          <c:w val="0.85389048331575379"/>
          <c:h val="0.59162641645251768"/>
        </c:manualLayout>
      </c:layout>
      <c:areaChart>
        <c:grouping val="stacked"/>
        <c:varyColors val="0"/>
        <c:ser>
          <c:idx val="5"/>
          <c:order val="0"/>
          <c:tx>
            <c:strRef>
              <c:f>Sheet1!$G$1</c:f>
              <c:strCache>
                <c:ptCount val="1"/>
                <c:pt idx="0">
                  <c:v>Nükleer</c:v>
                </c:pt>
              </c:strCache>
            </c:strRef>
          </c:tx>
          <c:spPr>
            <a:solidFill>
              <a:srgbClr val="FF6969"/>
            </a:solidFill>
            <a:ln w="25400">
              <a:noFill/>
            </a:ln>
            <a:effectLst/>
          </c:spPr>
          <c:cat>
            <c:numRef>
              <c:f>Sheet1!$A$2:$A$25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Sheet1!$G$2:$G$25</c:f>
              <c:numCache>
                <c:formatCode>_-* #,##0_-;\-* #,##0_-;_-* "-"??_-;_-@_-</c:formatCode>
                <c:ptCount val="24"/>
                <c:pt idx="0">
                  <c:v>8600</c:v>
                </c:pt>
                <c:pt idx="1">
                  <c:v>8600</c:v>
                </c:pt>
                <c:pt idx="2">
                  <c:v>8600</c:v>
                </c:pt>
                <c:pt idx="3">
                  <c:v>8600</c:v>
                </c:pt>
                <c:pt idx="4">
                  <c:v>8600</c:v>
                </c:pt>
                <c:pt idx="5">
                  <c:v>8600</c:v>
                </c:pt>
                <c:pt idx="6">
                  <c:v>8600</c:v>
                </c:pt>
                <c:pt idx="7">
                  <c:v>8600</c:v>
                </c:pt>
                <c:pt idx="8">
                  <c:v>8600</c:v>
                </c:pt>
                <c:pt idx="9">
                  <c:v>8600</c:v>
                </c:pt>
                <c:pt idx="10">
                  <c:v>8600</c:v>
                </c:pt>
                <c:pt idx="11">
                  <c:v>8600</c:v>
                </c:pt>
                <c:pt idx="12">
                  <c:v>8600</c:v>
                </c:pt>
                <c:pt idx="13">
                  <c:v>8600</c:v>
                </c:pt>
                <c:pt idx="14">
                  <c:v>8600</c:v>
                </c:pt>
                <c:pt idx="15">
                  <c:v>8600</c:v>
                </c:pt>
                <c:pt idx="16">
                  <c:v>8600</c:v>
                </c:pt>
                <c:pt idx="17">
                  <c:v>8600</c:v>
                </c:pt>
                <c:pt idx="18">
                  <c:v>8600</c:v>
                </c:pt>
                <c:pt idx="19">
                  <c:v>8600</c:v>
                </c:pt>
                <c:pt idx="20">
                  <c:v>8600</c:v>
                </c:pt>
                <c:pt idx="21">
                  <c:v>8600</c:v>
                </c:pt>
                <c:pt idx="22">
                  <c:v>8600</c:v>
                </c:pt>
                <c:pt idx="23">
                  <c:v>8600</c:v>
                </c:pt>
              </c:numCache>
            </c:numRef>
          </c:val>
          <c:extLst>
            <c:ext xmlns:c16="http://schemas.microsoft.com/office/drawing/2014/chart" uri="{C3380CC4-5D6E-409C-BE32-E72D297353CC}">
              <c16:uniqueId val="{00000000-ECC8-47A2-88D8-6742FDDF95D1}"/>
            </c:ext>
          </c:extLst>
        </c:ser>
        <c:ser>
          <c:idx val="6"/>
          <c:order val="1"/>
          <c:tx>
            <c:strRef>
              <c:f>Sheet1!$H$1</c:f>
              <c:strCache>
                <c:ptCount val="1"/>
                <c:pt idx="0">
                  <c:v>Barajlı Hidro</c:v>
                </c:pt>
              </c:strCache>
            </c:strRef>
          </c:tx>
          <c:spPr>
            <a:solidFill>
              <a:srgbClr val="0067B4"/>
            </a:solidFill>
            <a:ln w="25400">
              <a:noFill/>
            </a:ln>
            <a:effectLst/>
          </c:spPr>
          <c:val>
            <c:numRef>
              <c:f>Sheet1!$H$2:$H$25</c:f>
              <c:numCache>
                <c:formatCode>_-* #,##0_-;\-* #,##0_-;_-* "-"??_-;_-@_-</c:formatCode>
                <c:ptCount val="24"/>
                <c:pt idx="0">
                  <c:v>11769.4089324343</c:v>
                </c:pt>
                <c:pt idx="1">
                  <c:v>13107.336957348849</c:v>
                </c:pt>
                <c:pt idx="2">
                  <c:v>13734.488489299882</c:v>
                </c:pt>
                <c:pt idx="3">
                  <c:v>14989.730223165803</c:v>
                </c:pt>
                <c:pt idx="4">
                  <c:v>14182.21967385567</c:v>
                </c:pt>
                <c:pt idx="5">
                  <c:v>13016.01167065926</c:v>
                </c:pt>
                <c:pt idx="6">
                  <c:v>14125.016429595315</c:v>
                </c:pt>
                <c:pt idx="7">
                  <c:v>9504.735582049645</c:v>
                </c:pt>
                <c:pt idx="8">
                  <c:v>6430.3116779439006</c:v>
                </c:pt>
                <c:pt idx="9">
                  <c:v>6138.7109350891405</c:v>
                </c:pt>
                <c:pt idx="10">
                  <c:v>7255.9494951799134</c:v>
                </c:pt>
                <c:pt idx="11">
                  <c:v>7559.9665887926676</c:v>
                </c:pt>
                <c:pt idx="12">
                  <c:v>3093.8390483485418</c:v>
                </c:pt>
                <c:pt idx="13">
                  <c:v>409.97468247602228</c:v>
                </c:pt>
                <c:pt idx="14">
                  <c:v>4216.6708342813508</c:v>
                </c:pt>
                <c:pt idx="15">
                  <c:v>4568.1373344858584</c:v>
                </c:pt>
                <c:pt idx="16">
                  <c:v>9503.9083728537516</c:v>
                </c:pt>
                <c:pt idx="17">
                  <c:v>11933.873368651417</c:v>
                </c:pt>
                <c:pt idx="18">
                  <c:v>10514.137927902069</c:v>
                </c:pt>
                <c:pt idx="19">
                  <c:v>11861.491367676543</c:v>
                </c:pt>
                <c:pt idx="20">
                  <c:v>12994.885413568234</c:v>
                </c:pt>
                <c:pt idx="21">
                  <c:v>12953.622793580209</c:v>
                </c:pt>
                <c:pt idx="22">
                  <c:v>13181.886996861202</c:v>
                </c:pt>
                <c:pt idx="23">
                  <c:v>11739.010360047101</c:v>
                </c:pt>
              </c:numCache>
            </c:numRef>
          </c:val>
          <c:extLst>
            <c:ext xmlns:c16="http://schemas.microsoft.com/office/drawing/2014/chart" uri="{C3380CC4-5D6E-409C-BE32-E72D297353CC}">
              <c16:uniqueId val="{00000001-ECC8-47A2-88D8-6742FDDF95D1}"/>
            </c:ext>
          </c:extLst>
        </c:ser>
        <c:ser>
          <c:idx val="1"/>
          <c:order val="2"/>
          <c:tx>
            <c:strRef>
              <c:f>Sheet1!$C$1</c:f>
              <c:strCache>
                <c:ptCount val="1"/>
                <c:pt idx="0">
                  <c:v>Akarsu</c:v>
                </c:pt>
              </c:strCache>
            </c:strRef>
          </c:tx>
          <c:spPr>
            <a:solidFill>
              <a:srgbClr val="00B0F0"/>
            </a:solidFill>
            <a:ln>
              <a:noFill/>
            </a:ln>
            <a:effectLst/>
          </c:spPr>
          <c:cat>
            <c:numRef>
              <c:f>Sheet1!$A$2:$A$25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Sheet1!$C$2:$C$25</c:f>
              <c:numCache>
                <c:formatCode>_-* #,##0_-;\-* #,##0_-;_-* "-"??_-;_-@_-</c:formatCode>
                <c:ptCount val="24"/>
                <c:pt idx="0">
                  <c:v>4165.6594023023381</c:v>
                </c:pt>
                <c:pt idx="1">
                  <c:v>3997.5268811386018</c:v>
                </c:pt>
                <c:pt idx="2">
                  <c:v>3849.112305070023</c:v>
                </c:pt>
                <c:pt idx="3">
                  <c:v>3775.8035033686397</c:v>
                </c:pt>
                <c:pt idx="4">
                  <c:v>3732.0059197109249</c:v>
                </c:pt>
                <c:pt idx="5">
                  <c:v>3748.423526776066</c:v>
                </c:pt>
                <c:pt idx="6">
                  <c:v>3808.299486429476</c:v>
                </c:pt>
                <c:pt idx="7">
                  <c:v>3991.8438346153825</c:v>
                </c:pt>
                <c:pt idx="8">
                  <c:v>4436.6840662230852</c:v>
                </c:pt>
                <c:pt idx="9">
                  <c:v>4699.1460332645001</c:v>
                </c:pt>
                <c:pt idx="10">
                  <c:v>4767.6559029351592</c:v>
                </c:pt>
                <c:pt idx="11">
                  <c:v>4756.2743185280106</c:v>
                </c:pt>
                <c:pt idx="12">
                  <c:v>4658.8276297623734</c:v>
                </c:pt>
                <c:pt idx="13">
                  <c:v>4662.398912673204</c:v>
                </c:pt>
                <c:pt idx="14">
                  <c:v>4705.0003835785819</c:v>
                </c:pt>
                <c:pt idx="15">
                  <c:v>4632.9879574077659</c:v>
                </c:pt>
                <c:pt idx="16">
                  <c:v>4572.3201003439608</c:v>
                </c:pt>
                <c:pt idx="17">
                  <c:v>4499.7754583891628</c:v>
                </c:pt>
                <c:pt idx="18">
                  <c:v>4481.4911627154988</c:v>
                </c:pt>
                <c:pt idx="19">
                  <c:v>4576.8933849474297</c:v>
                </c:pt>
                <c:pt idx="20">
                  <c:v>4715.6340523619738</c:v>
                </c:pt>
                <c:pt idx="21">
                  <c:v>4679.6501960414616</c:v>
                </c:pt>
                <c:pt idx="22">
                  <c:v>4592.1111857423048</c:v>
                </c:pt>
                <c:pt idx="23">
                  <c:v>4424.3684057334449</c:v>
                </c:pt>
              </c:numCache>
            </c:numRef>
          </c:val>
          <c:extLst>
            <c:ext xmlns:c16="http://schemas.microsoft.com/office/drawing/2014/chart" uri="{C3380CC4-5D6E-409C-BE32-E72D297353CC}">
              <c16:uniqueId val="{00000002-ECC8-47A2-88D8-6742FDDF95D1}"/>
            </c:ext>
          </c:extLst>
        </c:ser>
        <c:ser>
          <c:idx val="3"/>
          <c:order val="3"/>
          <c:tx>
            <c:strRef>
              <c:f>Sheet1!$E$1</c:f>
              <c:strCache>
                <c:ptCount val="1"/>
                <c:pt idx="0">
                  <c:v>Jeotermal</c:v>
                </c:pt>
              </c:strCache>
            </c:strRef>
          </c:tx>
          <c:spPr>
            <a:solidFill>
              <a:srgbClr val="EA8F16"/>
            </a:solidFill>
            <a:ln w="25400">
              <a:noFill/>
            </a:ln>
            <a:effectLst/>
          </c:spPr>
          <c:cat>
            <c:numRef>
              <c:f>Sheet1!$A$2:$A$25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Sheet1!$E$2:$E$25</c:f>
              <c:numCache>
                <c:formatCode>_-* #,##0_-;\-* #,##0_-;_-* "-"??_-;_-@_-</c:formatCode>
                <c:ptCount val="24"/>
                <c:pt idx="0">
                  <c:v>1997.9257750463551</c:v>
                </c:pt>
                <c:pt idx="1">
                  <c:v>1997.9257750463551</c:v>
                </c:pt>
                <c:pt idx="2">
                  <c:v>1997.9257750463551</c:v>
                </c:pt>
                <c:pt idx="3">
                  <c:v>1997.9257750463551</c:v>
                </c:pt>
                <c:pt idx="4">
                  <c:v>1997.9257750463551</c:v>
                </c:pt>
                <c:pt idx="5">
                  <c:v>1997.9257750463551</c:v>
                </c:pt>
                <c:pt idx="6">
                  <c:v>1997.9257750463551</c:v>
                </c:pt>
                <c:pt idx="7">
                  <c:v>1997.9257750463551</c:v>
                </c:pt>
                <c:pt idx="8">
                  <c:v>1997.9257750463551</c:v>
                </c:pt>
                <c:pt idx="9">
                  <c:v>1997.9257750463551</c:v>
                </c:pt>
                <c:pt idx="10">
                  <c:v>1997.9257750463551</c:v>
                </c:pt>
                <c:pt idx="11">
                  <c:v>1997.9257750463551</c:v>
                </c:pt>
                <c:pt idx="12">
                  <c:v>1997.9257750463551</c:v>
                </c:pt>
                <c:pt idx="13">
                  <c:v>1997.9257750463551</c:v>
                </c:pt>
                <c:pt idx="14">
                  <c:v>1997.9257750463551</c:v>
                </c:pt>
                <c:pt idx="15">
                  <c:v>1997.9257750463551</c:v>
                </c:pt>
                <c:pt idx="16">
                  <c:v>1997.9257750463551</c:v>
                </c:pt>
                <c:pt idx="17">
                  <c:v>1997.9257750463551</c:v>
                </c:pt>
                <c:pt idx="18">
                  <c:v>1997.9257750463551</c:v>
                </c:pt>
                <c:pt idx="19">
                  <c:v>1997.9257750463551</c:v>
                </c:pt>
                <c:pt idx="20">
                  <c:v>1997.9257750463551</c:v>
                </c:pt>
                <c:pt idx="21">
                  <c:v>1997.9257750463551</c:v>
                </c:pt>
                <c:pt idx="22">
                  <c:v>1997.9257750463551</c:v>
                </c:pt>
                <c:pt idx="23">
                  <c:v>1997.9257750463551</c:v>
                </c:pt>
              </c:numCache>
            </c:numRef>
          </c:val>
          <c:extLst>
            <c:ext xmlns:c16="http://schemas.microsoft.com/office/drawing/2014/chart" uri="{C3380CC4-5D6E-409C-BE32-E72D297353CC}">
              <c16:uniqueId val="{00000003-ECC8-47A2-88D8-6742FDDF95D1}"/>
            </c:ext>
          </c:extLst>
        </c:ser>
        <c:ser>
          <c:idx val="2"/>
          <c:order val="4"/>
          <c:tx>
            <c:strRef>
              <c:f>Sheet1!$D$1</c:f>
              <c:strCache>
                <c:ptCount val="1"/>
                <c:pt idx="0">
                  <c:v>Biyokütle</c:v>
                </c:pt>
              </c:strCache>
            </c:strRef>
          </c:tx>
          <c:spPr>
            <a:solidFill>
              <a:srgbClr val="467250"/>
            </a:solidFill>
            <a:ln>
              <a:noFill/>
            </a:ln>
            <a:effectLst/>
          </c:spPr>
          <c:cat>
            <c:numRef>
              <c:f>Sheet1!$A$2:$A$25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Sheet1!$D$2:$D$25</c:f>
              <c:numCache>
                <c:formatCode>_-* #,##0_-;\-* #,##0_-;_-* "-"??_-;_-@_-</c:formatCode>
                <c:ptCount val="24"/>
                <c:pt idx="0">
                  <c:v>3006.645843159436</c:v>
                </c:pt>
                <c:pt idx="1">
                  <c:v>3006.645843159436</c:v>
                </c:pt>
                <c:pt idx="2">
                  <c:v>3006.645843159436</c:v>
                </c:pt>
                <c:pt idx="3">
                  <c:v>3006.645843159436</c:v>
                </c:pt>
                <c:pt idx="4">
                  <c:v>3006.645843159436</c:v>
                </c:pt>
                <c:pt idx="5">
                  <c:v>3006.645843159436</c:v>
                </c:pt>
                <c:pt idx="6">
                  <c:v>3006.645843159436</c:v>
                </c:pt>
                <c:pt idx="7">
                  <c:v>3006.645843159436</c:v>
                </c:pt>
                <c:pt idx="8">
                  <c:v>3006.645843159436</c:v>
                </c:pt>
                <c:pt idx="9">
                  <c:v>3006.645843159436</c:v>
                </c:pt>
                <c:pt idx="10">
                  <c:v>3006.645843159436</c:v>
                </c:pt>
                <c:pt idx="11">
                  <c:v>3006.645843159436</c:v>
                </c:pt>
                <c:pt idx="12">
                  <c:v>3006.645843159436</c:v>
                </c:pt>
                <c:pt idx="13">
                  <c:v>3006.645843159436</c:v>
                </c:pt>
                <c:pt idx="14">
                  <c:v>3006.645843159436</c:v>
                </c:pt>
                <c:pt idx="15">
                  <c:v>3006.645843159436</c:v>
                </c:pt>
                <c:pt idx="16">
                  <c:v>3006.645843159436</c:v>
                </c:pt>
                <c:pt idx="17">
                  <c:v>3006.645843159436</c:v>
                </c:pt>
                <c:pt idx="18">
                  <c:v>3006.645843159436</c:v>
                </c:pt>
                <c:pt idx="19">
                  <c:v>3006.645843159436</c:v>
                </c:pt>
                <c:pt idx="20">
                  <c:v>3006.645843159436</c:v>
                </c:pt>
                <c:pt idx="21">
                  <c:v>3006.645843159436</c:v>
                </c:pt>
                <c:pt idx="22">
                  <c:v>3006.645843159436</c:v>
                </c:pt>
                <c:pt idx="23">
                  <c:v>3006.645843159436</c:v>
                </c:pt>
              </c:numCache>
            </c:numRef>
          </c:val>
          <c:extLst>
            <c:ext xmlns:c16="http://schemas.microsoft.com/office/drawing/2014/chart" uri="{C3380CC4-5D6E-409C-BE32-E72D297353CC}">
              <c16:uniqueId val="{00000004-ECC8-47A2-88D8-6742FDDF95D1}"/>
            </c:ext>
          </c:extLst>
        </c:ser>
        <c:ser>
          <c:idx val="0"/>
          <c:order val="5"/>
          <c:tx>
            <c:strRef>
              <c:f>Sheet1!$B$1</c:f>
              <c:strCache>
                <c:ptCount val="1"/>
                <c:pt idx="0">
                  <c:v>Rüzgar</c:v>
                </c:pt>
              </c:strCache>
            </c:strRef>
          </c:tx>
          <c:spPr>
            <a:solidFill>
              <a:srgbClr val="81D5AB"/>
            </a:solidFill>
            <a:ln>
              <a:noFill/>
            </a:ln>
            <a:effectLst/>
          </c:spPr>
          <c:cat>
            <c:numRef>
              <c:f>Sheet1!$A$2:$A$25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Sheet1!$B$2:$B$25</c:f>
              <c:numCache>
                <c:formatCode>_-* #,##0_-;\-* #,##0_-;_-* "-"??_-;_-@_-</c:formatCode>
                <c:ptCount val="24"/>
                <c:pt idx="0">
                  <c:v>20401.792654984976</c:v>
                </c:pt>
                <c:pt idx="1">
                  <c:v>19284.286384288778</c:v>
                </c:pt>
                <c:pt idx="2">
                  <c:v>18424.880566177359</c:v>
                </c:pt>
                <c:pt idx="3">
                  <c:v>18498.246659164437</c:v>
                </c:pt>
                <c:pt idx="4">
                  <c:v>18972.392598258684</c:v>
                </c:pt>
                <c:pt idx="5">
                  <c:v>19632.155115361973</c:v>
                </c:pt>
                <c:pt idx="6">
                  <c:v>19537.656314234468</c:v>
                </c:pt>
                <c:pt idx="7">
                  <c:v>19220.467204599732</c:v>
                </c:pt>
                <c:pt idx="8">
                  <c:v>19309.122179820868</c:v>
                </c:pt>
                <c:pt idx="9">
                  <c:v>19471.483661689377</c:v>
                </c:pt>
                <c:pt idx="10">
                  <c:v>20522.312330975332</c:v>
                </c:pt>
                <c:pt idx="11">
                  <c:v>21181.880115824406</c:v>
                </c:pt>
                <c:pt idx="12">
                  <c:v>22305.207254926627</c:v>
                </c:pt>
                <c:pt idx="13">
                  <c:v>24273.621855329842</c:v>
                </c:pt>
                <c:pt idx="14">
                  <c:v>15266.845114930231</c:v>
                </c:pt>
                <c:pt idx="15">
                  <c:v>15796.178407153631</c:v>
                </c:pt>
                <c:pt idx="16">
                  <c:v>17227.443789818793</c:v>
                </c:pt>
                <c:pt idx="17">
                  <c:v>18842.03704643641</c:v>
                </c:pt>
                <c:pt idx="18">
                  <c:v>19741.363750944955</c:v>
                </c:pt>
                <c:pt idx="19">
                  <c:v>19791.555970111451</c:v>
                </c:pt>
                <c:pt idx="20">
                  <c:v>19736.595559422494</c:v>
                </c:pt>
                <c:pt idx="21">
                  <c:v>17541.228724136377</c:v>
                </c:pt>
                <c:pt idx="22">
                  <c:v>16902.136048606644</c:v>
                </c:pt>
                <c:pt idx="23">
                  <c:v>17926.366653531128</c:v>
                </c:pt>
              </c:numCache>
            </c:numRef>
          </c:val>
          <c:extLst>
            <c:ext xmlns:c16="http://schemas.microsoft.com/office/drawing/2014/chart" uri="{C3380CC4-5D6E-409C-BE32-E72D297353CC}">
              <c16:uniqueId val="{00000005-ECC8-47A2-88D8-6742FDDF95D1}"/>
            </c:ext>
          </c:extLst>
        </c:ser>
        <c:ser>
          <c:idx val="4"/>
          <c:order val="6"/>
          <c:tx>
            <c:strRef>
              <c:f>Sheet1!$F$1</c:f>
              <c:strCache>
                <c:ptCount val="1"/>
                <c:pt idx="0">
                  <c:v>Güneş</c:v>
                </c:pt>
              </c:strCache>
            </c:strRef>
          </c:tx>
          <c:spPr>
            <a:solidFill>
              <a:srgbClr val="FFC000"/>
            </a:solidFill>
            <a:ln>
              <a:noFill/>
            </a:ln>
            <a:effectLst/>
          </c:spPr>
          <c:cat>
            <c:numRef>
              <c:f>Sheet1!$A$2:$A$25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Sheet1!$F$2:$F$25</c:f>
              <c:numCache>
                <c:formatCode>_-* #,##0_-;\-* #,##0_-;_-* "-"??_-;_-@_-</c:formatCode>
                <c:ptCount val="24"/>
                <c:pt idx="0">
                  <c:v>0</c:v>
                </c:pt>
                <c:pt idx="1">
                  <c:v>0</c:v>
                </c:pt>
                <c:pt idx="2">
                  <c:v>0</c:v>
                </c:pt>
                <c:pt idx="3">
                  <c:v>0</c:v>
                </c:pt>
                <c:pt idx="4">
                  <c:v>0</c:v>
                </c:pt>
                <c:pt idx="5">
                  <c:v>439.05271431900138</c:v>
                </c:pt>
                <c:pt idx="6">
                  <c:v>9152.832794472728</c:v>
                </c:pt>
                <c:pt idx="7">
                  <c:v>17903.436650666124</c:v>
                </c:pt>
                <c:pt idx="8">
                  <c:v>25852.415228457714</c:v>
                </c:pt>
                <c:pt idx="9">
                  <c:v>32113.165304738861</c:v>
                </c:pt>
                <c:pt idx="10">
                  <c:v>36322.4061658875</c:v>
                </c:pt>
                <c:pt idx="11">
                  <c:v>38304.516726176</c:v>
                </c:pt>
                <c:pt idx="12">
                  <c:v>38093.488163487178</c:v>
                </c:pt>
                <c:pt idx="13">
                  <c:v>35655.329299938261</c:v>
                </c:pt>
                <c:pt idx="14">
                  <c:v>31024.031313412044</c:v>
                </c:pt>
                <c:pt idx="15">
                  <c:v>24388.670130881314</c:v>
                </c:pt>
                <c:pt idx="16">
                  <c:v>16179.800672194455</c:v>
                </c:pt>
                <c:pt idx="17">
                  <c:v>7461.7716948053358</c:v>
                </c:pt>
                <c:pt idx="18">
                  <c:v>780.38079222506371</c:v>
                </c:pt>
                <c:pt idx="19">
                  <c:v>0</c:v>
                </c:pt>
                <c:pt idx="20">
                  <c:v>0</c:v>
                </c:pt>
                <c:pt idx="21">
                  <c:v>0</c:v>
                </c:pt>
                <c:pt idx="22">
                  <c:v>0</c:v>
                </c:pt>
                <c:pt idx="23">
                  <c:v>0</c:v>
                </c:pt>
              </c:numCache>
            </c:numRef>
          </c:val>
          <c:extLst>
            <c:ext xmlns:c16="http://schemas.microsoft.com/office/drawing/2014/chart" uri="{C3380CC4-5D6E-409C-BE32-E72D297353CC}">
              <c16:uniqueId val="{00000006-ECC8-47A2-88D8-6742FDDF95D1}"/>
            </c:ext>
          </c:extLst>
        </c:ser>
        <c:dLbls>
          <c:showLegendKey val="0"/>
          <c:showVal val="0"/>
          <c:showCatName val="0"/>
          <c:showSerName val="0"/>
          <c:showPercent val="0"/>
          <c:showBubbleSize val="0"/>
        </c:dLbls>
        <c:axId val="992460303"/>
        <c:axId val="953753903"/>
      </c:areaChart>
      <c:lineChart>
        <c:grouping val="standard"/>
        <c:varyColors val="0"/>
        <c:ser>
          <c:idx val="8"/>
          <c:order val="7"/>
          <c:tx>
            <c:strRef>
              <c:f>Sheet1!$J$1</c:f>
              <c:strCache>
                <c:ptCount val="1"/>
                <c:pt idx="0">
                  <c:v>Talep</c:v>
                </c:pt>
              </c:strCache>
            </c:strRef>
          </c:tx>
          <c:spPr>
            <a:ln w="28575" cap="rnd">
              <a:solidFill>
                <a:schemeClr val="accent3">
                  <a:lumMod val="60000"/>
                </a:schemeClr>
              </a:solidFill>
              <a:round/>
            </a:ln>
            <a:effectLst/>
          </c:spPr>
          <c:marker>
            <c:symbol val="none"/>
          </c:marker>
          <c:val>
            <c:numRef>
              <c:f>Sheet1!$J$2:$J$25</c:f>
              <c:numCache>
                <c:formatCode>_-* #,##0_-;\-* #,##0_-;_-* "-"??_-;_-@_-</c:formatCode>
                <c:ptCount val="24"/>
                <c:pt idx="0">
                  <c:v>56084.249199875085</c:v>
                </c:pt>
                <c:pt idx="1">
                  <c:v>54743.20362085048</c:v>
                </c:pt>
                <c:pt idx="2">
                  <c:v>53587.369525514594</c:v>
                </c:pt>
                <c:pt idx="3">
                  <c:v>52205.728530836983</c:v>
                </c:pt>
                <c:pt idx="4">
                  <c:v>51377.057868071293</c:v>
                </c:pt>
                <c:pt idx="5">
                  <c:v>49461.748204759599</c:v>
                </c:pt>
                <c:pt idx="6">
                  <c:v>47445.82124128205</c:v>
                </c:pt>
                <c:pt idx="7">
                  <c:v>47971.636758679488</c:v>
                </c:pt>
                <c:pt idx="8">
                  <c:v>51225.198276064853</c:v>
                </c:pt>
                <c:pt idx="9">
                  <c:v>54275.768314541121</c:v>
                </c:pt>
                <c:pt idx="10">
                  <c:v>56589.587001395055</c:v>
                </c:pt>
                <c:pt idx="11">
                  <c:v>58260.013712177715</c:v>
                </c:pt>
                <c:pt idx="12">
                  <c:v>58082.9961949688</c:v>
                </c:pt>
                <c:pt idx="13">
                  <c:v>58540.562259870734</c:v>
                </c:pt>
                <c:pt idx="14">
                  <c:v>58939.661709820131</c:v>
                </c:pt>
                <c:pt idx="15">
                  <c:v>58308.817494954601</c:v>
                </c:pt>
                <c:pt idx="16">
                  <c:v>57830.509702367119</c:v>
                </c:pt>
                <c:pt idx="17">
                  <c:v>57104.496431011525</c:v>
                </c:pt>
                <c:pt idx="18">
                  <c:v>56756.548068823555</c:v>
                </c:pt>
                <c:pt idx="19">
                  <c:v>58037.835775143387</c:v>
                </c:pt>
                <c:pt idx="20">
                  <c:v>59353.262608355049</c:v>
                </c:pt>
                <c:pt idx="21">
                  <c:v>59004.267799364156</c:v>
                </c:pt>
                <c:pt idx="22">
                  <c:v>57950.078250138278</c:v>
                </c:pt>
                <c:pt idx="23">
                  <c:v>56038.987975541146</c:v>
                </c:pt>
              </c:numCache>
            </c:numRef>
          </c:val>
          <c:smooth val="0"/>
          <c:extLst>
            <c:ext xmlns:c16="http://schemas.microsoft.com/office/drawing/2014/chart" uri="{C3380CC4-5D6E-409C-BE32-E72D297353CC}">
              <c16:uniqueId val="{00000007-ECC8-47A2-88D8-6742FDDF95D1}"/>
            </c:ext>
          </c:extLst>
        </c:ser>
        <c:dLbls>
          <c:showLegendKey val="0"/>
          <c:showVal val="0"/>
          <c:showCatName val="0"/>
          <c:showSerName val="0"/>
          <c:showPercent val="0"/>
          <c:showBubbleSize val="0"/>
        </c:dLbls>
        <c:marker val="1"/>
        <c:smooth val="0"/>
        <c:axId val="992460303"/>
        <c:axId val="953753903"/>
      </c:lineChart>
      <c:catAx>
        <c:axId val="992460303"/>
        <c:scaling>
          <c:orientation val="minMax"/>
        </c:scaling>
        <c:delete val="0"/>
        <c:axPos val="b"/>
        <c:numFmt formatCode="General" sourceLinked="1"/>
        <c:majorTickMark val="out"/>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53753903"/>
        <c:crosses val="autoZero"/>
        <c:auto val="1"/>
        <c:lblAlgn val="ctr"/>
        <c:lblOffset val="100"/>
        <c:noMultiLvlLbl val="0"/>
      </c:catAx>
      <c:valAx>
        <c:axId val="95375390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r>
                  <a:rPr lang="en-US" b="1"/>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92460303"/>
        <c:crosses val="autoZero"/>
        <c:crossBetween val="between"/>
      </c:valAx>
      <c:spPr>
        <a:noFill/>
        <a:ln>
          <a:noFill/>
        </a:ln>
        <a:effectLst/>
      </c:spPr>
    </c:plotArea>
    <c:legend>
      <c:legendPos val="b"/>
      <c:layout>
        <c:manualLayout>
          <c:xMode val="edge"/>
          <c:yMode val="edge"/>
          <c:x val="0.10984897915797909"/>
          <c:y val="0.88693252458275229"/>
          <c:w val="0.77767720623707071"/>
          <c:h val="0.103664242926571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lumMod val="10000"/>
            </a:schemeClr>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3807270205215"/>
          <c:y val="0.14605712295001977"/>
          <c:w val="0.82517775692546202"/>
          <c:h val="0.59162641645251768"/>
        </c:manualLayout>
      </c:layout>
      <c:areaChart>
        <c:grouping val="stacked"/>
        <c:varyColors val="0"/>
        <c:ser>
          <c:idx val="5"/>
          <c:order val="0"/>
          <c:tx>
            <c:strRef>
              <c:f>Sheet1!$G$1</c:f>
              <c:strCache>
                <c:ptCount val="1"/>
                <c:pt idx="0">
                  <c:v>Nükleer</c:v>
                </c:pt>
              </c:strCache>
            </c:strRef>
          </c:tx>
          <c:spPr>
            <a:solidFill>
              <a:srgbClr val="FF6969"/>
            </a:solidFill>
            <a:ln w="25400">
              <a:noFill/>
            </a:ln>
            <a:effectLst/>
          </c:spPr>
          <c:cat>
            <c:numRef>
              <c:f>Sheet1!$A$2:$A$25</c:f>
              <c:numCache>
                <c:formatCode>_-* #,##0_-;\-* #,##0_-;_-* "-"??_-;_-@_-</c:formatCode>
                <c:ptCount val="24"/>
                <c:pt idx="0" formatCode="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Sheet1!$G$2:$G$25</c:f>
              <c:numCache>
                <c:formatCode>_-* #,##0_-;\-* #,##0_-;_-* "-"??_-;_-@_-</c:formatCode>
                <c:ptCount val="24"/>
                <c:pt idx="0">
                  <c:v>8600</c:v>
                </c:pt>
                <c:pt idx="1">
                  <c:v>8600</c:v>
                </c:pt>
                <c:pt idx="2">
                  <c:v>8600</c:v>
                </c:pt>
                <c:pt idx="3">
                  <c:v>8600</c:v>
                </c:pt>
                <c:pt idx="4">
                  <c:v>8600</c:v>
                </c:pt>
                <c:pt idx="5">
                  <c:v>8600</c:v>
                </c:pt>
                <c:pt idx="6">
                  <c:v>8600</c:v>
                </c:pt>
                <c:pt idx="7">
                  <c:v>8600</c:v>
                </c:pt>
                <c:pt idx="8">
                  <c:v>8600</c:v>
                </c:pt>
                <c:pt idx="9">
                  <c:v>8600</c:v>
                </c:pt>
                <c:pt idx="10">
                  <c:v>8600</c:v>
                </c:pt>
                <c:pt idx="11">
                  <c:v>8600</c:v>
                </c:pt>
                <c:pt idx="12">
                  <c:v>8600</c:v>
                </c:pt>
                <c:pt idx="13">
                  <c:v>8600</c:v>
                </c:pt>
                <c:pt idx="14">
                  <c:v>8600</c:v>
                </c:pt>
                <c:pt idx="15">
                  <c:v>8600</c:v>
                </c:pt>
                <c:pt idx="16">
                  <c:v>8600</c:v>
                </c:pt>
                <c:pt idx="17">
                  <c:v>8600</c:v>
                </c:pt>
                <c:pt idx="18">
                  <c:v>8600</c:v>
                </c:pt>
                <c:pt idx="19">
                  <c:v>8600</c:v>
                </c:pt>
                <c:pt idx="20">
                  <c:v>8600</c:v>
                </c:pt>
                <c:pt idx="21">
                  <c:v>8600</c:v>
                </c:pt>
                <c:pt idx="22">
                  <c:v>8600</c:v>
                </c:pt>
                <c:pt idx="23">
                  <c:v>8600</c:v>
                </c:pt>
              </c:numCache>
            </c:numRef>
          </c:val>
          <c:extLst>
            <c:ext xmlns:c16="http://schemas.microsoft.com/office/drawing/2014/chart" uri="{C3380CC4-5D6E-409C-BE32-E72D297353CC}">
              <c16:uniqueId val="{00000000-A655-4A1F-90CD-C933670666F0}"/>
            </c:ext>
          </c:extLst>
        </c:ser>
        <c:ser>
          <c:idx val="6"/>
          <c:order val="1"/>
          <c:tx>
            <c:strRef>
              <c:f>Sheet1!$H$1</c:f>
              <c:strCache>
                <c:ptCount val="1"/>
                <c:pt idx="0">
                  <c:v>Barajlı Hidro</c:v>
                </c:pt>
              </c:strCache>
            </c:strRef>
          </c:tx>
          <c:spPr>
            <a:solidFill>
              <a:srgbClr val="0067B4"/>
            </a:solidFill>
            <a:ln w="25400">
              <a:noFill/>
            </a:ln>
            <a:effectLst/>
          </c:spPr>
          <c:val>
            <c:numRef>
              <c:f>Sheet1!$H$2:$H$25</c:f>
              <c:numCache>
                <c:formatCode>_-* #,##0_-;\-* #,##0_-;_-* "-"??_-;_-@_-</c:formatCode>
                <c:ptCount val="24"/>
                <c:pt idx="0">
                  <c:v>12858.795011543909</c:v>
                </c:pt>
                <c:pt idx="1">
                  <c:v>14073.399473434867</c:v>
                </c:pt>
                <c:pt idx="2">
                  <c:v>15080.994737542605</c:v>
                </c:pt>
                <c:pt idx="3">
                  <c:v>14519.247756691671</c:v>
                </c:pt>
                <c:pt idx="4">
                  <c:v>13990.562797152968</c:v>
                </c:pt>
                <c:pt idx="5">
                  <c:v>14708.744315895201</c:v>
                </c:pt>
                <c:pt idx="6">
                  <c:v>12685.600773135258</c:v>
                </c:pt>
                <c:pt idx="7">
                  <c:v>7259.425930136742</c:v>
                </c:pt>
                <c:pt idx="8">
                  <c:v>3310.1019992091315</c:v>
                </c:pt>
                <c:pt idx="9">
                  <c:v>757.15059203399869</c:v>
                </c:pt>
                <c:pt idx="10">
                  <c:v>1414.6779741810606</c:v>
                </c:pt>
                <c:pt idx="11">
                  <c:v>2232.2833724202355</c:v>
                </c:pt>
                <c:pt idx="12">
                  <c:v>3117.408826829138</c:v>
                </c:pt>
                <c:pt idx="13">
                  <c:v>1840.5380741950648</c:v>
                </c:pt>
                <c:pt idx="14">
                  <c:v>1265.448274890703</c:v>
                </c:pt>
                <c:pt idx="15">
                  <c:v>2066.6104616121302</c:v>
                </c:pt>
                <c:pt idx="16">
                  <c:v>1986.4676539652137</c:v>
                </c:pt>
                <c:pt idx="17">
                  <c:v>6721.7887290797662</c:v>
                </c:pt>
                <c:pt idx="18">
                  <c:v>12502.424769892939</c:v>
                </c:pt>
                <c:pt idx="19">
                  <c:v>11891.766907876634</c:v>
                </c:pt>
                <c:pt idx="20">
                  <c:v>12668.346373341119</c:v>
                </c:pt>
                <c:pt idx="21">
                  <c:v>13176.323907934493</c:v>
                </c:pt>
                <c:pt idx="22">
                  <c:v>12262.093145878935</c:v>
                </c:pt>
                <c:pt idx="23">
                  <c:v>12193.669030530029</c:v>
                </c:pt>
              </c:numCache>
            </c:numRef>
          </c:val>
          <c:extLst>
            <c:ext xmlns:c16="http://schemas.microsoft.com/office/drawing/2014/chart" uri="{C3380CC4-5D6E-409C-BE32-E72D297353CC}">
              <c16:uniqueId val="{00000001-A655-4A1F-90CD-C933670666F0}"/>
            </c:ext>
          </c:extLst>
        </c:ser>
        <c:ser>
          <c:idx val="1"/>
          <c:order val="2"/>
          <c:tx>
            <c:strRef>
              <c:f>Sheet1!$C$1</c:f>
              <c:strCache>
                <c:ptCount val="1"/>
                <c:pt idx="0">
                  <c:v>Akarsu</c:v>
                </c:pt>
              </c:strCache>
            </c:strRef>
          </c:tx>
          <c:spPr>
            <a:solidFill>
              <a:srgbClr val="00B0F0"/>
            </a:solidFill>
            <a:ln>
              <a:noFill/>
            </a:ln>
            <a:effectLst/>
          </c:spPr>
          <c:cat>
            <c:numRef>
              <c:f>Sheet1!$A$2:$A$25</c:f>
              <c:numCache>
                <c:formatCode>_-* #,##0_-;\-* #,##0_-;_-* "-"??_-;_-@_-</c:formatCode>
                <c:ptCount val="24"/>
                <c:pt idx="0" formatCode="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Sheet1!$C$2:$C$25</c:f>
              <c:numCache>
                <c:formatCode>_-* #,##0_-;\-* #,##0_-;_-* "-"??_-;_-@_-</c:formatCode>
                <c:ptCount val="24"/>
                <c:pt idx="0">
                  <c:v>1535.3799889367574</c:v>
                </c:pt>
                <c:pt idx="1">
                  <c:v>1432.0247707709607</c:v>
                </c:pt>
                <c:pt idx="2">
                  <c:v>1309.6528160860798</c:v>
                </c:pt>
                <c:pt idx="3">
                  <c:v>1221.8748225197539</c:v>
                </c:pt>
                <c:pt idx="4">
                  <c:v>1177.0729152827969</c:v>
                </c:pt>
                <c:pt idx="5">
                  <c:v>1106.4426732779702</c:v>
                </c:pt>
                <c:pt idx="6">
                  <c:v>1050.1256903662843</c:v>
                </c:pt>
                <c:pt idx="7">
                  <c:v>1147.6409510810706</c:v>
                </c:pt>
                <c:pt idx="8">
                  <c:v>1482.4693835434073</c:v>
                </c:pt>
                <c:pt idx="9">
                  <c:v>1787.7298389434536</c:v>
                </c:pt>
                <c:pt idx="10">
                  <c:v>1958.5765266396777</c:v>
                </c:pt>
                <c:pt idx="11">
                  <c:v>2075.414324911013</c:v>
                </c:pt>
                <c:pt idx="12">
                  <c:v>2031.1463131509777</c:v>
                </c:pt>
                <c:pt idx="13">
                  <c:v>2052.7372601026159</c:v>
                </c:pt>
                <c:pt idx="14">
                  <c:v>2129.1137679131689</c:v>
                </c:pt>
                <c:pt idx="15">
                  <c:v>2066.9618353269607</c:v>
                </c:pt>
                <c:pt idx="16">
                  <c:v>1990.4071725877402</c:v>
                </c:pt>
                <c:pt idx="17">
                  <c:v>1809.1052506531653</c:v>
                </c:pt>
                <c:pt idx="18">
                  <c:v>1667.5650246243429</c:v>
                </c:pt>
                <c:pt idx="19">
                  <c:v>1619.4720117354755</c:v>
                </c:pt>
                <c:pt idx="20">
                  <c:v>1586.7178791968142</c:v>
                </c:pt>
                <c:pt idx="21">
                  <c:v>1609.1628184094407</c:v>
                </c:pt>
                <c:pt idx="22">
                  <c:v>1687.0040907450602</c:v>
                </c:pt>
                <c:pt idx="23">
                  <c:v>1590.7989312603443</c:v>
                </c:pt>
              </c:numCache>
            </c:numRef>
          </c:val>
          <c:extLst>
            <c:ext xmlns:c16="http://schemas.microsoft.com/office/drawing/2014/chart" uri="{C3380CC4-5D6E-409C-BE32-E72D297353CC}">
              <c16:uniqueId val="{00000002-A655-4A1F-90CD-C933670666F0}"/>
            </c:ext>
          </c:extLst>
        </c:ser>
        <c:ser>
          <c:idx val="3"/>
          <c:order val="3"/>
          <c:tx>
            <c:strRef>
              <c:f>Sheet1!$E$1</c:f>
              <c:strCache>
                <c:ptCount val="1"/>
                <c:pt idx="0">
                  <c:v>Jeotermal</c:v>
                </c:pt>
              </c:strCache>
            </c:strRef>
          </c:tx>
          <c:spPr>
            <a:solidFill>
              <a:srgbClr val="EA8F16"/>
            </a:solidFill>
            <a:ln w="25400">
              <a:noFill/>
            </a:ln>
            <a:effectLst/>
          </c:spPr>
          <c:cat>
            <c:numRef>
              <c:f>Sheet1!$A$2:$A$25</c:f>
              <c:numCache>
                <c:formatCode>_-* #,##0_-;\-* #,##0_-;_-* "-"??_-;_-@_-</c:formatCode>
                <c:ptCount val="24"/>
                <c:pt idx="0" formatCode="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Sheet1!$E$2:$E$25</c:f>
              <c:numCache>
                <c:formatCode>_-* #,##0_-;\-* #,##0_-;_-* "-"??_-;_-@_-</c:formatCode>
                <c:ptCount val="24"/>
                <c:pt idx="0">
                  <c:v>1761.8210961815075</c:v>
                </c:pt>
                <c:pt idx="1">
                  <c:v>1761.8210961815075</c:v>
                </c:pt>
                <c:pt idx="2">
                  <c:v>1761.8210961815075</c:v>
                </c:pt>
                <c:pt idx="3">
                  <c:v>1761.8210961815075</c:v>
                </c:pt>
                <c:pt idx="4">
                  <c:v>1761.8210961815075</c:v>
                </c:pt>
                <c:pt idx="5">
                  <c:v>1761.8210961815075</c:v>
                </c:pt>
                <c:pt idx="6">
                  <c:v>1761.8210961815075</c:v>
                </c:pt>
                <c:pt idx="7">
                  <c:v>1761.8210961815075</c:v>
                </c:pt>
                <c:pt idx="8">
                  <c:v>1761.8210961815075</c:v>
                </c:pt>
                <c:pt idx="9">
                  <c:v>1761.8210961815075</c:v>
                </c:pt>
                <c:pt idx="10">
                  <c:v>1761.8210961815075</c:v>
                </c:pt>
                <c:pt idx="11">
                  <c:v>1761.8210961815075</c:v>
                </c:pt>
                <c:pt idx="12">
                  <c:v>1761.8210961815075</c:v>
                </c:pt>
                <c:pt idx="13">
                  <c:v>1761.8210961815075</c:v>
                </c:pt>
                <c:pt idx="14">
                  <c:v>1761.8210961815075</c:v>
                </c:pt>
                <c:pt idx="15">
                  <c:v>1761.8210961815075</c:v>
                </c:pt>
                <c:pt idx="16">
                  <c:v>1761.8210961815075</c:v>
                </c:pt>
                <c:pt idx="17">
                  <c:v>1761.8210961815075</c:v>
                </c:pt>
                <c:pt idx="18">
                  <c:v>1761.8210961815075</c:v>
                </c:pt>
                <c:pt idx="19">
                  <c:v>1761.8210961815075</c:v>
                </c:pt>
                <c:pt idx="20">
                  <c:v>1761.8210961815075</c:v>
                </c:pt>
                <c:pt idx="21">
                  <c:v>1761.8210961815075</c:v>
                </c:pt>
                <c:pt idx="22">
                  <c:v>1761.8210961815075</c:v>
                </c:pt>
                <c:pt idx="23">
                  <c:v>1761.8210961815075</c:v>
                </c:pt>
              </c:numCache>
            </c:numRef>
          </c:val>
          <c:extLst>
            <c:ext xmlns:c16="http://schemas.microsoft.com/office/drawing/2014/chart" uri="{C3380CC4-5D6E-409C-BE32-E72D297353CC}">
              <c16:uniqueId val="{00000003-A655-4A1F-90CD-C933670666F0}"/>
            </c:ext>
          </c:extLst>
        </c:ser>
        <c:ser>
          <c:idx val="2"/>
          <c:order val="4"/>
          <c:tx>
            <c:strRef>
              <c:f>Sheet1!$D$1</c:f>
              <c:strCache>
                <c:ptCount val="1"/>
                <c:pt idx="0">
                  <c:v>Biyokütle</c:v>
                </c:pt>
              </c:strCache>
            </c:strRef>
          </c:tx>
          <c:spPr>
            <a:solidFill>
              <a:srgbClr val="467250"/>
            </a:solidFill>
            <a:ln>
              <a:noFill/>
            </a:ln>
            <a:effectLst/>
          </c:spPr>
          <c:cat>
            <c:numRef>
              <c:f>Sheet1!$A$2:$A$25</c:f>
              <c:numCache>
                <c:formatCode>_-* #,##0_-;\-* #,##0_-;_-* "-"??_-;_-@_-</c:formatCode>
                <c:ptCount val="24"/>
                <c:pt idx="0" formatCode="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Sheet1!$D$2:$D$25</c:f>
              <c:numCache>
                <c:formatCode>_-* #,##0_-;\-* #,##0_-;_-* "-"??_-;_-@_-</c:formatCode>
                <c:ptCount val="24"/>
                <c:pt idx="0">
                  <c:v>2927.9658792305218</c:v>
                </c:pt>
                <c:pt idx="1">
                  <c:v>2927.9658792305218</c:v>
                </c:pt>
                <c:pt idx="2">
                  <c:v>2927.9658792305218</c:v>
                </c:pt>
                <c:pt idx="3">
                  <c:v>2927.9658792305218</c:v>
                </c:pt>
                <c:pt idx="4">
                  <c:v>2927.9658792305218</c:v>
                </c:pt>
                <c:pt idx="5">
                  <c:v>2927.9658792305218</c:v>
                </c:pt>
                <c:pt idx="6">
                  <c:v>2927.9658792305218</c:v>
                </c:pt>
                <c:pt idx="7">
                  <c:v>2927.9658792305218</c:v>
                </c:pt>
                <c:pt idx="8">
                  <c:v>2927.9658792305218</c:v>
                </c:pt>
                <c:pt idx="9">
                  <c:v>2927.9658792305218</c:v>
                </c:pt>
                <c:pt idx="10">
                  <c:v>2927.9658792305218</c:v>
                </c:pt>
                <c:pt idx="11">
                  <c:v>2927.9658792305218</c:v>
                </c:pt>
                <c:pt idx="12">
                  <c:v>2927.9658792305218</c:v>
                </c:pt>
                <c:pt idx="13">
                  <c:v>2927.9658792305218</c:v>
                </c:pt>
                <c:pt idx="14">
                  <c:v>2927.9658792305218</c:v>
                </c:pt>
                <c:pt idx="15">
                  <c:v>2927.9658792305218</c:v>
                </c:pt>
                <c:pt idx="16">
                  <c:v>2927.9658792305218</c:v>
                </c:pt>
                <c:pt idx="17">
                  <c:v>2927.9658792305218</c:v>
                </c:pt>
                <c:pt idx="18">
                  <c:v>2927.9658792305218</c:v>
                </c:pt>
                <c:pt idx="19">
                  <c:v>2927.9658792305218</c:v>
                </c:pt>
                <c:pt idx="20">
                  <c:v>2927.9658792305218</c:v>
                </c:pt>
                <c:pt idx="21">
                  <c:v>2927.9658792305218</c:v>
                </c:pt>
                <c:pt idx="22">
                  <c:v>2927.9658792305218</c:v>
                </c:pt>
                <c:pt idx="23">
                  <c:v>2927.9658792305218</c:v>
                </c:pt>
              </c:numCache>
            </c:numRef>
          </c:val>
          <c:extLst>
            <c:ext xmlns:c16="http://schemas.microsoft.com/office/drawing/2014/chart" uri="{C3380CC4-5D6E-409C-BE32-E72D297353CC}">
              <c16:uniqueId val="{00000004-A655-4A1F-90CD-C933670666F0}"/>
            </c:ext>
          </c:extLst>
        </c:ser>
        <c:ser>
          <c:idx val="0"/>
          <c:order val="5"/>
          <c:tx>
            <c:strRef>
              <c:f>Sheet1!$B$1</c:f>
              <c:strCache>
                <c:ptCount val="1"/>
                <c:pt idx="0">
                  <c:v>Rüzgar</c:v>
                </c:pt>
              </c:strCache>
            </c:strRef>
          </c:tx>
          <c:spPr>
            <a:solidFill>
              <a:srgbClr val="81D5AB"/>
            </a:solidFill>
            <a:ln>
              <a:noFill/>
            </a:ln>
            <a:effectLst/>
          </c:spPr>
          <c:cat>
            <c:numRef>
              <c:f>Sheet1!$A$2:$A$25</c:f>
              <c:numCache>
                <c:formatCode>_-* #,##0_-;\-* #,##0_-;_-* "-"??_-;_-@_-</c:formatCode>
                <c:ptCount val="24"/>
                <c:pt idx="0" formatCode="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Sheet1!$B$2:$B$25</c:f>
              <c:numCache>
                <c:formatCode>_-* #,##0_-;\-* #,##0_-;_-* "-"??_-;_-@_-</c:formatCode>
                <c:ptCount val="24"/>
                <c:pt idx="0">
                  <c:v>23148.414354288187</c:v>
                </c:pt>
                <c:pt idx="1">
                  <c:v>22604.41276244145</c:v>
                </c:pt>
                <c:pt idx="2">
                  <c:v>21880.067884291922</c:v>
                </c:pt>
                <c:pt idx="3">
                  <c:v>23107.41882845289</c:v>
                </c:pt>
                <c:pt idx="4">
                  <c:v>22461.905678223458</c:v>
                </c:pt>
                <c:pt idx="5">
                  <c:v>22140.517939554022</c:v>
                </c:pt>
                <c:pt idx="6">
                  <c:v>21954.991833840399</c:v>
                </c:pt>
                <c:pt idx="7">
                  <c:v>20893.615054755421</c:v>
                </c:pt>
                <c:pt idx="8">
                  <c:v>20269.861387042285</c:v>
                </c:pt>
                <c:pt idx="9">
                  <c:v>20130.555772184987</c:v>
                </c:pt>
                <c:pt idx="10">
                  <c:v>22143.450487202288</c:v>
                </c:pt>
                <c:pt idx="11">
                  <c:v>22261.353688682611</c:v>
                </c:pt>
                <c:pt idx="12">
                  <c:v>22865.406932332884</c:v>
                </c:pt>
                <c:pt idx="13">
                  <c:v>23253.175448282029</c:v>
                </c:pt>
                <c:pt idx="14">
                  <c:v>26170.165445743412</c:v>
                </c:pt>
                <c:pt idx="15">
                  <c:v>27113.287407430038</c:v>
                </c:pt>
                <c:pt idx="16">
                  <c:v>28340.901196856859</c:v>
                </c:pt>
                <c:pt idx="17">
                  <c:v>29238.294392440581</c:v>
                </c:pt>
                <c:pt idx="18">
                  <c:v>30038.093935424196</c:v>
                </c:pt>
                <c:pt idx="19">
                  <c:v>28286.977329809386</c:v>
                </c:pt>
                <c:pt idx="20">
                  <c:v>28677.519587812705</c:v>
                </c:pt>
                <c:pt idx="21">
                  <c:v>30587.915477685554</c:v>
                </c:pt>
                <c:pt idx="22">
                  <c:v>29987.536225020172</c:v>
                </c:pt>
                <c:pt idx="23">
                  <c:v>26897.306891573353</c:v>
                </c:pt>
              </c:numCache>
            </c:numRef>
          </c:val>
          <c:extLst>
            <c:ext xmlns:c16="http://schemas.microsoft.com/office/drawing/2014/chart" uri="{C3380CC4-5D6E-409C-BE32-E72D297353CC}">
              <c16:uniqueId val="{00000005-A655-4A1F-90CD-C933670666F0}"/>
            </c:ext>
          </c:extLst>
        </c:ser>
        <c:ser>
          <c:idx val="4"/>
          <c:order val="6"/>
          <c:tx>
            <c:strRef>
              <c:f>Sheet1!$F$1</c:f>
              <c:strCache>
                <c:ptCount val="1"/>
                <c:pt idx="0">
                  <c:v>Güneş</c:v>
                </c:pt>
              </c:strCache>
            </c:strRef>
          </c:tx>
          <c:spPr>
            <a:solidFill>
              <a:srgbClr val="FFC000"/>
            </a:solidFill>
            <a:ln>
              <a:noFill/>
            </a:ln>
            <a:effectLst/>
          </c:spPr>
          <c:cat>
            <c:numRef>
              <c:f>Sheet1!$A$2:$A$25</c:f>
              <c:numCache>
                <c:formatCode>_-* #,##0_-;\-* #,##0_-;_-* "-"??_-;_-@_-</c:formatCode>
                <c:ptCount val="24"/>
                <c:pt idx="0" formatCode="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Sheet1!$F$2:$F$25</c:f>
              <c:numCache>
                <c:formatCode>_-* #,##0_-;\-* #,##0_-;_-* "-"??_-;_-@_-</c:formatCode>
                <c:ptCount val="24"/>
                <c:pt idx="0">
                  <c:v>0</c:v>
                </c:pt>
                <c:pt idx="1">
                  <c:v>0</c:v>
                </c:pt>
                <c:pt idx="2">
                  <c:v>0</c:v>
                </c:pt>
                <c:pt idx="3">
                  <c:v>0</c:v>
                </c:pt>
                <c:pt idx="4">
                  <c:v>0</c:v>
                </c:pt>
                <c:pt idx="5">
                  <c:v>4740.7598300924501</c:v>
                </c:pt>
                <c:pt idx="6">
                  <c:v>13381.224975879748</c:v>
                </c:pt>
                <c:pt idx="7">
                  <c:v>23352.962671014535</c:v>
                </c:pt>
                <c:pt idx="8">
                  <c:v>32770.152382506087</c:v>
                </c:pt>
                <c:pt idx="9">
                  <c:v>40526.676381433586</c:v>
                </c:pt>
                <c:pt idx="10">
                  <c:v>45921.457356574596</c:v>
                </c:pt>
                <c:pt idx="11">
                  <c:v>48570.302558788608</c:v>
                </c:pt>
                <c:pt idx="12">
                  <c:v>48283.200380361093</c:v>
                </c:pt>
                <c:pt idx="13">
                  <c:v>45059.555173618974</c:v>
                </c:pt>
                <c:pt idx="14">
                  <c:v>39145.369427546895</c:v>
                </c:pt>
                <c:pt idx="15">
                  <c:v>30978.444181863044</c:v>
                </c:pt>
                <c:pt idx="16">
                  <c:v>21342.651774348862</c:v>
                </c:pt>
                <c:pt idx="17">
                  <c:v>11466.813354580956</c:v>
                </c:pt>
                <c:pt idx="18">
                  <c:v>3413.6568144565686</c:v>
                </c:pt>
                <c:pt idx="19">
                  <c:v>78.029845174282173</c:v>
                </c:pt>
                <c:pt idx="20">
                  <c:v>0</c:v>
                </c:pt>
                <c:pt idx="21">
                  <c:v>0</c:v>
                </c:pt>
                <c:pt idx="22">
                  <c:v>0</c:v>
                </c:pt>
                <c:pt idx="23">
                  <c:v>0</c:v>
                </c:pt>
              </c:numCache>
            </c:numRef>
          </c:val>
          <c:extLst>
            <c:ext xmlns:c16="http://schemas.microsoft.com/office/drawing/2014/chart" uri="{C3380CC4-5D6E-409C-BE32-E72D297353CC}">
              <c16:uniqueId val="{00000006-A655-4A1F-90CD-C933670666F0}"/>
            </c:ext>
          </c:extLst>
        </c:ser>
        <c:dLbls>
          <c:showLegendKey val="0"/>
          <c:showVal val="0"/>
          <c:showCatName val="0"/>
          <c:showSerName val="0"/>
          <c:showPercent val="0"/>
          <c:showBubbleSize val="0"/>
        </c:dLbls>
        <c:axId val="992460303"/>
        <c:axId val="953753903"/>
      </c:areaChart>
      <c:lineChart>
        <c:grouping val="standard"/>
        <c:varyColors val="0"/>
        <c:ser>
          <c:idx val="8"/>
          <c:order val="7"/>
          <c:tx>
            <c:strRef>
              <c:f>Sheet1!$J$1</c:f>
              <c:strCache>
                <c:ptCount val="1"/>
                <c:pt idx="0">
                  <c:v>Talep</c:v>
                </c:pt>
              </c:strCache>
            </c:strRef>
          </c:tx>
          <c:spPr>
            <a:ln w="28575" cap="rnd">
              <a:solidFill>
                <a:schemeClr val="accent3">
                  <a:lumMod val="60000"/>
                </a:schemeClr>
              </a:solidFill>
              <a:round/>
            </a:ln>
            <a:effectLst/>
          </c:spPr>
          <c:marker>
            <c:symbol val="none"/>
          </c:marker>
          <c:val>
            <c:numRef>
              <c:f>Sheet1!$J$2:$J$25</c:f>
              <c:numCache>
                <c:formatCode>_-* #,##0_-;\-* #,##0_-;_-* "-"??_-;_-@_-</c:formatCode>
                <c:ptCount val="24"/>
                <c:pt idx="0">
                  <c:v>62500</c:v>
                </c:pt>
                <c:pt idx="1">
                  <c:v>60897</c:v>
                </c:pt>
                <c:pt idx="2">
                  <c:v>59421</c:v>
                </c:pt>
                <c:pt idx="3">
                  <c:v>57753</c:v>
                </c:pt>
                <c:pt idx="4">
                  <c:v>56808</c:v>
                </c:pt>
                <c:pt idx="5">
                  <c:v>54507</c:v>
                </c:pt>
                <c:pt idx="6">
                  <c:v>52351</c:v>
                </c:pt>
                <c:pt idx="7">
                  <c:v>53362</c:v>
                </c:pt>
                <c:pt idx="8">
                  <c:v>57021</c:v>
                </c:pt>
                <c:pt idx="9">
                  <c:v>59605</c:v>
                </c:pt>
                <c:pt idx="10">
                  <c:v>61850</c:v>
                </c:pt>
                <c:pt idx="11">
                  <c:v>63434</c:v>
                </c:pt>
                <c:pt idx="12">
                  <c:v>63517</c:v>
                </c:pt>
                <c:pt idx="13">
                  <c:v>63971</c:v>
                </c:pt>
                <c:pt idx="14">
                  <c:v>64281</c:v>
                </c:pt>
                <c:pt idx="15">
                  <c:v>63717</c:v>
                </c:pt>
                <c:pt idx="16">
                  <c:v>63311</c:v>
                </c:pt>
                <c:pt idx="17">
                  <c:v>63141</c:v>
                </c:pt>
                <c:pt idx="18">
                  <c:v>63820</c:v>
                </c:pt>
                <c:pt idx="19">
                  <c:v>64806</c:v>
                </c:pt>
                <c:pt idx="20">
                  <c:v>65438</c:v>
                </c:pt>
                <c:pt idx="21">
                  <c:v>64887</c:v>
                </c:pt>
                <c:pt idx="22">
                  <c:v>63561</c:v>
                </c:pt>
                <c:pt idx="23">
                  <c:v>61542</c:v>
                </c:pt>
              </c:numCache>
            </c:numRef>
          </c:val>
          <c:smooth val="0"/>
          <c:extLst>
            <c:ext xmlns:c16="http://schemas.microsoft.com/office/drawing/2014/chart" uri="{C3380CC4-5D6E-409C-BE32-E72D297353CC}">
              <c16:uniqueId val="{00000007-A655-4A1F-90CD-C933670666F0}"/>
            </c:ext>
          </c:extLst>
        </c:ser>
        <c:dLbls>
          <c:showLegendKey val="0"/>
          <c:showVal val="0"/>
          <c:showCatName val="0"/>
          <c:showSerName val="0"/>
          <c:showPercent val="0"/>
          <c:showBubbleSize val="0"/>
        </c:dLbls>
        <c:marker val="1"/>
        <c:smooth val="0"/>
        <c:axId val="992460303"/>
        <c:axId val="953753903"/>
      </c:lineChart>
      <c:catAx>
        <c:axId val="992460303"/>
        <c:scaling>
          <c:orientation val="minMax"/>
        </c:scaling>
        <c:delete val="0"/>
        <c:axPos val="b"/>
        <c:numFmt formatCode="0" sourceLinked="1"/>
        <c:majorTickMark val="out"/>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53753903"/>
        <c:crosses val="autoZero"/>
        <c:auto val="1"/>
        <c:lblAlgn val="ctr"/>
        <c:lblOffset val="100"/>
        <c:noMultiLvlLbl val="0"/>
      </c:catAx>
      <c:valAx>
        <c:axId val="953753903"/>
        <c:scaling>
          <c:orientation val="minMax"/>
          <c:max val="100000"/>
        </c:scaling>
        <c:delete val="0"/>
        <c:axPos val="l"/>
        <c:title>
          <c:tx>
            <c:rich>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r>
                  <a:rPr lang="en-US" b="1"/>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92460303"/>
        <c:crosses val="autoZero"/>
        <c:crossBetween val="between"/>
      </c:valAx>
      <c:spPr>
        <a:noFill/>
        <a:ln>
          <a:noFill/>
        </a:ln>
        <a:effectLst/>
      </c:spPr>
    </c:plotArea>
    <c:legend>
      <c:legendPos val="b"/>
      <c:layout>
        <c:manualLayout>
          <c:xMode val="edge"/>
          <c:yMode val="edge"/>
          <c:x val="0.10767753253641223"/>
          <c:y val="0.88390291820031375"/>
          <c:w val="0.78126473828077192"/>
          <c:h val="0.11176443181288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lumMod val="10000"/>
            </a:schemeClr>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9296296296297"/>
          <c:y val="0.14605712295001977"/>
          <c:w val="0.83139537350577297"/>
          <c:h val="0.59162641645251768"/>
        </c:manualLayout>
      </c:layout>
      <c:areaChart>
        <c:grouping val="stacked"/>
        <c:varyColors val="0"/>
        <c:ser>
          <c:idx val="5"/>
          <c:order val="0"/>
          <c:tx>
            <c:strRef>
              <c:f>Sheet1!$G$1</c:f>
              <c:strCache>
                <c:ptCount val="1"/>
                <c:pt idx="0">
                  <c:v>Nükleer</c:v>
                </c:pt>
              </c:strCache>
            </c:strRef>
          </c:tx>
          <c:spPr>
            <a:solidFill>
              <a:srgbClr val="FF6969"/>
            </a:solidFill>
            <a:ln w="25400">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Sheet1!$G$2:$G$25</c:f>
              <c:numCache>
                <c:formatCode>_-* #,##0_-;\-* #,##0_-;_-* "-"??_-;_-@_-</c:formatCode>
                <c:ptCount val="24"/>
                <c:pt idx="0">
                  <c:v>8600</c:v>
                </c:pt>
                <c:pt idx="1">
                  <c:v>8600</c:v>
                </c:pt>
                <c:pt idx="2">
                  <c:v>8600</c:v>
                </c:pt>
                <c:pt idx="3">
                  <c:v>8600</c:v>
                </c:pt>
                <c:pt idx="4">
                  <c:v>8600</c:v>
                </c:pt>
                <c:pt idx="5">
                  <c:v>8600</c:v>
                </c:pt>
                <c:pt idx="6">
                  <c:v>8600</c:v>
                </c:pt>
                <c:pt idx="7">
                  <c:v>8600</c:v>
                </c:pt>
                <c:pt idx="8">
                  <c:v>8600</c:v>
                </c:pt>
                <c:pt idx="9">
                  <c:v>8600</c:v>
                </c:pt>
                <c:pt idx="10">
                  <c:v>8600</c:v>
                </c:pt>
                <c:pt idx="11">
                  <c:v>8600</c:v>
                </c:pt>
                <c:pt idx="12">
                  <c:v>8600</c:v>
                </c:pt>
                <c:pt idx="13">
                  <c:v>8600</c:v>
                </c:pt>
                <c:pt idx="14">
                  <c:v>8600</c:v>
                </c:pt>
                <c:pt idx="15">
                  <c:v>8600</c:v>
                </c:pt>
                <c:pt idx="16">
                  <c:v>8600</c:v>
                </c:pt>
                <c:pt idx="17">
                  <c:v>8600</c:v>
                </c:pt>
                <c:pt idx="18">
                  <c:v>8600</c:v>
                </c:pt>
                <c:pt idx="19">
                  <c:v>8600</c:v>
                </c:pt>
                <c:pt idx="20">
                  <c:v>8600</c:v>
                </c:pt>
                <c:pt idx="21">
                  <c:v>8600</c:v>
                </c:pt>
                <c:pt idx="22">
                  <c:v>8600</c:v>
                </c:pt>
                <c:pt idx="23">
                  <c:v>8600</c:v>
                </c:pt>
              </c:numCache>
            </c:numRef>
          </c:val>
          <c:extLst>
            <c:ext xmlns:c16="http://schemas.microsoft.com/office/drawing/2014/chart" uri="{C3380CC4-5D6E-409C-BE32-E72D297353CC}">
              <c16:uniqueId val="{00000000-2B7B-461D-B4B8-922E5554478A}"/>
            </c:ext>
          </c:extLst>
        </c:ser>
        <c:ser>
          <c:idx val="6"/>
          <c:order val="1"/>
          <c:tx>
            <c:strRef>
              <c:f>Sheet1!$H$1</c:f>
              <c:strCache>
                <c:ptCount val="1"/>
                <c:pt idx="0">
                  <c:v>Barajlı Hidro</c:v>
                </c:pt>
              </c:strCache>
            </c:strRef>
          </c:tx>
          <c:spPr>
            <a:solidFill>
              <a:srgbClr val="0067B4"/>
            </a:solidFill>
            <a:ln w="25400">
              <a:noFill/>
            </a:ln>
            <a:effectLst/>
          </c:spPr>
          <c:val>
            <c:numRef>
              <c:f>Sheet1!$H$2:$H$25</c:f>
              <c:numCache>
                <c:formatCode>_-* #,##0_-;\-* #,##0_-;_-* "-"??_-;_-@_-</c:formatCode>
                <c:ptCount val="24"/>
                <c:pt idx="0">
                  <c:v>14509.795795678066</c:v>
                </c:pt>
                <c:pt idx="1">
                  <c:v>13090.569650394391</c:v>
                </c:pt>
                <c:pt idx="2">
                  <c:v>15326.191136478286</c:v>
                </c:pt>
                <c:pt idx="3">
                  <c:v>14922.991749460525</c:v>
                </c:pt>
                <c:pt idx="4">
                  <c:v>18035.639736297388</c:v>
                </c:pt>
                <c:pt idx="5">
                  <c:v>14595.815884371608</c:v>
                </c:pt>
                <c:pt idx="6">
                  <c:v>16384.406116981059</c:v>
                </c:pt>
                <c:pt idx="7">
                  <c:v>11625.728305752127</c:v>
                </c:pt>
                <c:pt idx="8">
                  <c:v>14761.954594791576</c:v>
                </c:pt>
                <c:pt idx="9">
                  <c:v>17704.251389091587</c:v>
                </c:pt>
                <c:pt idx="10">
                  <c:v>18890.630866228064</c:v>
                </c:pt>
                <c:pt idx="11">
                  <c:v>17802.868048904813</c:v>
                </c:pt>
                <c:pt idx="12">
                  <c:v>17502.213653240033</c:v>
                </c:pt>
                <c:pt idx="13">
                  <c:v>15396.286797774796</c:v>
                </c:pt>
                <c:pt idx="14">
                  <c:v>17395.355803829007</c:v>
                </c:pt>
                <c:pt idx="15">
                  <c:v>16513.433771171964</c:v>
                </c:pt>
                <c:pt idx="16">
                  <c:v>14776.308317635798</c:v>
                </c:pt>
                <c:pt idx="17">
                  <c:v>15576.513294298515</c:v>
                </c:pt>
                <c:pt idx="18">
                  <c:v>11013.338936223648</c:v>
                </c:pt>
                <c:pt idx="19">
                  <c:v>15093.056378252462</c:v>
                </c:pt>
                <c:pt idx="20">
                  <c:v>13287.598404589771</c:v>
                </c:pt>
                <c:pt idx="21">
                  <c:v>11683.411042052845</c:v>
                </c:pt>
                <c:pt idx="22">
                  <c:v>14861.977909118352</c:v>
                </c:pt>
                <c:pt idx="23">
                  <c:v>15505.338108896154</c:v>
                </c:pt>
              </c:numCache>
            </c:numRef>
          </c:val>
          <c:extLst>
            <c:ext xmlns:c16="http://schemas.microsoft.com/office/drawing/2014/chart" uri="{C3380CC4-5D6E-409C-BE32-E72D297353CC}">
              <c16:uniqueId val="{00000001-2B7B-461D-B4B8-922E5554478A}"/>
            </c:ext>
          </c:extLst>
        </c:ser>
        <c:ser>
          <c:idx val="1"/>
          <c:order val="2"/>
          <c:tx>
            <c:strRef>
              <c:f>Sheet1!$C$1</c:f>
              <c:strCache>
                <c:ptCount val="1"/>
                <c:pt idx="0">
                  <c:v>Akarsu</c:v>
                </c:pt>
              </c:strCache>
            </c:strRef>
          </c:tx>
          <c:spPr>
            <a:solidFill>
              <a:srgbClr val="00B0F0"/>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Sheet1!$C$2:$C$25</c:f>
              <c:numCache>
                <c:formatCode>_-* #,##0_-;\-* #,##0_-;_-* "-"??_-;_-@_-</c:formatCode>
                <c:ptCount val="24"/>
                <c:pt idx="0">
                  <c:v>942.93062692117815</c:v>
                </c:pt>
                <c:pt idx="1">
                  <c:v>882.61049264446888</c:v>
                </c:pt>
                <c:pt idx="2">
                  <c:v>844.94765978325688</c:v>
                </c:pt>
                <c:pt idx="3">
                  <c:v>821.89468378986646</c:v>
                </c:pt>
                <c:pt idx="4">
                  <c:v>808.32506605560809</c:v>
                </c:pt>
                <c:pt idx="5">
                  <c:v>804.60648312089484</c:v>
                </c:pt>
                <c:pt idx="6">
                  <c:v>840.51416666441833</c:v>
                </c:pt>
                <c:pt idx="7">
                  <c:v>870.47406092192273</c:v>
                </c:pt>
                <c:pt idx="8">
                  <c:v>1025.3273451467353</c:v>
                </c:pt>
                <c:pt idx="9">
                  <c:v>1224.976930235772</c:v>
                </c:pt>
                <c:pt idx="10">
                  <c:v>1369.0732009193789</c:v>
                </c:pt>
                <c:pt idx="11">
                  <c:v>1457.8084304281733</c:v>
                </c:pt>
                <c:pt idx="12">
                  <c:v>1324.0298889091384</c:v>
                </c:pt>
                <c:pt idx="13">
                  <c:v>1356.7124163441335</c:v>
                </c:pt>
                <c:pt idx="14">
                  <c:v>1381.9795257129299</c:v>
                </c:pt>
                <c:pt idx="15">
                  <c:v>1324.6311019297959</c:v>
                </c:pt>
                <c:pt idx="16">
                  <c:v>1250.3095867911375</c:v>
                </c:pt>
                <c:pt idx="17">
                  <c:v>1216.1618742427397</c:v>
                </c:pt>
                <c:pt idx="18">
                  <c:v>1216.2310607153731</c:v>
                </c:pt>
                <c:pt idx="19">
                  <c:v>1235.53584440537</c:v>
                </c:pt>
                <c:pt idx="20">
                  <c:v>1173.0334989751393</c:v>
                </c:pt>
                <c:pt idx="21">
                  <c:v>1133.2095053523587</c:v>
                </c:pt>
                <c:pt idx="22">
                  <c:v>1096.0700893403875</c:v>
                </c:pt>
                <c:pt idx="23">
                  <c:v>996.8447813789619</c:v>
                </c:pt>
              </c:numCache>
            </c:numRef>
          </c:val>
          <c:extLst>
            <c:ext xmlns:c16="http://schemas.microsoft.com/office/drawing/2014/chart" uri="{C3380CC4-5D6E-409C-BE32-E72D297353CC}">
              <c16:uniqueId val="{00000002-2B7B-461D-B4B8-922E5554478A}"/>
            </c:ext>
          </c:extLst>
        </c:ser>
        <c:ser>
          <c:idx val="3"/>
          <c:order val="3"/>
          <c:tx>
            <c:strRef>
              <c:f>Sheet1!$E$1</c:f>
              <c:strCache>
                <c:ptCount val="1"/>
                <c:pt idx="0">
                  <c:v>Jeotermal</c:v>
                </c:pt>
              </c:strCache>
            </c:strRef>
          </c:tx>
          <c:spPr>
            <a:solidFill>
              <a:srgbClr val="EA8F16"/>
            </a:solidFill>
            <a:ln w="25400">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Sheet1!$E$2:$E$25</c:f>
              <c:numCache>
                <c:formatCode>_-* #,##0_-;\-* #,##0_-;_-* "-"??_-;_-@_-</c:formatCode>
                <c:ptCount val="24"/>
                <c:pt idx="0">
                  <c:v>1862.1807141661593</c:v>
                </c:pt>
                <c:pt idx="1">
                  <c:v>1862.1807141661593</c:v>
                </c:pt>
                <c:pt idx="2">
                  <c:v>1862.1807141661593</c:v>
                </c:pt>
                <c:pt idx="3">
                  <c:v>1862.1807141661593</c:v>
                </c:pt>
                <c:pt idx="4">
                  <c:v>1862.1807141661593</c:v>
                </c:pt>
                <c:pt idx="5">
                  <c:v>1862.1807141661593</c:v>
                </c:pt>
                <c:pt idx="6">
                  <c:v>1862.1807141661593</c:v>
                </c:pt>
                <c:pt idx="7">
                  <c:v>1862.1807141661593</c:v>
                </c:pt>
                <c:pt idx="8">
                  <c:v>1862.1807141661593</c:v>
                </c:pt>
                <c:pt idx="9">
                  <c:v>1862.1807141661593</c:v>
                </c:pt>
                <c:pt idx="10">
                  <c:v>1862.1807141661593</c:v>
                </c:pt>
                <c:pt idx="11">
                  <c:v>1862.1807141661593</c:v>
                </c:pt>
                <c:pt idx="12">
                  <c:v>1862.1807141661593</c:v>
                </c:pt>
                <c:pt idx="13">
                  <c:v>1862.1807141661593</c:v>
                </c:pt>
                <c:pt idx="14">
                  <c:v>1862.1807141661593</c:v>
                </c:pt>
                <c:pt idx="15">
                  <c:v>1862.1807141661593</c:v>
                </c:pt>
                <c:pt idx="16">
                  <c:v>1862.1807141661593</c:v>
                </c:pt>
                <c:pt idx="17">
                  <c:v>1862.1807141661593</c:v>
                </c:pt>
                <c:pt idx="18">
                  <c:v>1862.1807141661593</c:v>
                </c:pt>
                <c:pt idx="19">
                  <c:v>1862.1807141661593</c:v>
                </c:pt>
                <c:pt idx="20">
                  <c:v>1862.1807141661593</c:v>
                </c:pt>
                <c:pt idx="21">
                  <c:v>1862.1807141661593</c:v>
                </c:pt>
                <c:pt idx="22">
                  <c:v>1862.1807141661593</c:v>
                </c:pt>
                <c:pt idx="23">
                  <c:v>1862.1807141661593</c:v>
                </c:pt>
              </c:numCache>
            </c:numRef>
          </c:val>
          <c:extLst>
            <c:ext xmlns:c16="http://schemas.microsoft.com/office/drawing/2014/chart" uri="{C3380CC4-5D6E-409C-BE32-E72D297353CC}">
              <c16:uniqueId val="{00000003-2B7B-461D-B4B8-922E5554478A}"/>
            </c:ext>
          </c:extLst>
        </c:ser>
        <c:ser>
          <c:idx val="2"/>
          <c:order val="4"/>
          <c:tx>
            <c:strRef>
              <c:f>Sheet1!$D$1</c:f>
              <c:strCache>
                <c:ptCount val="1"/>
                <c:pt idx="0">
                  <c:v>Biyokütle</c:v>
                </c:pt>
              </c:strCache>
            </c:strRef>
          </c:tx>
          <c:spPr>
            <a:solidFill>
              <a:srgbClr val="467250"/>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Sheet1!$D$2:$D$25</c:f>
              <c:numCache>
                <c:formatCode>_-* #,##0_-;\-* #,##0_-;_-* "-"??_-;_-@_-</c:formatCode>
                <c:ptCount val="24"/>
                <c:pt idx="0">
                  <c:v>2550.467897400576</c:v>
                </c:pt>
                <c:pt idx="1">
                  <c:v>2550.467897400576</c:v>
                </c:pt>
                <c:pt idx="2">
                  <c:v>2550.467897400576</c:v>
                </c:pt>
                <c:pt idx="3">
                  <c:v>2550.467897400576</c:v>
                </c:pt>
                <c:pt idx="4">
                  <c:v>2550.467897400576</c:v>
                </c:pt>
                <c:pt idx="5">
                  <c:v>2550.467897400576</c:v>
                </c:pt>
                <c:pt idx="6">
                  <c:v>2550.467897400576</c:v>
                </c:pt>
                <c:pt idx="7">
                  <c:v>2550.467897400576</c:v>
                </c:pt>
                <c:pt idx="8">
                  <c:v>2550.467897400576</c:v>
                </c:pt>
                <c:pt idx="9">
                  <c:v>2550.467897400576</c:v>
                </c:pt>
                <c:pt idx="10">
                  <c:v>2550.467897400576</c:v>
                </c:pt>
                <c:pt idx="11">
                  <c:v>2550.467897400576</c:v>
                </c:pt>
                <c:pt idx="12">
                  <c:v>2550.467897400576</c:v>
                </c:pt>
                <c:pt idx="13">
                  <c:v>2550.467897400576</c:v>
                </c:pt>
                <c:pt idx="14">
                  <c:v>2550.467897400576</c:v>
                </c:pt>
                <c:pt idx="15">
                  <c:v>2550.467897400576</c:v>
                </c:pt>
                <c:pt idx="16">
                  <c:v>2550.467897400576</c:v>
                </c:pt>
                <c:pt idx="17">
                  <c:v>2550.467897400576</c:v>
                </c:pt>
                <c:pt idx="18">
                  <c:v>2550.467897400576</c:v>
                </c:pt>
                <c:pt idx="19">
                  <c:v>2550.467897400576</c:v>
                </c:pt>
                <c:pt idx="20">
                  <c:v>2550.467897400576</c:v>
                </c:pt>
                <c:pt idx="21">
                  <c:v>2550.467897400576</c:v>
                </c:pt>
                <c:pt idx="22">
                  <c:v>2550.467897400576</c:v>
                </c:pt>
                <c:pt idx="23">
                  <c:v>2550.467897400576</c:v>
                </c:pt>
              </c:numCache>
            </c:numRef>
          </c:val>
          <c:extLst>
            <c:ext xmlns:c16="http://schemas.microsoft.com/office/drawing/2014/chart" uri="{C3380CC4-5D6E-409C-BE32-E72D297353CC}">
              <c16:uniqueId val="{00000004-2B7B-461D-B4B8-922E5554478A}"/>
            </c:ext>
          </c:extLst>
        </c:ser>
        <c:ser>
          <c:idx val="0"/>
          <c:order val="5"/>
          <c:tx>
            <c:strRef>
              <c:f>Sheet1!$B$1</c:f>
              <c:strCache>
                <c:ptCount val="1"/>
                <c:pt idx="0">
                  <c:v>Rüzgar</c:v>
                </c:pt>
              </c:strCache>
            </c:strRef>
          </c:tx>
          <c:spPr>
            <a:solidFill>
              <a:srgbClr val="81D5AB"/>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Sheet1!$B$2:$B$25</c:f>
              <c:numCache>
                <c:formatCode>_-* #,##0_-;\-* #,##0_-;_-* "-"??_-;_-@_-</c:formatCode>
                <c:ptCount val="24"/>
                <c:pt idx="0">
                  <c:v>15092.834927944921</c:v>
                </c:pt>
                <c:pt idx="1">
                  <c:v>14409.418024965149</c:v>
                </c:pt>
                <c:pt idx="2">
                  <c:v>14332.076191600067</c:v>
                </c:pt>
                <c:pt idx="3">
                  <c:v>12079.149067833829</c:v>
                </c:pt>
                <c:pt idx="4">
                  <c:v>12049.299595193899</c:v>
                </c:pt>
                <c:pt idx="5">
                  <c:v>11769.000786899429</c:v>
                </c:pt>
                <c:pt idx="6">
                  <c:v>11546.500144242105</c:v>
                </c:pt>
                <c:pt idx="7">
                  <c:v>11479.775531482148</c:v>
                </c:pt>
                <c:pt idx="8">
                  <c:v>11562.21557388733</c:v>
                </c:pt>
                <c:pt idx="9">
                  <c:v>8982.1222949563416</c:v>
                </c:pt>
                <c:pt idx="10">
                  <c:v>8687.877436997629</c:v>
                </c:pt>
                <c:pt idx="11">
                  <c:v>8609.2709007028334</c:v>
                </c:pt>
                <c:pt idx="12">
                  <c:v>9084.355333313566</c:v>
                </c:pt>
                <c:pt idx="13">
                  <c:v>9817.7424138354709</c:v>
                </c:pt>
                <c:pt idx="14">
                  <c:v>10212.423235396363</c:v>
                </c:pt>
                <c:pt idx="15">
                  <c:v>10522.851135714001</c:v>
                </c:pt>
                <c:pt idx="16">
                  <c:v>10565.754065986166</c:v>
                </c:pt>
                <c:pt idx="17">
                  <c:v>10355.522358753953</c:v>
                </c:pt>
                <c:pt idx="18">
                  <c:v>10390.018457575916</c:v>
                </c:pt>
                <c:pt idx="19">
                  <c:v>10760.688813114402</c:v>
                </c:pt>
                <c:pt idx="20">
                  <c:v>10037.633388468867</c:v>
                </c:pt>
                <c:pt idx="21">
                  <c:v>10384.356795347199</c:v>
                </c:pt>
                <c:pt idx="22">
                  <c:v>8783.2335167702659</c:v>
                </c:pt>
                <c:pt idx="23">
                  <c:v>8911.2643500537451</c:v>
                </c:pt>
              </c:numCache>
            </c:numRef>
          </c:val>
          <c:extLst>
            <c:ext xmlns:c16="http://schemas.microsoft.com/office/drawing/2014/chart" uri="{C3380CC4-5D6E-409C-BE32-E72D297353CC}">
              <c16:uniqueId val="{00000005-2B7B-461D-B4B8-922E5554478A}"/>
            </c:ext>
          </c:extLst>
        </c:ser>
        <c:ser>
          <c:idx val="4"/>
          <c:order val="6"/>
          <c:tx>
            <c:strRef>
              <c:f>Sheet1!$F$1</c:f>
              <c:strCache>
                <c:ptCount val="1"/>
                <c:pt idx="0">
                  <c:v>Güneş</c:v>
                </c:pt>
              </c:strCache>
            </c:strRef>
          </c:tx>
          <c:spPr>
            <a:solidFill>
              <a:srgbClr val="FFC000"/>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Sheet1!$F$2:$F$25</c:f>
              <c:numCache>
                <c:formatCode>_-* #,##0_-;\-* #,##0_-;_-* "-"??_-;_-@_-</c:formatCode>
                <c:ptCount val="24"/>
                <c:pt idx="0">
                  <c:v>0</c:v>
                </c:pt>
                <c:pt idx="1">
                  <c:v>0</c:v>
                </c:pt>
                <c:pt idx="2">
                  <c:v>0</c:v>
                </c:pt>
                <c:pt idx="3">
                  <c:v>0</c:v>
                </c:pt>
                <c:pt idx="4">
                  <c:v>0</c:v>
                </c:pt>
                <c:pt idx="5">
                  <c:v>0</c:v>
                </c:pt>
                <c:pt idx="6">
                  <c:v>608.18929698670024</c:v>
                </c:pt>
                <c:pt idx="7">
                  <c:v>12543.67595106503</c:v>
                </c:pt>
                <c:pt idx="8">
                  <c:v>23842.664196735361</c:v>
                </c:pt>
                <c:pt idx="9">
                  <c:v>33253.160751461968</c:v>
                </c:pt>
                <c:pt idx="10">
                  <c:v>39748.732026937039</c:v>
                </c:pt>
                <c:pt idx="11">
                  <c:v>42872.779451849208</c:v>
                </c:pt>
                <c:pt idx="12">
                  <c:v>42516.632566226348</c:v>
                </c:pt>
                <c:pt idx="13">
                  <c:v>38721.38524148654</c:v>
                </c:pt>
                <c:pt idx="14">
                  <c:v>31575.617600464127</c:v>
                </c:pt>
                <c:pt idx="15">
                  <c:v>21682.952954432742</c:v>
                </c:pt>
                <c:pt idx="16">
                  <c:v>10257.943503080451</c:v>
                </c:pt>
                <c:pt idx="17">
                  <c:v>1062.9614740127897</c:v>
                </c:pt>
                <c:pt idx="18">
                  <c:v>0</c:v>
                </c:pt>
                <c:pt idx="19">
                  <c:v>0</c:v>
                </c:pt>
                <c:pt idx="20">
                  <c:v>0</c:v>
                </c:pt>
                <c:pt idx="21">
                  <c:v>0</c:v>
                </c:pt>
                <c:pt idx="22">
                  <c:v>0</c:v>
                </c:pt>
                <c:pt idx="23">
                  <c:v>0</c:v>
                </c:pt>
              </c:numCache>
            </c:numRef>
          </c:val>
          <c:extLst>
            <c:ext xmlns:c16="http://schemas.microsoft.com/office/drawing/2014/chart" uri="{C3380CC4-5D6E-409C-BE32-E72D297353CC}">
              <c16:uniqueId val="{00000006-2B7B-461D-B4B8-922E5554478A}"/>
            </c:ext>
          </c:extLst>
        </c:ser>
        <c:dLbls>
          <c:showLegendKey val="0"/>
          <c:showVal val="0"/>
          <c:showCatName val="0"/>
          <c:showSerName val="0"/>
          <c:showPercent val="0"/>
          <c:showBubbleSize val="0"/>
        </c:dLbls>
        <c:axId val="992460303"/>
        <c:axId val="953753903"/>
      </c:areaChart>
      <c:lineChart>
        <c:grouping val="standard"/>
        <c:varyColors val="0"/>
        <c:ser>
          <c:idx val="8"/>
          <c:order val="7"/>
          <c:tx>
            <c:strRef>
              <c:f>Sheet1!$J$1</c:f>
              <c:strCache>
                <c:ptCount val="1"/>
                <c:pt idx="0">
                  <c:v>Talep</c:v>
                </c:pt>
              </c:strCache>
            </c:strRef>
          </c:tx>
          <c:spPr>
            <a:ln w="28575" cap="rnd">
              <a:solidFill>
                <a:schemeClr val="accent3">
                  <a:lumMod val="60000"/>
                </a:schemeClr>
              </a:solidFill>
              <a:round/>
            </a:ln>
            <a:effectLst/>
          </c:spPr>
          <c:marker>
            <c:symbol val="none"/>
          </c:marker>
          <c:val>
            <c:numRef>
              <c:f>Sheet1!$J$2:$J$25</c:f>
              <c:numCache>
                <c:formatCode>_-* #,##0_-;\-* #,##0_-;_-* "-"??_-;_-@_-</c:formatCode>
                <c:ptCount val="24"/>
                <c:pt idx="0">
                  <c:v>59366</c:v>
                </c:pt>
                <c:pt idx="1">
                  <c:v>57047</c:v>
                </c:pt>
                <c:pt idx="2">
                  <c:v>55193</c:v>
                </c:pt>
                <c:pt idx="3">
                  <c:v>53395</c:v>
                </c:pt>
                <c:pt idx="4">
                  <c:v>52349</c:v>
                </c:pt>
                <c:pt idx="5">
                  <c:v>50747</c:v>
                </c:pt>
                <c:pt idx="6">
                  <c:v>49684</c:v>
                </c:pt>
                <c:pt idx="7">
                  <c:v>51396</c:v>
                </c:pt>
                <c:pt idx="8">
                  <c:v>56939</c:v>
                </c:pt>
                <c:pt idx="9">
                  <c:v>61677</c:v>
                </c:pt>
                <c:pt idx="10">
                  <c:v>65098</c:v>
                </c:pt>
                <c:pt idx="11">
                  <c:v>67257</c:v>
                </c:pt>
                <c:pt idx="12">
                  <c:v>66466</c:v>
                </c:pt>
                <c:pt idx="13">
                  <c:v>66949</c:v>
                </c:pt>
                <c:pt idx="14">
                  <c:v>67595</c:v>
                </c:pt>
                <c:pt idx="15">
                  <c:v>66787</c:v>
                </c:pt>
                <c:pt idx="16">
                  <c:v>66122</c:v>
                </c:pt>
                <c:pt idx="17">
                  <c:v>65439</c:v>
                </c:pt>
                <c:pt idx="18">
                  <c:v>65095</c:v>
                </c:pt>
                <c:pt idx="19">
                  <c:v>65915</c:v>
                </c:pt>
                <c:pt idx="20">
                  <c:v>66565</c:v>
                </c:pt>
                <c:pt idx="21">
                  <c:v>65741</c:v>
                </c:pt>
                <c:pt idx="22">
                  <c:v>63912</c:v>
                </c:pt>
                <c:pt idx="23">
                  <c:v>60440</c:v>
                </c:pt>
              </c:numCache>
            </c:numRef>
          </c:val>
          <c:smooth val="0"/>
          <c:extLst>
            <c:ext xmlns:c16="http://schemas.microsoft.com/office/drawing/2014/chart" uri="{C3380CC4-5D6E-409C-BE32-E72D297353CC}">
              <c16:uniqueId val="{00000007-2B7B-461D-B4B8-922E5554478A}"/>
            </c:ext>
          </c:extLst>
        </c:ser>
        <c:dLbls>
          <c:showLegendKey val="0"/>
          <c:showVal val="0"/>
          <c:showCatName val="0"/>
          <c:showSerName val="0"/>
          <c:showPercent val="0"/>
          <c:showBubbleSize val="0"/>
        </c:dLbls>
        <c:marker val="1"/>
        <c:smooth val="0"/>
        <c:axId val="992460303"/>
        <c:axId val="953753903"/>
      </c:lineChart>
      <c:catAx>
        <c:axId val="992460303"/>
        <c:scaling>
          <c:orientation val="minMax"/>
        </c:scaling>
        <c:delete val="0"/>
        <c:axPos val="b"/>
        <c:numFmt formatCode="General" sourceLinked="1"/>
        <c:majorTickMark val="out"/>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53753903"/>
        <c:crosses val="autoZero"/>
        <c:auto val="1"/>
        <c:lblAlgn val="ctr"/>
        <c:lblOffset val="100"/>
        <c:noMultiLvlLbl val="0"/>
      </c:catAx>
      <c:valAx>
        <c:axId val="95375390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r>
                  <a:rPr lang="en-US" b="1"/>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92460303"/>
        <c:crosses val="autoZero"/>
        <c:crossBetween val="between"/>
      </c:valAx>
      <c:spPr>
        <a:noFill/>
        <a:ln>
          <a:noFill/>
        </a:ln>
        <a:effectLst/>
      </c:spPr>
    </c:plotArea>
    <c:legend>
      <c:legendPos val="b"/>
      <c:layout>
        <c:manualLayout>
          <c:xMode val="edge"/>
          <c:yMode val="edge"/>
          <c:x val="9.3169760515686817E-2"/>
          <c:y val="0.87897195173088571"/>
          <c:w val="0.7626118885398393"/>
          <c:h val="0.11669539828231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lumMod val="10000"/>
            </a:schemeClr>
          </a:solidFil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5222222222224"/>
          <c:y val="0.14605712295001977"/>
          <c:w val="0.83332348741381423"/>
          <c:h val="0.59162641645251768"/>
        </c:manualLayout>
      </c:layout>
      <c:areaChart>
        <c:grouping val="stacked"/>
        <c:varyColors val="0"/>
        <c:ser>
          <c:idx val="5"/>
          <c:order val="0"/>
          <c:tx>
            <c:strRef>
              <c:f>Sheet1!$G$1</c:f>
              <c:strCache>
                <c:ptCount val="1"/>
                <c:pt idx="0">
                  <c:v>Nükleer</c:v>
                </c:pt>
              </c:strCache>
            </c:strRef>
          </c:tx>
          <c:spPr>
            <a:solidFill>
              <a:srgbClr val="FF6969"/>
            </a:solidFill>
            <a:ln w="25400">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Sheet1!$G$2:$G$25</c:f>
              <c:numCache>
                <c:formatCode>_-* #,##0_-;\-* #,##0_-;_-* "-"??_-;_-@_-</c:formatCode>
                <c:ptCount val="24"/>
                <c:pt idx="0">
                  <c:v>8600</c:v>
                </c:pt>
                <c:pt idx="1">
                  <c:v>8600</c:v>
                </c:pt>
                <c:pt idx="2">
                  <c:v>8600</c:v>
                </c:pt>
                <c:pt idx="3">
                  <c:v>8600</c:v>
                </c:pt>
                <c:pt idx="4">
                  <c:v>8600</c:v>
                </c:pt>
                <c:pt idx="5">
                  <c:v>8600</c:v>
                </c:pt>
                <c:pt idx="6">
                  <c:v>8600</c:v>
                </c:pt>
                <c:pt idx="7">
                  <c:v>8600</c:v>
                </c:pt>
                <c:pt idx="8">
                  <c:v>8600</c:v>
                </c:pt>
                <c:pt idx="9">
                  <c:v>8600</c:v>
                </c:pt>
                <c:pt idx="10">
                  <c:v>8600</c:v>
                </c:pt>
                <c:pt idx="11">
                  <c:v>8600</c:v>
                </c:pt>
                <c:pt idx="12">
                  <c:v>8600</c:v>
                </c:pt>
                <c:pt idx="13">
                  <c:v>8600</c:v>
                </c:pt>
                <c:pt idx="14">
                  <c:v>8600</c:v>
                </c:pt>
                <c:pt idx="15">
                  <c:v>8600</c:v>
                </c:pt>
                <c:pt idx="16">
                  <c:v>8600</c:v>
                </c:pt>
                <c:pt idx="17">
                  <c:v>8600</c:v>
                </c:pt>
                <c:pt idx="18">
                  <c:v>8600</c:v>
                </c:pt>
                <c:pt idx="19">
                  <c:v>8600</c:v>
                </c:pt>
                <c:pt idx="20">
                  <c:v>8600</c:v>
                </c:pt>
                <c:pt idx="21">
                  <c:v>8600</c:v>
                </c:pt>
                <c:pt idx="22">
                  <c:v>8600</c:v>
                </c:pt>
                <c:pt idx="23">
                  <c:v>8600</c:v>
                </c:pt>
              </c:numCache>
            </c:numRef>
          </c:val>
          <c:extLst>
            <c:ext xmlns:c16="http://schemas.microsoft.com/office/drawing/2014/chart" uri="{C3380CC4-5D6E-409C-BE32-E72D297353CC}">
              <c16:uniqueId val="{00000000-A46D-48C0-AF71-01541C7CF1E4}"/>
            </c:ext>
          </c:extLst>
        </c:ser>
        <c:ser>
          <c:idx val="6"/>
          <c:order val="1"/>
          <c:tx>
            <c:strRef>
              <c:f>Sheet1!$H$1</c:f>
              <c:strCache>
                <c:ptCount val="1"/>
                <c:pt idx="0">
                  <c:v>Barajlı Hidro</c:v>
                </c:pt>
              </c:strCache>
            </c:strRef>
          </c:tx>
          <c:spPr>
            <a:solidFill>
              <a:srgbClr val="0067B4"/>
            </a:solidFill>
            <a:ln w="25400">
              <a:noFill/>
            </a:ln>
            <a:effectLst/>
          </c:spPr>
          <c:val>
            <c:numRef>
              <c:f>Sheet1!$H$2:$H$25</c:f>
              <c:numCache>
                <c:formatCode>_-* #,##0_-;\-* #,##0_-;_-* "-"??_-;_-@_-</c:formatCode>
                <c:ptCount val="24"/>
                <c:pt idx="0">
                  <c:v>5136.6698642842457</c:v>
                </c:pt>
                <c:pt idx="1">
                  <c:v>5323.7202516272882</c:v>
                </c:pt>
                <c:pt idx="2">
                  <c:v>7208.3555464257515</c:v>
                </c:pt>
                <c:pt idx="3">
                  <c:v>9909.303952591581</c:v>
                </c:pt>
                <c:pt idx="4">
                  <c:v>9852.779183321898</c:v>
                </c:pt>
                <c:pt idx="5">
                  <c:v>8632.2093742495636</c:v>
                </c:pt>
                <c:pt idx="6">
                  <c:v>5650.8197770862098</c:v>
                </c:pt>
                <c:pt idx="7">
                  <c:v>7234.1263268931725</c:v>
                </c:pt>
                <c:pt idx="8">
                  <c:v>6426.9014669242606</c:v>
                </c:pt>
                <c:pt idx="9">
                  <c:v>8999.622405543123</c:v>
                </c:pt>
                <c:pt idx="10">
                  <c:v>1795.3238062431046</c:v>
                </c:pt>
                <c:pt idx="11">
                  <c:v>703.09461461313185</c:v>
                </c:pt>
                <c:pt idx="12">
                  <c:v>1107.8837706418781</c:v>
                </c:pt>
                <c:pt idx="13">
                  <c:v>7703.2961432805314</c:v>
                </c:pt>
                <c:pt idx="14">
                  <c:v>9101.6361383890326</c:v>
                </c:pt>
                <c:pt idx="15">
                  <c:v>11111.904427622132</c:v>
                </c:pt>
                <c:pt idx="16">
                  <c:v>6909.8412593880203</c:v>
                </c:pt>
                <c:pt idx="17">
                  <c:v>5188.5737704061976</c:v>
                </c:pt>
                <c:pt idx="18">
                  <c:v>5955.4984932357693</c:v>
                </c:pt>
                <c:pt idx="19">
                  <c:v>7112.4208511970864</c:v>
                </c:pt>
                <c:pt idx="20">
                  <c:v>4266.9428116982235</c:v>
                </c:pt>
                <c:pt idx="21">
                  <c:v>4132.0078327485317</c:v>
                </c:pt>
                <c:pt idx="22">
                  <c:v>5946.1231406261795</c:v>
                </c:pt>
                <c:pt idx="23">
                  <c:v>8818.829949209714</c:v>
                </c:pt>
              </c:numCache>
            </c:numRef>
          </c:val>
          <c:extLst>
            <c:ext xmlns:c16="http://schemas.microsoft.com/office/drawing/2014/chart" uri="{C3380CC4-5D6E-409C-BE32-E72D297353CC}">
              <c16:uniqueId val="{00000001-A46D-48C0-AF71-01541C7CF1E4}"/>
            </c:ext>
          </c:extLst>
        </c:ser>
        <c:ser>
          <c:idx val="1"/>
          <c:order val="2"/>
          <c:tx>
            <c:strRef>
              <c:f>Sheet1!$C$1</c:f>
              <c:strCache>
                <c:ptCount val="1"/>
                <c:pt idx="0">
                  <c:v>Akarsu</c:v>
                </c:pt>
              </c:strCache>
            </c:strRef>
          </c:tx>
          <c:spPr>
            <a:solidFill>
              <a:srgbClr val="00B0F0"/>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Sheet1!$C$2:$C$25</c:f>
              <c:numCache>
                <c:formatCode>_-* #,##0_-;\-* #,##0_-;_-* "-"??_-;_-@_-</c:formatCode>
                <c:ptCount val="24"/>
                <c:pt idx="0">
                  <c:v>1173.7080431503873</c:v>
                </c:pt>
                <c:pt idx="1">
                  <c:v>1093.9794227950551</c:v>
                </c:pt>
                <c:pt idx="2">
                  <c:v>1038.1582355842049</c:v>
                </c:pt>
                <c:pt idx="3">
                  <c:v>1001.4508988610538</c:v>
                </c:pt>
                <c:pt idx="4">
                  <c:v>998.69722064800146</c:v>
                </c:pt>
                <c:pt idx="5">
                  <c:v>1020.7227731552549</c:v>
                </c:pt>
                <c:pt idx="6">
                  <c:v>1058.245761920474</c:v>
                </c:pt>
                <c:pt idx="7">
                  <c:v>1108.2514325952754</c:v>
                </c:pt>
                <c:pt idx="8">
                  <c:v>1334.3921751151674</c:v>
                </c:pt>
                <c:pt idx="9">
                  <c:v>1567.0363108672914</c:v>
                </c:pt>
                <c:pt idx="10">
                  <c:v>1675.5217791875775</c:v>
                </c:pt>
                <c:pt idx="11">
                  <c:v>1705.4037112054689</c:v>
                </c:pt>
                <c:pt idx="12">
                  <c:v>1544.1243487908605</c:v>
                </c:pt>
                <c:pt idx="13">
                  <c:v>1583.7960313981378</c:v>
                </c:pt>
                <c:pt idx="14">
                  <c:v>1614.1688933704822</c:v>
                </c:pt>
                <c:pt idx="15">
                  <c:v>1607.5685439353012</c:v>
                </c:pt>
                <c:pt idx="16">
                  <c:v>1714.7838268052074</c:v>
                </c:pt>
                <c:pt idx="17">
                  <c:v>1774.2656197381662</c:v>
                </c:pt>
                <c:pt idx="18">
                  <c:v>1645.2139020912059</c:v>
                </c:pt>
                <c:pt idx="19">
                  <c:v>1535.879547834111</c:v>
                </c:pt>
                <c:pt idx="20">
                  <c:v>1458.7044309925745</c:v>
                </c:pt>
                <c:pt idx="21">
                  <c:v>1409.0582039921514</c:v>
                </c:pt>
                <c:pt idx="22">
                  <c:v>1385.1928636963908</c:v>
                </c:pt>
                <c:pt idx="23">
                  <c:v>1301.7688838049087</c:v>
                </c:pt>
              </c:numCache>
            </c:numRef>
          </c:val>
          <c:extLst>
            <c:ext xmlns:c16="http://schemas.microsoft.com/office/drawing/2014/chart" uri="{C3380CC4-5D6E-409C-BE32-E72D297353CC}">
              <c16:uniqueId val="{00000002-A46D-48C0-AF71-01541C7CF1E4}"/>
            </c:ext>
          </c:extLst>
        </c:ser>
        <c:ser>
          <c:idx val="3"/>
          <c:order val="3"/>
          <c:tx>
            <c:strRef>
              <c:f>Sheet1!$E$1</c:f>
              <c:strCache>
                <c:ptCount val="1"/>
                <c:pt idx="0">
                  <c:v>Jeotermal</c:v>
                </c:pt>
              </c:strCache>
            </c:strRef>
          </c:tx>
          <c:spPr>
            <a:solidFill>
              <a:srgbClr val="EA8F16"/>
            </a:solidFill>
            <a:ln w="25400">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Sheet1!$E$2:$E$25</c:f>
              <c:numCache>
                <c:formatCode>_-* #,##0_-;\-* #,##0_-;_-* "-"??_-;_-@_-</c:formatCode>
                <c:ptCount val="24"/>
                <c:pt idx="0">
                  <c:v>2034.5765926277365</c:v>
                </c:pt>
                <c:pt idx="1">
                  <c:v>2034.5765926277365</c:v>
                </c:pt>
                <c:pt idx="2">
                  <c:v>2034.5765926277365</c:v>
                </c:pt>
                <c:pt idx="3">
                  <c:v>2034.5765926277365</c:v>
                </c:pt>
                <c:pt idx="4">
                  <c:v>2034.5765926277365</c:v>
                </c:pt>
                <c:pt idx="5">
                  <c:v>2034.5765926277365</c:v>
                </c:pt>
                <c:pt idx="6">
                  <c:v>2034.5765926277365</c:v>
                </c:pt>
                <c:pt idx="7">
                  <c:v>2034.5765926277365</c:v>
                </c:pt>
                <c:pt idx="8">
                  <c:v>2034.5765926277365</c:v>
                </c:pt>
                <c:pt idx="9">
                  <c:v>2034.5765926277365</c:v>
                </c:pt>
                <c:pt idx="10">
                  <c:v>2034.5765926277365</c:v>
                </c:pt>
                <c:pt idx="11">
                  <c:v>2034.5765926277365</c:v>
                </c:pt>
                <c:pt idx="12">
                  <c:v>2034.5765926277365</c:v>
                </c:pt>
                <c:pt idx="13">
                  <c:v>2034.5765926277365</c:v>
                </c:pt>
                <c:pt idx="14">
                  <c:v>2034.5765926277365</c:v>
                </c:pt>
                <c:pt idx="15">
                  <c:v>2034.5765926277365</c:v>
                </c:pt>
                <c:pt idx="16">
                  <c:v>2034.5765926277365</c:v>
                </c:pt>
                <c:pt idx="17">
                  <c:v>2034.5765926277365</c:v>
                </c:pt>
                <c:pt idx="18">
                  <c:v>2034.5765926277365</c:v>
                </c:pt>
                <c:pt idx="19">
                  <c:v>2034.5765926277365</c:v>
                </c:pt>
                <c:pt idx="20">
                  <c:v>2034.5765926277365</c:v>
                </c:pt>
                <c:pt idx="21">
                  <c:v>2034.5765926277365</c:v>
                </c:pt>
                <c:pt idx="22">
                  <c:v>2034.5765926277365</c:v>
                </c:pt>
                <c:pt idx="23">
                  <c:v>2034.5765926277365</c:v>
                </c:pt>
              </c:numCache>
            </c:numRef>
          </c:val>
          <c:extLst>
            <c:ext xmlns:c16="http://schemas.microsoft.com/office/drawing/2014/chart" uri="{C3380CC4-5D6E-409C-BE32-E72D297353CC}">
              <c16:uniqueId val="{00000003-A46D-48C0-AF71-01541C7CF1E4}"/>
            </c:ext>
          </c:extLst>
        </c:ser>
        <c:ser>
          <c:idx val="2"/>
          <c:order val="4"/>
          <c:tx>
            <c:strRef>
              <c:f>Sheet1!$D$1</c:f>
              <c:strCache>
                <c:ptCount val="1"/>
                <c:pt idx="0">
                  <c:v>Biyokütle</c:v>
                </c:pt>
              </c:strCache>
            </c:strRef>
          </c:tx>
          <c:spPr>
            <a:solidFill>
              <a:srgbClr val="467250"/>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Sheet1!$D$2:$D$25</c:f>
              <c:numCache>
                <c:formatCode>_-* #,##0_-;\-* #,##0_-;_-* "-"??_-;_-@_-</c:formatCode>
                <c:ptCount val="24"/>
                <c:pt idx="0">
                  <c:v>2675.9008376831403</c:v>
                </c:pt>
                <c:pt idx="1">
                  <c:v>2675.9008376831403</c:v>
                </c:pt>
                <c:pt idx="2">
                  <c:v>2675.9008376831403</c:v>
                </c:pt>
                <c:pt idx="3">
                  <c:v>2675.9008376831403</c:v>
                </c:pt>
                <c:pt idx="4">
                  <c:v>2675.9008376831403</c:v>
                </c:pt>
                <c:pt idx="5">
                  <c:v>2675.9008376831403</c:v>
                </c:pt>
                <c:pt idx="6">
                  <c:v>2675.9008376831403</c:v>
                </c:pt>
                <c:pt idx="7">
                  <c:v>2675.9008376831403</c:v>
                </c:pt>
                <c:pt idx="8">
                  <c:v>2675.9008376831403</c:v>
                </c:pt>
                <c:pt idx="9">
                  <c:v>2675.9008376831403</c:v>
                </c:pt>
                <c:pt idx="10">
                  <c:v>2675.9008376831403</c:v>
                </c:pt>
                <c:pt idx="11">
                  <c:v>2675.9008376831403</c:v>
                </c:pt>
                <c:pt idx="12">
                  <c:v>2675.9008376831403</c:v>
                </c:pt>
                <c:pt idx="13">
                  <c:v>2675.9008376831403</c:v>
                </c:pt>
                <c:pt idx="14">
                  <c:v>2675.9008376831403</c:v>
                </c:pt>
                <c:pt idx="15">
                  <c:v>2675.9008376831403</c:v>
                </c:pt>
                <c:pt idx="16">
                  <c:v>2675.9008376831403</c:v>
                </c:pt>
                <c:pt idx="17">
                  <c:v>2675.9008376831403</c:v>
                </c:pt>
                <c:pt idx="18">
                  <c:v>2675.9008376831403</c:v>
                </c:pt>
                <c:pt idx="19">
                  <c:v>2675.9008376831403</c:v>
                </c:pt>
                <c:pt idx="20">
                  <c:v>2675.9008376831403</c:v>
                </c:pt>
                <c:pt idx="21">
                  <c:v>2675.9008376831403</c:v>
                </c:pt>
                <c:pt idx="22">
                  <c:v>2675.9008376831403</c:v>
                </c:pt>
                <c:pt idx="23">
                  <c:v>2675.9008376831403</c:v>
                </c:pt>
              </c:numCache>
            </c:numRef>
          </c:val>
          <c:extLst>
            <c:ext xmlns:c16="http://schemas.microsoft.com/office/drawing/2014/chart" uri="{C3380CC4-5D6E-409C-BE32-E72D297353CC}">
              <c16:uniqueId val="{00000004-A46D-48C0-AF71-01541C7CF1E4}"/>
            </c:ext>
          </c:extLst>
        </c:ser>
        <c:ser>
          <c:idx val="0"/>
          <c:order val="5"/>
          <c:tx>
            <c:strRef>
              <c:f>Sheet1!$B$1</c:f>
              <c:strCache>
                <c:ptCount val="1"/>
                <c:pt idx="0">
                  <c:v>Rüzgar</c:v>
                </c:pt>
              </c:strCache>
            </c:strRef>
          </c:tx>
          <c:spPr>
            <a:solidFill>
              <a:srgbClr val="81D5AB"/>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Sheet1!$B$2:$B$25</c:f>
              <c:numCache>
                <c:formatCode>_-* #,##0_-;\-* #,##0_-;_-* "-"??_-;_-@_-</c:formatCode>
                <c:ptCount val="24"/>
                <c:pt idx="0">
                  <c:v>32428.464398737735</c:v>
                </c:pt>
                <c:pt idx="1">
                  <c:v>32017.49873263784</c:v>
                </c:pt>
                <c:pt idx="2">
                  <c:v>32093.374163960834</c:v>
                </c:pt>
                <c:pt idx="3">
                  <c:v>19008.78863374659</c:v>
                </c:pt>
                <c:pt idx="4">
                  <c:v>18837.927586654914</c:v>
                </c:pt>
                <c:pt idx="5">
                  <c:v>21320.227706178681</c:v>
                </c:pt>
                <c:pt idx="6">
                  <c:v>23921.910871434076</c:v>
                </c:pt>
                <c:pt idx="7">
                  <c:v>24581.150349883712</c:v>
                </c:pt>
                <c:pt idx="8">
                  <c:v>27517.426287041337</c:v>
                </c:pt>
                <c:pt idx="9">
                  <c:v>37096.811407947658</c:v>
                </c:pt>
                <c:pt idx="10">
                  <c:v>37096.811407947658</c:v>
                </c:pt>
                <c:pt idx="11">
                  <c:v>37096.811407947658</c:v>
                </c:pt>
                <c:pt idx="12">
                  <c:v>25429.035300880016</c:v>
                </c:pt>
                <c:pt idx="13">
                  <c:v>22743.259373510482</c:v>
                </c:pt>
                <c:pt idx="14">
                  <c:v>22002.353711563555</c:v>
                </c:pt>
                <c:pt idx="15">
                  <c:v>21691.235841577691</c:v>
                </c:pt>
                <c:pt idx="16">
                  <c:v>23709.334787268854</c:v>
                </c:pt>
                <c:pt idx="17">
                  <c:v>24235.601519983255</c:v>
                </c:pt>
                <c:pt idx="18">
                  <c:v>22518.889103444235</c:v>
                </c:pt>
                <c:pt idx="19">
                  <c:v>22754.272677193723</c:v>
                </c:pt>
                <c:pt idx="20">
                  <c:v>22687.357578835297</c:v>
                </c:pt>
                <c:pt idx="21">
                  <c:v>23088.883069700853</c:v>
                </c:pt>
                <c:pt idx="22">
                  <c:v>23223.977268167524</c:v>
                </c:pt>
                <c:pt idx="23">
                  <c:v>25202.272884731625</c:v>
                </c:pt>
              </c:numCache>
            </c:numRef>
          </c:val>
          <c:extLst>
            <c:ext xmlns:c16="http://schemas.microsoft.com/office/drawing/2014/chart" uri="{C3380CC4-5D6E-409C-BE32-E72D297353CC}">
              <c16:uniqueId val="{00000005-A46D-48C0-AF71-01541C7CF1E4}"/>
            </c:ext>
          </c:extLst>
        </c:ser>
        <c:ser>
          <c:idx val="4"/>
          <c:order val="6"/>
          <c:tx>
            <c:strRef>
              <c:f>Sheet1!$F$1</c:f>
              <c:strCache>
                <c:ptCount val="1"/>
                <c:pt idx="0">
                  <c:v>Güneş</c:v>
                </c:pt>
              </c:strCache>
            </c:strRef>
          </c:tx>
          <c:spPr>
            <a:solidFill>
              <a:srgbClr val="FFC000"/>
            </a:solidFill>
            <a:ln>
              <a:noFill/>
            </a:ln>
            <a:effectLst/>
          </c:spPr>
          <c:cat>
            <c:numRef>
              <c:f>Sheet1!$A$2:$A$25</c:f>
              <c:numCache>
                <c:formatCode>_-* #,##0_-;\-* #,##0_-;_-* "-"??_-;_-@_-</c:formatCode>
                <c:ptCount val="24"/>
                <c:pt idx="0" formatCode="General">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Sheet1!$F$2:$F$25</c:f>
              <c:numCache>
                <c:formatCode>_-* #,##0_-;\-* #,##0_-;_-* "-"??_-;_-@_-</c:formatCode>
                <c:ptCount val="24"/>
                <c:pt idx="0">
                  <c:v>0</c:v>
                </c:pt>
                <c:pt idx="1">
                  <c:v>0</c:v>
                </c:pt>
                <c:pt idx="2">
                  <c:v>0</c:v>
                </c:pt>
                <c:pt idx="3">
                  <c:v>0</c:v>
                </c:pt>
                <c:pt idx="4">
                  <c:v>0</c:v>
                </c:pt>
                <c:pt idx="5">
                  <c:v>0</c:v>
                </c:pt>
                <c:pt idx="6">
                  <c:v>0</c:v>
                </c:pt>
                <c:pt idx="7">
                  <c:v>517.64494175853508</c:v>
                </c:pt>
                <c:pt idx="8">
                  <c:v>9571.4857702230711</c:v>
                </c:pt>
                <c:pt idx="9">
                  <c:v>16814.1188194561</c:v>
                </c:pt>
                <c:pt idx="10">
                  <c:v>22075.193843231275</c:v>
                </c:pt>
                <c:pt idx="11">
                  <c:v>24934.879912139353</c:v>
                </c:pt>
                <c:pt idx="12">
                  <c:v>25320.640792303315</c:v>
                </c:pt>
                <c:pt idx="13">
                  <c:v>23176.425757545581</c:v>
                </c:pt>
                <c:pt idx="14">
                  <c:v>18630.821767920741</c:v>
                </c:pt>
                <c:pt idx="15">
                  <c:v>11912.427863526031</c:v>
                </c:pt>
                <c:pt idx="16">
                  <c:v>4115.8817555959886</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6-A46D-48C0-AF71-01541C7CF1E4}"/>
            </c:ext>
          </c:extLst>
        </c:ser>
        <c:dLbls>
          <c:showLegendKey val="0"/>
          <c:showVal val="0"/>
          <c:showCatName val="0"/>
          <c:showSerName val="0"/>
          <c:showPercent val="0"/>
          <c:showBubbleSize val="0"/>
        </c:dLbls>
        <c:axId val="992460303"/>
        <c:axId val="953753903"/>
      </c:areaChart>
      <c:lineChart>
        <c:grouping val="standard"/>
        <c:varyColors val="0"/>
        <c:ser>
          <c:idx val="8"/>
          <c:order val="7"/>
          <c:tx>
            <c:strRef>
              <c:f>Sheet1!$J$1</c:f>
              <c:strCache>
                <c:ptCount val="1"/>
                <c:pt idx="0">
                  <c:v>Talep</c:v>
                </c:pt>
              </c:strCache>
            </c:strRef>
          </c:tx>
          <c:spPr>
            <a:ln w="28575" cap="rnd">
              <a:solidFill>
                <a:schemeClr val="accent3">
                  <a:lumMod val="60000"/>
                </a:schemeClr>
              </a:solidFill>
              <a:round/>
            </a:ln>
            <a:effectLst/>
          </c:spPr>
          <c:marker>
            <c:symbol val="none"/>
          </c:marker>
          <c:val>
            <c:numRef>
              <c:f>Sheet1!$J$2:$J$25</c:f>
              <c:numCache>
                <c:formatCode>_-* #,##0_-;\-* #,##0_-;_-* "-"??_-;_-@_-</c:formatCode>
                <c:ptCount val="24"/>
                <c:pt idx="0">
                  <c:v>54971</c:v>
                </c:pt>
                <c:pt idx="1">
                  <c:v>53147</c:v>
                </c:pt>
                <c:pt idx="2">
                  <c:v>51614</c:v>
                </c:pt>
                <c:pt idx="3">
                  <c:v>49941</c:v>
                </c:pt>
                <c:pt idx="4">
                  <c:v>48945</c:v>
                </c:pt>
                <c:pt idx="5">
                  <c:v>46353</c:v>
                </c:pt>
                <c:pt idx="6">
                  <c:v>44500</c:v>
                </c:pt>
                <c:pt idx="7">
                  <c:v>43973</c:v>
                </c:pt>
                <c:pt idx="8">
                  <c:v>46733</c:v>
                </c:pt>
                <c:pt idx="9">
                  <c:v>49753</c:v>
                </c:pt>
                <c:pt idx="10">
                  <c:v>52403</c:v>
                </c:pt>
                <c:pt idx="11">
                  <c:v>54400</c:v>
                </c:pt>
                <c:pt idx="12">
                  <c:v>54934</c:v>
                </c:pt>
                <c:pt idx="13">
                  <c:v>55511</c:v>
                </c:pt>
                <c:pt idx="14">
                  <c:v>56032</c:v>
                </c:pt>
                <c:pt idx="15">
                  <c:v>55339</c:v>
                </c:pt>
                <c:pt idx="16">
                  <c:v>54692</c:v>
                </c:pt>
                <c:pt idx="17">
                  <c:v>53938</c:v>
                </c:pt>
                <c:pt idx="18">
                  <c:v>54727</c:v>
                </c:pt>
                <c:pt idx="19">
                  <c:v>56559</c:v>
                </c:pt>
                <c:pt idx="20">
                  <c:v>58509</c:v>
                </c:pt>
                <c:pt idx="21">
                  <c:v>58300</c:v>
                </c:pt>
                <c:pt idx="22">
                  <c:v>56651</c:v>
                </c:pt>
                <c:pt idx="23">
                  <c:v>53216</c:v>
                </c:pt>
              </c:numCache>
            </c:numRef>
          </c:val>
          <c:smooth val="0"/>
          <c:extLst>
            <c:ext xmlns:c16="http://schemas.microsoft.com/office/drawing/2014/chart" uri="{C3380CC4-5D6E-409C-BE32-E72D297353CC}">
              <c16:uniqueId val="{00000007-A46D-48C0-AF71-01541C7CF1E4}"/>
            </c:ext>
          </c:extLst>
        </c:ser>
        <c:dLbls>
          <c:showLegendKey val="0"/>
          <c:showVal val="0"/>
          <c:showCatName val="0"/>
          <c:showSerName val="0"/>
          <c:showPercent val="0"/>
          <c:showBubbleSize val="0"/>
        </c:dLbls>
        <c:marker val="1"/>
        <c:smooth val="0"/>
        <c:axId val="992460303"/>
        <c:axId val="953753903"/>
      </c:lineChart>
      <c:catAx>
        <c:axId val="992460303"/>
        <c:scaling>
          <c:orientation val="minMax"/>
        </c:scaling>
        <c:delete val="0"/>
        <c:axPos val="b"/>
        <c:numFmt formatCode="General" sourceLinked="1"/>
        <c:majorTickMark val="out"/>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53753903"/>
        <c:crosses val="autoZero"/>
        <c:auto val="1"/>
        <c:lblAlgn val="ctr"/>
        <c:lblOffset val="100"/>
        <c:noMultiLvlLbl val="0"/>
      </c:catAx>
      <c:valAx>
        <c:axId val="95375390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r>
                  <a:rPr lang="en-US" b="1"/>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bg2">
                      <a:lumMod val="10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crossAx val="992460303"/>
        <c:crosses val="autoZero"/>
        <c:crossBetween val="between"/>
      </c:valAx>
      <c:spPr>
        <a:noFill/>
        <a:ln>
          <a:noFill/>
        </a:ln>
        <a:effectLst/>
      </c:spPr>
    </c:plotArea>
    <c:legend>
      <c:legendPos val="b"/>
      <c:layout>
        <c:manualLayout>
          <c:xMode val="edge"/>
          <c:yMode val="edge"/>
          <c:x val="9.7314838235894083E-2"/>
          <c:y val="0.87404098526145768"/>
          <c:w val="0.73461466280445509"/>
          <c:h val="0.121626364751743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10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lumMod val="10000"/>
            </a:schemeClr>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c:f>
              <c:strCache>
                <c:ptCount val="1"/>
                <c:pt idx="0">
                  <c:v>2020</c:v>
                </c:pt>
              </c:strCache>
            </c:strRef>
          </c:tx>
          <c:spPr>
            <a:solidFill>
              <a:schemeClr val="accent1"/>
            </a:solidFill>
            <a:ln>
              <a:noFill/>
            </a:ln>
            <a:effectLst/>
          </c:spPr>
          <c:invertIfNegative val="0"/>
          <c:dLbls>
            <c:numFmt formatCode="#,##0"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Sheet1!$A$2</c:f>
              <c:numCache>
                <c:formatCode>_-* #,##0.0_-;\-* #,##0.0_-;_-* "-"??_-;_-@_-</c:formatCode>
                <c:ptCount val="1"/>
                <c:pt idx="0">
                  <c:v>2600.9</c:v>
                </c:pt>
              </c:numCache>
            </c:numRef>
          </c:val>
          <c:extLst>
            <c:ext xmlns:c16="http://schemas.microsoft.com/office/drawing/2014/chart" uri="{C3380CC4-5D6E-409C-BE32-E72D297353CC}">
              <c16:uniqueId val="{00000000-055F-4F20-AFA1-165EAE2A4208}"/>
            </c:ext>
          </c:extLst>
        </c:ser>
        <c:ser>
          <c:idx val="1"/>
          <c:order val="1"/>
          <c:tx>
            <c:strRef>
              <c:f>Sheet1!$B$1</c:f>
              <c:strCache>
                <c:ptCount val="1"/>
                <c:pt idx="0">
                  <c:v>2021</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5F-4F20-AFA1-165EAE2A4208}"/>
                </c:ext>
              </c:extLst>
            </c:dLbl>
            <c:numFmt formatCode="#,##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_-* #,##0.0_-;\-* #,##0.0_-;_-* "-"??_-;_-@_-</c:formatCode>
                <c:ptCount val="1"/>
                <c:pt idx="0">
                  <c:v>4838.8999999999996</c:v>
                </c:pt>
              </c:numCache>
            </c:numRef>
          </c:val>
          <c:extLst>
            <c:ext xmlns:c16="http://schemas.microsoft.com/office/drawing/2014/chart" uri="{C3380CC4-5D6E-409C-BE32-E72D297353CC}">
              <c16:uniqueId val="{00000002-055F-4F20-AFA1-165EAE2A4208}"/>
            </c:ext>
          </c:extLst>
        </c:ser>
        <c:ser>
          <c:idx val="2"/>
          <c:order val="2"/>
          <c:tx>
            <c:strRef>
              <c:f>Sheet1!$C$1</c:f>
              <c:strCache>
                <c:ptCount val="1"/>
                <c:pt idx="0">
                  <c:v>2022</c:v>
                </c:pt>
              </c:strCache>
            </c:strRef>
          </c:tx>
          <c:spPr>
            <a:solidFill>
              <a:schemeClr val="accent3"/>
            </a:solidFill>
            <a:ln>
              <a:noFill/>
            </a:ln>
            <a:effectLst/>
          </c:spPr>
          <c:invertIfNegative val="0"/>
          <c:dLbls>
            <c:numFmt formatCode="#,##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_-* #,##0.0_-;\-* #,##0.0_-;_-* "-"??_-;_-@_-</c:formatCode>
                <c:ptCount val="1"/>
                <c:pt idx="0">
                  <c:v>5225.2</c:v>
                </c:pt>
              </c:numCache>
            </c:numRef>
          </c:val>
          <c:extLst>
            <c:ext xmlns:c16="http://schemas.microsoft.com/office/drawing/2014/chart" uri="{C3380CC4-5D6E-409C-BE32-E72D297353CC}">
              <c16:uniqueId val="{00000003-055F-4F20-AFA1-165EAE2A4208}"/>
            </c:ext>
          </c:extLst>
        </c:ser>
        <c:ser>
          <c:idx val="3"/>
          <c:order val="3"/>
          <c:tx>
            <c:strRef>
              <c:f>Sheet1!$D$1</c:f>
              <c:strCache>
                <c:ptCount val="1"/>
                <c:pt idx="0">
                  <c:v>2023</c:v>
                </c:pt>
              </c:strCache>
            </c:strRef>
          </c:tx>
          <c:spPr>
            <a:solidFill>
              <a:schemeClr val="accent4"/>
            </a:solidFill>
            <a:ln>
              <a:noFill/>
            </a:ln>
            <a:effectLst/>
          </c:spPr>
          <c:invertIfNegative val="0"/>
          <c:dLbls>
            <c:numFmt formatCode="#,##0" sourceLinked="0"/>
            <c:spPr>
              <a:solidFill>
                <a:schemeClr val="accent4"/>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_-* #,##0.0_-;\-* #,##0.0_-;_-* "-"??_-;_-@_-</c:formatCode>
                <c:ptCount val="1"/>
                <c:pt idx="0">
                  <c:v>7391.3</c:v>
                </c:pt>
              </c:numCache>
            </c:numRef>
          </c:val>
          <c:extLst>
            <c:ext xmlns:c16="http://schemas.microsoft.com/office/drawing/2014/chart" uri="{C3380CC4-5D6E-409C-BE32-E72D297353CC}">
              <c16:uniqueId val="{00000004-055F-4F20-AFA1-165EAE2A4208}"/>
            </c:ext>
          </c:extLst>
        </c:ser>
        <c:ser>
          <c:idx val="4"/>
          <c:order val="4"/>
          <c:tx>
            <c:strRef>
              <c:f>Sheet1!$E$1</c:f>
              <c:strCache>
                <c:ptCount val="1"/>
                <c:pt idx="0">
                  <c:v>2024</c:v>
                </c:pt>
              </c:strCache>
            </c:strRef>
          </c:tx>
          <c:spPr>
            <a:solidFill>
              <a:schemeClr val="accent5"/>
            </a:solidFill>
            <a:ln>
              <a:noFill/>
            </a:ln>
            <a:effectLst/>
          </c:spPr>
          <c:invertIfNegative val="0"/>
          <c:dLbls>
            <c:numFmt formatCode="#,##0" sourceLinked="0"/>
            <c:spPr>
              <a:solidFill>
                <a:schemeClr val="accent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Sheet1!$E$2</c:f>
              <c:numCache>
                <c:formatCode>_-* #,##0.0_-;\-* #,##0.0_-;_-* "-"??_-;_-@_-</c:formatCode>
                <c:ptCount val="1"/>
                <c:pt idx="0">
                  <c:v>6640.3</c:v>
                </c:pt>
              </c:numCache>
            </c:numRef>
          </c:val>
          <c:extLst>
            <c:ext xmlns:c16="http://schemas.microsoft.com/office/drawing/2014/chart" uri="{C3380CC4-5D6E-409C-BE32-E72D297353CC}">
              <c16:uniqueId val="{00000005-055F-4F20-AFA1-165EAE2A4208}"/>
            </c:ext>
          </c:extLst>
        </c:ser>
        <c:dLbls>
          <c:showLegendKey val="0"/>
          <c:showVal val="0"/>
          <c:showCatName val="0"/>
          <c:showSerName val="0"/>
          <c:showPercent val="0"/>
          <c:showBubbleSize val="0"/>
        </c:dLbls>
        <c:gapWidth val="219"/>
        <c:axId val="1175033840"/>
        <c:axId val="1179063872"/>
      </c:barChart>
      <c:catAx>
        <c:axId val="1175033840"/>
        <c:scaling>
          <c:orientation val="minMax"/>
        </c:scaling>
        <c:delete val="0"/>
        <c:axPos val="b"/>
        <c:numFmt formatCode="_-* #,##0.0_-;\-* #,##0.0_-;_-* &quot;-&quot;??_-;_-@_-"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179063872"/>
        <c:crosses val="autoZero"/>
        <c:auto val="1"/>
        <c:lblAlgn val="ctr"/>
        <c:lblOffset val="100"/>
        <c:noMultiLvlLbl val="0"/>
      </c:catAx>
      <c:valAx>
        <c:axId val="117906387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milyon</a:t>
                </a:r>
                <a:r>
                  <a:rPr lang="en-US" sz="1000" b="1" baseline="0">
                    <a:solidFill>
                      <a:sysClr val="windowText" lastClr="000000"/>
                    </a:solidFill>
                  </a:rPr>
                  <a:t> Avro</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7503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Sheet1!$A$2:$A$5</c:f>
              <c:strCache>
                <c:ptCount val="4"/>
                <c:pt idx="0">
                  <c:v>Fransa</c:v>
                </c:pt>
                <c:pt idx="1">
                  <c:v>İrlanda</c:v>
                </c:pt>
                <c:pt idx="2">
                  <c:v>İtalya</c:v>
                </c:pt>
                <c:pt idx="3">
                  <c:v>Polonya</c:v>
                </c:pt>
              </c:strCache>
            </c:strRef>
          </c:cat>
          <c:val>
            <c:numRef>
              <c:f>Sheet1!$B$2:$B$5</c:f>
              <c:numCache>
                <c:formatCode>_-* #,##0.0_-;\-* #,##0.0_-;_-* "-"??_-;_-@_-</c:formatCode>
                <c:ptCount val="4"/>
                <c:pt idx="0">
                  <c:v>1739.779</c:v>
                </c:pt>
                <c:pt idx="1">
                  <c:v>348.71499999999997</c:v>
                </c:pt>
                <c:pt idx="2">
                  <c:v>185</c:v>
                </c:pt>
                <c:pt idx="3">
                  <c:v>104.68</c:v>
                </c:pt>
              </c:numCache>
            </c:numRef>
          </c:val>
          <c:extLst>
            <c:ext xmlns:c16="http://schemas.microsoft.com/office/drawing/2014/chart" uri="{C3380CC4-5D6E-409C-BE32-E72D297353CC}">
              <c16:uniqueId val="{00000000-307F-4FD3-A57E-BFD0FFDDEA53}"/>
            </c:ext>
          </c:extLst>
        </c:ser>
        <c:ser>
          <c:idx val="1"/>
          <c:order val="1"/>
          <c:tx>
            <c:strRef>
              <c:f>Sheet1!$C$1</c:f>
              <c:strCache>
                <c:ptCount val="1"/>
                <c:pt idx="0">
                  <c:v>2021</c:v>
                </c:pt>
              </c:strCache>
            </c:strRef>
          </c:tx>
          <c:spPr>
            <a:solidFill>
              <a:schemeClr val="accent2"/>
            </a:solidFill>
            <a:ln>
              <a:noFill/>
            </a:ln>
            <a:effectLst/>
          </c:spPr>
          <c:invertIfNegative val="0"/>
          <c:cat>
            <c:strRef>
              <c:f>Sheet1!$A$2:$A$5</c:f>
              <c:strCache>
                <c:ptCount val="4"/>
                <c:pt idx="0">
                  <c:v>Fransa</c:v>
                </c:pt>
                <c:pt idx="1">
                  <c:v>İrlanda</c:v>
                </c:pt>
                <c:pt idx="2">
                  <c:v>İtalya</c:v>
                </c:pt>
                <c:pt idx="3">
                  <c:v>Polonya</c:v>
                </c:pt>
              </c:strCache>
            </c:strRef>
          </c:cat>
          <c:val>
            <c:numRef>
              <c:f>Sheet1!$C$2:$C$5</c:f>
              <c:numCache>
                <c:formatCode>_-* #,##0.0_-;\-* #,##0.0_-;_-* "-"??_-;_-@_-</c:formatCode>
                <c:ptCount val="4"/>
                <c:pt idx="0">
                  <c:v>2922.8850000000002</c:v>
                </c:pt>
                <c:pt idx="1">
                  <c:v>359.82100000000003</c:v>
                </c:pt>
                <c:pt idx="2">
                  <c:v>200</c:v>
                </c:pt>
                <c:pt idx="3">
                  <c:v>1165.7260000000001</c:v>
                </c:pt>
              </c:numCache>
            </c:numRef>
          </c:val>
          <c:extLst>
            <c:ext xmlns:c16="http://schemas.microsoft.com/office/drawing/2014/chart" uri="{C3380CC4-5D6E-409C-BE32-E72D297353CC}">
              <c16:uniqueId val="{00000001-307F-4FD3-A57E-BFD0FFDDEA53}"/>
            </c:ext>
          </c:extLst>
        </c:ser>
        <c:ser>
          <c:idx val="2"/>
          <c:order val="2"/>
          <c:tx>
            <c:strRef>
              <c:f>Sheet1!$D$1</c:f>
              <c:strCache>
                <c:ptCount val="1"/>
                <c:pt idx="0">
                  <c:v>2022</c:v>
                </c:pt>
              </c:strCache>
            </c:strRef>
          </c:tx>
          <c:spPr>
            <a:solidFill>
              <a:schemeClr val="accent3"/>
            </a:solidFill>
            <a:ln>
              <a:noFill/>
            </a:ln>
            <a:effectLst/>
          </c:spPr>
          <c:invertIfNegative val="0"/>
          <c:cat>
            <c:strRef>
              <c:f>Sheet1!$A$2:$A$5</c:f>
              <c:strCache>
                <c:ptCount val="4"/>
                <c:pt idx="0">
                  <c:v>Fransa</c:v>
                </c:pt>
                <c:pt idx="1">
                  <c:v>İrlanda</c:v>
                </c:pt>
                <c:pt idx="2">
                  <c:v>İtalya</c:v>
                </c:pt>
                <c:pt idx="3">
                  <c:v>Polonya</c:v>
                </c:pt>
              </c:strCache>
            </c:strRef>
          </c:cat>
          <c:val>
            <c:numRef>
              <c:f>Sheet1!$D$2:$D$5</c:f>
              <c:numCache>
                <c:formatCode>_-* #,##0.0_-;\-* #,##0.0_-;_-* "-"??_-;_-@_-</c:formatCode>
                <c:ptCount val="4"/>
                <c:pt idx="0">
                  <c:v>2411.0920000000001</c:v>
                </c:pt>
                <c:pt idx="1">
                  <c:v>355.41</c:v>
                </c:pt>
                <c:pt idx="2">
                  <c:v>1161</c:v>
                </c:pt>
                <c:pt idx="3">
                  <c:v>1126.5440000000001</c:v>
                </c:pt>
              </c:numCache>
            </c:numRef>
          </c:val>
          <c:extLst>
            <c:ext xmlns:c16="http://schemas.microsoft.com/office/drawing/2014/chart" uri="{C3380CC4-5D6E-409C-BE32-E72D297353CC}">
              <c16:uniqueId val="{00000002-307F-4FD3-A57E-BFD0FFDDEA53}"/>
            </c:ext>
          </c:extLst>
        </c:ser>
        <c:ser>
          <c:idx val="3"/>
          <c:order val="3"/>
          <c:tx>
            <c:strRef>
              <c:f>Sheet1!$E$1</c:f>
              <c:strCache>
                <c:ptCount val="1"/>
                <c:pt idx="0">
                  <c:v>2023</c:v>
                </c:pt>
              </c:strCache>
            </c:strRef>
          </c:tx>
          <c:spPr>
            <a:solidFill>
              <a:schemeClr val="accent4"/>
            </a:solidFill>
            <a:ln>
              <a:noFill/>
            </a:ln>
            <a:effectLst/>
          </c:spPr>
          <c:invertIfNegative val="0"/>
          <c:cat>
            <c:strRef>
              <c:f>Sheet1!$A$2:$A$5</c:f>
              <c:strCache>
                <c:ptCount val="4"/>
                <c:pt idx="0">
                  <c:v>Fransa</c:v>
                </c:pt>
                <c:pt idx="1">
                  <c:v>İrlanda</c:v>
                </c:pt>
                <c:pt idx="2">
                  <c:v>İtalya</c:v>
                </c:pt>
                <c:pt idx="3">
                  <c:v>Polonya</c:v>
                </c:pt>
              </c:strCache>
            </c:strRef>
          </c:cat>
          <c:val>
            <c:numRef>
              <c:f>Sheet1!$E$2:$E$5</c:f>
              <c:numCache>
                <c:formatCode>_-* #,##0.0_-;\-* #,##0.0_-;_-* "-"??_-;_-@_-</c:formatCode>
                <c:ptCount val="4"/>
                <c:pt idx="0">
                  <c:v>4136.7479999999996</c:v>
                </c:pt>
                <c:pt idx="1">
                  <c:v>381.93400000000003</c:v>
                </c:pt>
                <c:pt idx="2">
                  <c:v>1542</c:v>
                </c:pt>
                <c:pt idx="3">
                  <c:v>1171.6489999999999</c:v>
                </c:pt>
              </c:numCache>
            </c:numRef>
          </c:val>
          <c:extLst>
            <c:ext xmlns:c16="http://schemas.microsoft.com/office/drawing/2014/chart" uri="{C3380CC4-5D6E-409C-BE32-E72D297353CC}">
              <c16:uniqueId val="{00000003-307F-4FD3-A57E-BFD0FFDDEA53}"/>
            </c:ext>
          </c:extLst>
        </c:ser>
        <c:ser>
          <c:idx val="4"/>
          <c:order val="4"/>
          <c:tx>
            <c:strRef>
              <c:f>Sheet1!$F$1</c:f>
              <c:strCache>
                <c:ptCount val="1"/>
                <c:pt idx="0">
                  <c:v>2024</c:v>
                </c:pt>
              </c:strCache>
            </c:strRef>
          </c:tx>
          <c:spPr>
            <a:solidFill>
              <a:schemeClr val="accent5"/>
            </a:solidFill>
            <a:ln>
              <a:noFill/>
            </a:ln>
            <a:effectLst/>
          </c:spPr>
          <c:invertIfNegative val="0"/>
          <c:cat>
            <c:strRef>
              <c:f>Sheet1!$A$2:$A$5</c:f>
              <c:strCache>
                <c:ptCount val="4"/>
                <c:pt idx="0">
                  <c:v>Fransa</c:v>
                </c:pt>
                <c:pt idx="1">
                  <c:v>İrlanda</c:v>
                </c:pt>
                <c:pt idx="2">
                  <c:v>İtalya</c:v>
                </c:pt>
                <c:pt idx="3">
                  <c:v>Polonya</c:v>
                </c:pt>
              </c:strCache>
            </c:strRef>
          </c:cat>
          <c:val>
            <c:numRef>
              <c:f>Sheet1!$F$2:$F$5</c:f>
              <c:numCache>
                <c:formatCode>_-* #,##0.0_-;\-* #,##0.0_-;_-* "-"??_-;_-@_-</c:formatCode>
                <c:ptCount val="4"/>
                <c:pt idx="0">
                  <c:v>2979.395</c:v>
                </c:pt>
                <c:pt idx="1">
                  <c:v>497.65300000000002</c:v>
                </c:pt>
                <c:pt idx="2">
                  <c:v>1825</c:v>
                </c:pt>
                <c:pt idx="3">
                  <c:v>1172.5060000000001</c:v>
                </c:pt>
              </c:numCache>
            </c:numRef>
          </c:val>
          <c:extLst>
            <c:ext xmlns:c16="http://schemas.microsoft.com/office/drawing/2014/chart" uri="{C3380CC4-5D6E-409C-BE32-E72D297353CC}">
              <c16:uniqueId val="{00000004-307F-4FD3-A57E-BFD0FFDDEA53}"/>
            </c:ext>
          </c:extLst>
        </c:ser>
        <c:dLbls>
          <c:showLegendKey val="0"/>
          <c:showVal val="0"/>
          <c:showCatName val="0"/>
          <c:showSerName val="0"/>
          <c:showPercent val="0"/>
          <c:showBubbleSize val="0"/>
        </c:dLbls>
        <c:gapWidth val="219"/>
        <c:overlap val="-27"/>
        <c:axId val="741140992"/>
        <c:axId val="1976629760"/>
      </c:barChart>
      <c:catAx>
        <c:axId val="741140992"/>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6629760"/>
        <c:crosses val="autoZero"/>
        <c:auto val="1"/>
        <c:lblAlgn val="ctr"/>
        <c:lblOffset val="100"/>
        <c:noMultiLvlLbl val="0"/>
      </c:catAx>
      <c:valAx>
        <c:axId val="19766297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milyon</a:t>
                </a:r>
                <a:r>
                  <a:rPr lang="en-US" b="1" baseline="0">
                    <a:solidFill>
                      <a:sysClr val="windowText" lastClr="000000"/>
                    </a:solidFill>
                  </a:rPr>
                  <a:t> Avro</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11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Sheet1!$A$2:$A$6</c:f>
              <c:strCache>
                <c:ptCount val="5"/>
                <c:pt idx="0">
                  <c:v>Almanya</c:v>
                </c:pt>
                <c:pt idx="1">
                  <c:v>Finlandiya</c:v>
                </c:pt>
                <c:pt idx="2">
                  <c:v>İspanya</c:v>
                </c:pt>
                <c:pt idx="3">
                  <c:v>İsveç</c:v>
                </c:pt>
                <c:pt idx="4">
                  <c:v>Portekiz</c:v>
                </c:pt>
              </c:strCache>
            </c:strRef>
          </c:cat>
          <c:val>
            <c:numRef>
              <c:f>Sheet1!$B$2:$B$6</c:f>
              <c:numCache>
                <c:formatCode>_-* #,##0.0_-;\-* #,##0.0_-;_-* "-"??_-;_-@_-</c:formatCode>
                <c:ptCount val="5"/>
                <c:pt idx="0">
                  <c:v>17.95</c:v>
                </c:pt>
                <c:pt idx="1">
                  <c:v>12.635999999999999</c:v>
                </c:pt>
                <c:pt idx="2">
                  <c:v>117.211</c:v>
                </c:pt>
                <c:pt idx="3">
                  <c:v>10.4</c:v>
                </c:pt>
                <c:pt idx="4">
                  <c:v>0</c:v>
                </c:pt>
              </c:numCache>
            </c:numRef>
          </c:val>
          <c:extLst>
            <c:ext xmlns:c16="http://schemas.microsoft.com/office/drawing/2014/chart" uri="{C3380CC4-5D6E-409C-BE32-E72D297353CC}">
              <c16:uniqueId val="{00000000-0C4B-4DA6-9664-A582A570EE9E}"/>
            </c:ext>
          </c:extLst>
        </c:ser>
        <c:ser>
          <c:idx val="1"/>
          <c:order val="1"/>
          <c:tx>
            <c:strRef>
              <c:f>Sheet1!$C$1</c:f>
              <c:strCache>
                <c:ptCount val="1"/>
                <c:pt idx="0">
                  <c:v>2021</c:v>
                </c:pt>
              </c:strCache>
            </c:strRef>
          </c:tx>
          <c:spPr>
            <a:solidFill>
              <a:schemeClr val="accent2"/>
            </a:solidFill>
            <a:ln>
              <a:noFill/>
            </a:ln>
            <a:effectLst/>
          </c:spPr>
          <c:invertIfNegative val="0"/>
          <c:cat>
            <c:strRef>
              <c:f>Sheet1!$A$2:$A$6</c:f>
              <c:strCache>
                <c:ptCount val="5"/>
                <c:pt idx="0">
                  <c:v>Almanya</c:v>
                </c:pt>
                <c:pt idx="1">
                  <c:v>Finlandiya</c:v>
                </c:pt>
                <c:pt idx="2">
                  <c:v>İspanya</c:v>
                </c:pt>
                <c:pt idx="3">
                  <c:v>İsveç</c:v>
                </c:pt>
                <c:pt idx="4">
                  <c:v>Portekiz</c:v>
                </c:pt>
              </c:strCache>
            </c:strRef>
          </c:cat>
          <c:val>
            <c:numRef>
              <c:f>Sheet1!$C$2:$C$6</c:f>
              <c:numCache>
                <c:formatCode>_-* #,##0.0_-;\-* #,##0.0_-;_-* "-"??_-;_-@_-</c:formatCode>
                <c:ptCount val="5"/>
                <c:pt idx="0">
                  <c:v>71.81</c:v>
                </c:pt>
                <c:pt idx="1">
                  <c:v>10.4</c:v>
                </c:pt>
                <c:pt idx="2">
                  <c:v>99.31</c:v>
                </c:pt>
                <c:pt idx="3">
                  <c:v>7</c:v>
                </c:pt>
                <c:pt idx="4">
                  <c:v>1.94</c:v>
                </c:pt>
              </c:numCache>
            </c:numRef>
          </c:val>
          <c:extLst>
            <c:ext xmlns:c16="http://schemas.microsoft.com/office/drawing/2014/chart" uri="{C3380CC4-5D6E-409C-BE32-E72D297353CC}">
              <c16:uniqueId val="{00000001-0C4B-4DA6-9664-A582A570EE9E}"/>
            </c:ext>
          </c:extLst>
        </c:ser>
        <c:ser>
          <c:idx val="2"/>
          <c:order val="2"/>
          <c:tx>
            <c:strRef>
              <c:f>Sheet1!$D$1</c:f>
              <c:strCache>
                <c:ptCount val="1"/>
                <c:pt idx="0">
                  <c:v>2022</c:v>
                </c:pt>
              </c:strCache>
            </c:strRef>
          </c:tx>
          <c:spPr>
            <a:solidFill>
              <a:schemeClr val="accent3"/>
            </a:solidFill>
            <a:ln>
              <a:noFill/>
            </a:ln>
            <a:effectLst/>
          </c:spPr>
          <c:invertIfNegative val="0"/>
          <c:cat>
            <c:strRef>
              <c:f>Sheet1!$A$2:$A$6</c:f>
              <c:strCache>
                <c:ptCount val="5"/>
                <c:pt idx="0">
                  <c:v>Almanya</c:v>
                </c:pt>
                <c:pt idx="1">
                  <c:v>Finlandiya</c:v>
                </c:pt>
                <c:pt idx="2">
                  <c:v>İspanya</c:v>
                </c:pt>
                <c:pt idx="3">
                  <c:v>İsveç</c:v>
                </c:pt>
                <c:pt idx="4">
                  <c:v>Portekiz</c:v>
                </c:pt>
              </c:strCache>
            </c:strRef>
          </c:cat>
          <c:val>
            <c:numRef>
              <c:f>Sheet1!$D$2:$D$6</c:f>
              <c:numCache>
                <c:formatCode>_-* #,##0.0_-;\-* #,##0.0_-;_-* "-"??_-;_-@_-</c:formatCode>
                <c:ptCount val="5"/>
                <c:pt idx="0">
                  <c:v>70.944000000000003</c:v>
                </c:pt>
                <c:pt idx="1">
                  <c:v>7</c:v>
                </c:pt>
                <c:pt idx="2">
                  <c:v>82.935000000000002</c:v>
                </c:pt>
                <c:pt idx="3">
                  <c:v>7.1</c:v>
                </c:pt>
                <c:pt idx="4">
                  <c:v>3.16</c:v>
                </c:pt>
              </c:numCache>
            </c:numRef>
          </c:val>
          <c:extLst>
            <c:ext xmlns:c16="http://schemas.microsoft.com/office/drawing/2014/chart" uri="{C3380CC4-5D6E-409C-BE32-E72D297353CC}">
              <c16:uniqueId val="{00000002-0C4B-4DA6-9664-A582A570EE9E}"/>
            </c:ext>
          </c:extLst>
        </c:ser>
        <c:ser>
          <c:idx val="3"/>
          <c:order val="3"/>
          <c:tx>
            <c:strRef>
              <c:f>Sheet1!$E$1</c:f>
              <c:strCache>
                <c:ptCount val="1"/>
                <c:pt idx="0">
                  <c:v>2023</c:v>
                </c:pt>
              </c:strCache>
            </c:strRef>
          </c:tx>
          <c:spPr>
            <a:solidFill>
              <a:schemeClr val="accent4"/>
            </a:solidFill>
            <a:ln>
              <a:noFill/>
            </a:ln>
            <a:effectLst/>
          </c:spPr>
          <c:invertIfNegative val="0"/>
          <c:cat>
            <c:strRef>
              <c:f>Sheet1!$A$2:$A$6</c:f>
              <c:strCache>
                <c:ptCount val="5"/>
                <c:pt idx="0">
                  <c:v>Almanya</c:v>
                </c:pt>
                <c:pt idx="1">
                  <c:v>Finlandiya</c:v>
                </c:pt>
                <c:pt idx="2">
                  <c:v>İspanya</c:v>
                </c:pt>
                <c:pt idx="3">
                  <c:v>İsveç</c:v>
                </c:pt>
                <c:pt idx="4">
                  <c:v>Portekiz</c:v>
                </c:pt>
              </c:strCache>
            </c:strRef>
          </c:cat>
          <c:val>
            <c:numRef>
              <c:f>Sheet1!$E$2:$E$6</c:f>
              <c:numCache>
                <c:formatCode>General</c:formatCode>
                <c:ptCount val="5"/>
                <c:pt idx="0" formatCode="_-* #,##0.0_-;\-* #,##0.0_-;_-* &quot;-&quot;??_-;_-@_-">
                  <c:v>68.352000000000004</c:v>
                </c:pt>
                <c:pt idx="2" formatCode="_-* #,##0.0_-;\-* #,##0.0_-;_-* &quot;-&quot;??_-;_-@_-">
                  <c:v>83.438999999999993</c:v>
                </c:pt>
                <c:pt idx="3" formatCode="_-* #,##0.0_-;\-* #,##0.0_-;_-* &quot;-&quot;??_-;_-@_-">
                  <c:v>7.2</c:v>
                </c:pt>
                <c:pt idx="4" formatCode="_-* #,##0.0_-;\-* #,##0.0_-;_-* &quot;-&quot;??_-;_-@_-">
                  <c:v>0</c:v>
                </c:pt>
              </c:numCache>
            </c:numRef>
          </c:val>
          <c:extLst>
            <c:ext xmlns:c16="http://schemas.microsoft.com/office/drawing/2014/chart" uri="{C3380CC4-5D6E-409C-BE32-E72D297353CC}">
              <c16:uniqueId val="{00000003-0C4B-4DA6-9664-A582A570EE9E}"/>
            </c:ext>
          </c:extLst>
        </c:ser>
        <c:ser>
          <c:idx val="4"/>
          <c:order val="4"/>
          <c:tx>
            <c:strRef>
              <c:f>Sheet1!$F$1</c:f>
              <c:strCache>
                <c:ptCount val="1"/>
                <c:pt idx="0">
                  <c:v>2024</c:v>
                </c:pt>
              </c:strCache>
            </c:strRef>
          </c:tx>
          <c:spPr>
            <a:solidFill>
              <a:schemeClr val="accent5"/>
            </a:solidFill>
            <a:ln>
              <a:noFill/>
            </a:ln>
            <a:effectLst/>
          </c:spPr>
          <c:invertIfNegative val="0"/>
          <c:cat>
            <c:strRef>
              <c:f>Sheet1!$A$2:$A$6</c:f>
              <c:strCache>
                <c:ptCount val="5"/>
                <c:pt idx="0">
                  <c:v>Almanya</c:v>
                </c:pt>
                <c:pt idx="1">
                  <c:v>Finlandiya</c:v>
                </c:pt>
                <c:pt idx="2">
                  <c:v>İspanya</c:v>
                </c:pt>
                <c:pt idx="3">
                  <c:v>İsveç</c:v>
                </c:pt>
                <c:pt idx="4">
                  <c:v>Portekiz</c:v>
                </c:pt>
              </c:strCache>
            </c:strRef>
          </c:cat>
          <c:val>
            <c:numRef>
              <c:f>Sheet1!$F$2:$F$6</c:f>
              <c:numCache>
                <c:formatCode>General</c:formatCode>
                <c:ptCount val="5"/>
                <c:pt idx="0" formatCode="_-* #,##0.0_-;\-* #,##0.0_-;_-* &quot;-&quot;??_-;_-@_-">
                  <c:v>101.264</c:v>
                </c:pt>
                <c:pt idx="2" formatCode="_-* #,##0.0_-;\-* #,##0.0_-;_-* &quot;-&quot;??_-;_-@_-">
                  <c:v>57.174999999999997</c:v>
                </c:pt>
                <c:pt idx="3" formatCode="_-* #,##0.0_-;\-* #,##0.0_-;_-* &quot;-&quot;??_-;_-@_-">
                  <c:v>7.3</c:v>
                </c:pt>
              </c:numCache>
            </c:numRef>
          </c:val>
          <c:extLst>
            <c:ext xmlns:c16="http://schemas.microsoft.com/office/drawing/2014/chart" uri="{C3380CC4-5D6E-409C-BE32-E72D297353CC}">
              <c16:uniqueId val="{00000004-0C4B-4DA6-9664-A582A570EE9E}"/>
            </c:ext>
          </c:extLst>
        </c:ser>
        <c:dLbls>
          <c:showLegendKey val="0"/>
          <c:showVal val="0"/>
          <c:showCatName val="0"/>
          <c:showSerName val="0"/>
          <c:showPercent val="0"/>
          <c:showBubbleSize val="0"/>
        </c:dLbls>
        <c:gapWidth val="219"/>
        <c:overlap val="-27"/>
        <c:axId val="741140992"/>
        <c:axId val="1976629760"/>
      </c:barChart>
      <c:catAx>
        <c:axId val="741140992"/>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6629760"/>
        <c:crosses val="autoZero"/>
        <c:auto val="1"/>
        <c:lblAlgn val="ctr"/>
        <c:lblOffset val="100"/>
        <c:noMultiLvlLbl val="0"/>
      </c:catAx>
      <c:valAx>
        <c:axId val="19766297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milyon</a:t>
                </a:r>
                <a:r>
                  <a:rPr lang="en-US" baseline="0">
                    <a:solidFill>
                      <a:sysClr val="windowText" lastClr="000000"/>
                    </a:solidFill>
                  </a:rPr>
                  <a:t> Avro</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11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Sheet1!$B$2:$B$8</c:f>
              <c:numCache>
                <c:formatCode>_-* #,##0.0_-;\-* #,##0.0_-;_-* "-"??_-;_-@_-</c:formatCode>
                <c:ptCount val="7"/>
                <c:pt idx="0">
                  <c:v>67.992424240000005</c:v>
                </c:pt>
                <c:pt idx="1">
                  <c:v>15.93442623</c:v>
                </c:pt>
                <c:pt idx="2">
                  <c:v>19.408620079999999</c:v>
                </c:pt>
                <c:pt idx="3">
                  <c:v>43.045920260000003</c:v>
                </c:pt>
                <c:pt idx="4">
                  <c:v>13.829787230000001</c:v>
                </c:pt>
                <c:pt idx="5">
                  <c:v>28.373127400000001</c:v>
                </c:pt>
                <c:pt idx="6">
                  <c:v>39.966401949999998</c:v>
                </c:pt>
              </c:numCache>
            </c:numRef>
          </c:val>
          <c:extLst>
            <c:ext xmlns:c16="http://schemas.microsoft.com/office/drawing/2014/chart" uri="{C3380CC4-5D6E-409C-BE32-E72D297353CC}">
              <c16:uniqueId val="{00000000-C161-47DD-BC5C-AC1AF8BFF91B}"/>
            </c:ext>
          </c:extLst>
        </c:ser>
        <c:ser>
          <c:idx val="1"/>
          <c:order val="1"/>
          <c:tx>
            <c:strRef>
              <c:f>Sheet1!$C$1</c:f>
              <c:strCache>
                <c:ptCount val="1"/>
                <c:pt idx="0">
                  <c:v>2021</c:v>
                </c:pt>
              </c:strCache>
            </c:strRef>
          </c:tx>
          <c:spPr>
            <a:solidFill>
              <a:schemeClr val="accent2"/>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Sheet1!$C$2:$C$8</c:f>
              <c:numCache>
                <c:formatCode>_-* #,##0.0_-;\-* #,##0.0_-;_-* "-"??_-;_-@_-</c:formatCode>
                <c:ptCount val="7"/>
                <c:pt idx="0">
                  <c:v>68.001893940000002</c:v>
                </c:pt>
                <c:pt idx="1">
                  <c:v>17.0212766</c:v>
                </c:pt>
                <c:pt idx="2">
                  <c:v>31.608974140000001</c:v>
                </c:pt>
                <c:pt idx="3">
                  <c:v>47.457267209999998</c:v>
                </c:pt>
                <c:pt idx="4">
                  <c:v>12.45551601</c:v>
                </c:pt>
                <c:pt idx="5">
                  <c:v>34.131656999999997</c:v>
                </c:pt>
                <c:pt idx="6">
                  <c:v>51.123176170000001</c:v>
                </c:pt>
              </c:numCache>
            </c:numRef>
          </c:val>
          <c:extLst>
            <c:ext xmlns:c16="http://schemas.microsoft.com/office/drawing/2014/chart" uri="{C3380CC4-5D6E-409C-BE32-E72D297353CC}">
              <c16:uniqueId val="{00000001-C161-47DD-BC5C-AC1AF8BFF91B}"/>
            </c:ext>
          </c:extLst>
        </c:ser>
        <c:ser>
          <c:idx val="2"/>
          <c:order val="2"/>
          <c:tx>
            <c:strRef>
              <c:f>Sheet1!$D$1</c:f>
              <c:strCache>
                <c:ptCount val="1"/>
                <c:pt idx="0">
                  <c:v>2022</c:v>
                </c:pt>
              </c:strCache>
            </c:strRef>
          </c:tx>
          <c:spPr>
            <a:solidFill>
              <a:schemeClr val="accent3"/>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Sheet1!$D$2:$D$8</c:f>
              <c:numCache>
                <c:formatCode>_-* #,##0.0_-;\-* #,##0.0_-;_-* "-"??_-;_-@_-</c:formatCode>
                <c:ptCount val="7"/>
                <c:pt idx="0">
                  <c:v>65.32596685</c:v>
                </c:pt>
                <c:pt idx="1">
                  <c:v>11.456628479999999</c:v>
                </c:pt>
                <c:pt idx="2">
                  <c:v>27.02290863</c:v>
                </c:pt>
                <c:pt idx="3">
                  <c:v>46.258671630000002</c:v>
                </c:pt>
                <c:pt idx="4">
                  <c:v>12.63345196</c:v>
                </c:pt>
                <c:pt idx="5">
                  <c:v>38.573723370000003</c:v>
                </c:pt>
                <c:pt idx="6">
                  <c:v>47.708230989999997</c:v>
                </c:pt>
              </c:numCache>
            </c:numRef>
          </c:val>
          <c:extLst>
            <c:ext xmlns:c16="http://schemas.microsoft.com/office/drawing/2014/chart" uri="{C3380CC4-5D6E-409C-BE32-E72D297353CC}">
              <c16:uniqueId val="{00000002-C161-47DD-BC5C-AC1AF8BFF91B}"/>
            </c:ext>
          </c:extLst>
        </c:ser>
        <c:ser>
          <c:idx val="3"/>
          <c:order val="3"/>
          <c:tx>
            <c:strRef>
              <c:f>Sheet1!$E$1</c:f>
              <c:strCache>
                <c:ptCount val="1"/>
                <c:pt idx="0">
                  <c:v>2023</c:v>
                </c:pt>
              </c:strCache>
            </c:strRef>
          </c:tx>
          <c:spPr>
            <a:solidFill>
              <a:schemeClr val="accent4"/>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Sheet1!$E$2:$E$8</c:f>
              <c:numCache>
                <c:formatCode>General</c:formatCode>
                <c:ptCount val="7"/>
                <c:pt idx="0" formatCode="_-* #,##0.0_-;\-* #,##0.0_-;_-* &quot;-&quot;??_-;_-@_-">
                  <c:v>62.939226519999998</c:v>
                </c:pt>
                <c:pt idx="2" formatCode="_-* #,##0.0_-;\-* #,##0.0_-;_-* &quot;-&quot;??_-;_-@_-">
                  <c:v>45.983384059999999</c:v>
                </c:pt>
                <c:pt idx="3" formatCode="_-* #,##0.0_-;\-* #,##0.0_-;_-* &quot;-&quot;??_-;_-@_-">
                  <c:v>47.51545763</c:v>
                </c:pt>
                <c:pt idx="4" formatCode="_-* #,##0.0_-;\-* #,##0.0_-;_-* &quot;-&quot;??_-;_-@_-">
                  <c:v>12.8113879</c:v>
                </c:pt>
                <c:pt idx="6" formatCode="_-* #,##0.0_-;\-* #,##0.0_-;_-* &quot;-&quot;??_-;_-@_-">
                  <c:v>50.4742642</c:v>
                </c:pt>
              </c:numCache>
            </c:numRef>
          </c:val>
          <c:extLst>
            <c:ext xmlns:c16="http://schemas.microsoft.com/office/drawing/2014/chart" uri="{C3380CC4-5D6E-409C-BE32-E72D297353CC}">
              <c16:uniqueId val="{00000003-C161-47DD-BC5C-AC1AF8BFF91B}"/>
            </c:ext>
          </c:extLst>
        </c:ser>
        <c:ser>
          <c:idx val="4"/>
          <c:order val="4"/>
          <c:tx>
            <c:strRef>
              <c:f>Sheet1!$F$1</c:f>
              <c:strCache>
                <c:ptCount val="1"/>
                <c:pt idx="0">
                  <c:v>2024</c:v>
                </c:pt>
              </c:strCache>
            </c:strRef>
          </c:tx>
          <c:spPr>
            <a:solidFill>
              <a:schemeClr val="accent5"/>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Sheet1!$F$2:$F$8</c:f>
              <c:numCache>
                <c:formatCode>General</c:formatCode>
                <c:ptCount val="7"/>
                <c:pt idx="0" formatCode="_-* #,##0.0_-;\-* #,##0.0_-;_-* &quot;-&quot;??_-;_-@_-">
                  <c:v>76.779134130000003</c:v>
                </c:pt>
                <c:pt idx="2" formatCode="_-* #,##0.0_-;\-* #,##0.0_-;_-* &quot;-&quot;??_-;_-@_-">
                  <c:v>33.118445829999999</c:v>
                </c:pt>
                <c:pt idx="3" formatCode="_-* #,##0.0_-;\-* #,##0.0_-;_-* &quot;-&quot;??_-;_-@_-">
                  <c:v>60.324500579999999</c:v>
                </c:pt>
                <c:pt idx="4" formatCode="_-* #,##0.0_-;\-* #,##0.0_-;_-* &quot;-&quot;??_-;_-@_-">
                  <c:v>12.989323840000001</c:v>
                </c:pt>
                <c:pt idx="6" formatCode="_-* #,##0.0_-;\-* #,##0.0_-;_-* &quot;-&quot;??_-;_-@_-">
                  <c:v>55.163773229999997</c:v>
                </c:pt>
              </c:numCache>
            </c:numRef>
          </c:val>
          <c:extLst>
            <c:ext xmlns:c16="http://schemas.microsoft.com/office/drawing/2014/chart" uri="{C3380CC4-5D6E-409C-BE32-E72D297353CC}">
              <c16:uniqueId val="{00000004-C161-47DD-BC5C-AC1AF8BFF91B}"/>
            </c:ext>
          </c:extLst>
        </c:ser>
        <c:dLbls>
          <c:showLegendKey val="0"/>
          <c:showVal val="0"/>
          <c:showCatName val="0"/>
          <c:showSerName val="0"/>
          <c:showPercent val="0"/>
          <c:showBubbleSize val="0"/>
        </c:dLbls>
        <c:gapWidth val="219"/>
        <c:overlap val="-27"/>
        <c:axId val="741140992"/>
        <c:axId val="1976629760"/>
      </c:barChart>
      <c:catAx>
        <c:axId val="741140992"/>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6629760"/>
        <c:crosses val="autoZero"/>
        <c:auto val="1"/>
        <c:lblAlgn val="ctr"/>
        <c:lblOffset val="100"/>
        <c:noMultiLvlLbl val="0"/>
      </c:catAx>
      <c:valAx>
        <c:axId val="19766297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baseline="0">
                    <a:solidFill>
                      <a:sysClr val="windowText" lastClr="000000"/>
                    </a:solidFill>
                  </a:rPr>
                  <a:t>bin Avro/MW</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11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Sheet1!$B$2:$B$8</c:f>
              <c:numCache>
                <c:formatCode>_-* #,##0.0_-;\-* #,##0.0_-;_-* "-"??_-;_-@_-</c:formatCode>
                <c:ptCount val="7"/>
                <c:pt idx="0">
                  <c:v>0.15</c:v>
                </c:pt>
                <c:pt idx="1">
                  <c:v>0.16</c:v>
                </c:pt>
                <c:pt idx="2">
                  <c:v>4.12</c:v>
                </c:pt>
                <c:pt idx="3">
                  <c:v>9.65</c:v>
                </c:pt>
                <c:pt idx="4">
                  <c:v>0.08</c:v>
                </c:pt>
                <c:pt idx="5">
                  <c:v>0.65</c:v>
                </c:pt>
                <c:pt idx="6">
                  <c:v>0.71</c:v>
                </c:pt>
              </c:numCache>
            </c:numRef>
          </c:val>
          <c:extLst>
            <c:ext xmlns:c16="http://schemas.microsoft.com/office/drawing/2014/chart" uri="{C3380CC4-5D6E-409C-BE32-E72D297353CC}">
              <c16:uniqueId val="{00000000-CAF3-4653-8B1C-55950D6AFD4A}"/>
            </c:ext>
          </c:extLst>
        </c:ser>
        <c:ser>
          <c:idx val="1"/>
          <c:order val="1"/>
          <c:tx>
            <c:strRef>
              <c:f>Sheet1!$C$1</c:f>
              <c:strCache>
                <c:ptCount val="1"/>
                <c:pt idx="0">
                  <c:v>2021</c:v>
                </c:pt>
              </c:strCache>
            </c:strRef>
          </c:tx>
          <c:spPr>
            <a:solidFill>
              <a:schemeClr val="accent2"/>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Sheet1!$C$2:$C$8</c:f>
              <c:numCache>
                <c:formatCode>_-* #,##0.0_-;\-* #,##0.0_-;_-* "-"??_-;_-@_-</c:formatCode>
                <c:ptCount val="7"/>
                <c:pt idx="0">
                  <c:v>0.13921090999999999</c:v>
                </c:pt>
                <c:pt idx="1">
                  <c:v>0.12507215999999999</c:v>
                </c:pt>
                <c:pt idx="2">
                  <c:v>6.6050166700000004</c:v>
                </c:pt>
                <c:pt idx="3">
                  <c:v>9.9526266900000007</c:v>
                </c:pt>
                <c:pt idx="4">
                  <c:v>5.3841180000000002E-2</c:v>
                </c:pt>
                <c:pt idx="5">
                  <c:v>0.66536033999999999</c:v>
                </c:pt>
                <c:pt idx="6">
                  <c:v>7.5719110900000004</c:v>
                </c:pt>
              </c:numCache>
            </c:numRef>
          </c:val>
          <c:extLst>
            <c:ext xmlns:c16="http://schemas.microsoft.com/office/drawing/2014/chart" uri="{C3380CC4-5D6E-409C-BE32-E72D297353CC}">
              <c16:uniqueId val="{00000001-CAF3-4653-8B1C-55950D6AFD4A}"/>
            </c:ext>
          </c:extLst>
        </c:ser>
        <c:ser>
          <c:idx val="2"/>
          <c:order val="2"/>
          <c:tx>
            <c:strRef>
              <c:f>Sheet1!$D$1</c:f>
              <c:strCache>
                <c:ptCount val="1"/>
                <c:pt idx="0">
                  <c:v>2022</c:v>
                </c:pt>
              </c:strCache>
            </c:strRef>
          </c:tx>
          <c:spPr>
            <a:solidFill>
              <a:schemeClr val="accent3"/>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Sheet1!$D$2:$D$8</c:f>
              <c:numCache>
                <c:formatCode>_-* #,##0.0_-;\-* #,##0.0_-;_-* "-"??_-;_-@_-</c:formatCode>
                <c:ptCount val="7"/>
                <c:pt idx="0">
                  <c:v>0.13960270999999999</c:v>
                </c:pt>
                <c:pt idx="1">
                  <c:v>8.9334709999999998E-2</c:v>
                </c:pt>
                <c:pt idx="2">
                  <c:v>9.8349519900000004</c:v>
                </c:pt>
                <c:pt idx="3">
                  <c:v>10.5642709</c:v>
                </c:pt>
                <c:pt idx="4">
                  <c:v>5.8039239999999999E-2</c:v>
                </c:pt>
                <c:pt idx="5">
                  <c:v>5.1822352199999999</c:v>
                </c:pt>
                <c:pt idx="6">
                  <c:v>7.6459429099999996</c:v>
                </c:pt>
              </c:numCache>
            </c:numRef>
          </c:val>
          <c:extLst>
            <c:ext xmlns:c16="http://schemas.microsoft.com/office/drawing/2014/chart" uri="{C3380CC4-5D6E-409C-BE32-E72D297353CC}">
              <c16:uniqueId val="{00000002-CAF3-4653-8B1C-55950D6AFD4A}"/>
            </c:ext>
          </c:extLst>
        </c:ser>
        <c:ser>
          <c:idx val="3"/>
          <c:order val="3"/>
          <c:tx>
            <c:strRef>
              <c:f>Sheet1!$E$1</c:f>
              <c:strCache>
                <c:ptCount val="1"/>
                <c:pt idx="0">
                  <c:v>2023</c:v>
                </c:pt>
              </c:strCache>
            </c:strRef>
          </c:tx>
          <c:spPr>
            <a:solidFill>
              <a:schemeClr val="accent4"/>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Sheet1!$E$2:$E$8</c:f>
              <c:numCache>
                <c:formatCode>General</c:formatCode>
                <c:ptCount val="7"/>
                <c:pt idx="0" formatCode="_-* #,##0.0_-;\-* #,##0.0_-;_-* &quot;-&quot;??_-;_-@_-">
                  <c:v>0.14486804</c:v>
                </c:pt>
                <c:pt idx="2" formatCode="_-* #,##0.0_-;\-* #,##0.0_-;_-* &quot;-&quot;??_-;_-@_-">
                  <c:v>5.7322742499999997</c:v>
                </c:pt>
                <c:pt idx="3" formatCode="_-* #,##0.0_-;\-* #,##0.0_-;_-* &quot;-&quot;??_-;_-@_-">
                  <c:v>9.8306187000000005</c:v>
                </c:pt>
                <c:pt idx="4" formatCode="_-* #,##0.0_-;\-* #,##0.0_-;_-* &quot;-&quot;??_-;_-@_-">
                  <c:v>5.7233140000000002E-2</c:v>
                </c:pt>
                <c:pt idx="5" formatCode="_-* #,##0.0_-;\-* #,##0.0_-;_-* &quot;-&quot;??_-;_-@_-">
                  <c:v>3.9017996699999999</c:v>
                </c:pt>
                <c:pt idx="6" formatCode="_-* #,##0.0_-;\-* #,##0.0_-;_-* &quot;-&quot;??_-;_-@_-">
                  <c:v>7.3515968599999999</c:v>
                </c:pt>
              </c:numCache>
            </c:numRef>
          </c:val>
          <c:extLst>
            <c:ext xmlns:c16="http://schemas.microsoft.com/office/drawing/2014/chart" uri="{C3380CC4-5D6E-409C-BE32-E72D297353CC}">
              <c16:uniqueId val="{00000003-CAF3-4653-8B1C-55950D6AFD4A}"/>
            </c:ext>
          </c:extLst>
        </c:ser>
        <c:ser>
          <c:idx val="4"/>
          <c:order val="4"/>
          <c:tx>
            <c:strRef>
              <c:f>Sheet1!$F$1</c:f>
              <c:strCache>
                <c:ptCount val="1"/>
                <c:pt idx="0">
                  <c:v>2024</c:v>
                </c:pt>
              </c:strCache>
            </c:strRef>
          </c:tx>
          <c:spPr>
            <a:solidFill>
              <a:schemeClr val="accent5"/>
            </a:solidFill>
            <a:ln>
              <a:noFill/>
            </a:ln>
            <a:effectLst/>
          </c:spPr>
          <c:invertIfNegative val="0"/>
          <c:cat>
            <c:strRef>
              <c:f>Sheet1!$A$2:$A$8</c:f>
              <c:strCache>
                <c:ptCount val="7"/>
                <c:pt idx="0">
                  <c:v>Almanya</c:v>
                </c:pt>
                <c:pt idx="1">
                  <c:v>Finlandiya</c:v>
                </c:pt>
                <c:pt idx="2">
                  <c:v>Fransa</c:v>
                </c:pt>
                <c:pt idx="3">
                  <c:v>İrlanda</c:v>
                </c:pt>
                <c:pt idx="4">
                  <c:v>İsveç</c:v>
                </c:pt>
                <c:pt idx="5">
                  <c:v>İtalya</c:v>
                </c:pt>
                <c:pt idx="6">
                  <c:v>Polonya</c:v>
                </c:pt>
              </c:strCache>
            </c:strRef>
          </c:cat>
          <c:val>
            <c:numRef>
              <c:f>Sheet1!$F$2:$F$8</c:f>
              <c:numCache>
                <c:formatCode>General</c:formatCode>
                <c:ptCount val="7"/>
                <c:pt idx="0" formatCode="_-* #,##0.0_-;\-* #,##0.0_-;_-* &quot;-&quot;??_-;_-@_-">
                  <c:v>0.20682246000000001</c:v>
                </c:pt>
                <c:pt idx="2" formatCode="_-* #,##0.0_-;\-* #,##0.0_-;_-* &quot;-&quot;??_-;_-@_-">
                  <c:v>7.0833917800000004</c:v>
                </c:pt>
                <c:pt idx="3" formatCode="_-* #,##0.0_-;\-* #,##0.0_-;_-* &quot;-&quot;??_-;_-@_-">
                  <c:v>13.76505131</c:v>
                </c:pt>
                <c:pt idx="4" formatCode="_-* #,##0.0_-;\-* #,##0.0_-;_-* &quot;-&quot;??_-;_-@_-">
                  <c:v>5.8845340000000003E-2</c:v>
                </c:pt>
                <c:pt idx="5" formatCode="_-* #,##0.0_-;\-* #,##0.0_-;_-* &quot;-&quot;??_-;_-@_-">
                  <c:v>6.1333198900000001</c:v>
                </c:pt>
                <c:pt idx="6" formatCode="_-* #,##0.0_-;\-* #,##0.0_-;_-* &quot;-&quot;??_-;_-@_-">
                  <c:v>7.6515355200000004</c:v>
                </c:pt>
              </c:numCache>
            </c:numRef>
          </c:val>
          <c:extLst>
            <c:ext xmlns:c16="http://schemas.microsoft.com/office/drawing/2014/chart" uri="{C3380CC4-5D6E-409C-BE32-E72D297353CC}">
              <c16:uniqueId val="{00000004-CAF3-4653-8B1C-55950D6AFD4A}"/>
            </c:ext>
          </c:extLst>
        </c:ser>
        <c:dLbls>
          <c:showLegendKey val="0"/>
          <c:showVal val="0"/>
          <c:showCatName val="0"/>
          <c:showSerName val="0"/>
          <c:showPercent val="0"/>
          <c:showBubbleSize val="0"/>
        </c:dLbls>
        <c:gapWidth val="219"/>
        <c:axId val="741140992"/>
        <c:axId val="1976629760"/>
      </c:barChart>
      <c:scatterChart>
        <c:scatterStyle val="lineMarker"/>
        <c:varyColors val="0"/>
        <c:ser>
          <c:idx val="5"/>
          <c:order val="5"/>
          <c:tx>
            <c:strRef>
              <c:f>Sheet1!$G$1</c:f>
              <c:strCache>
                <c:ptCount val="1"/>
                <c:pt idx="0">
                  <c:v>2022 Yılında Gün Öncesi Piyasasında Oluşan Ortalama Fiyata Oranı</c:v>
                </c:pt>
              </c:strCache>
            </c:strRef>
          </c:tx>
          <c:spPr>
            <a:ln w="25400" cap="rnd">
              <a:noFill/>
              <a:round/>
            </a:ln>
            <a:effectLst/>
          </c:spPr>
          <c:marker>
            <c:symbol val="circle"/>
            <c:size val="5"/>
            <c:spPr>
              <a:solidFill>
                <a:srgbClr val="C00000"/>
              </a:solidFill>
              <a:ln w="9525">
                <a:noFill/>
              </a:ln>
              <a:effectLst/>
            </c:spPr>
          </c:marker>
          <c:dLbls>
            <c:numFmt formatCode="0.00%" sourceLinked="0"/>
            <c:spPr>
              <a:solidFill>
                <a:schemeClr val="bg1">
                  <a:lumMod val="85000"/>
                  <a:alpha val="40000"/>
                </a:schemeClr>
              </a:solid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Sheet1!$A$2:$A$8</c:f>
              <c:strCache>
                <c:ptCount val="7"/>
                <c:pt idx="0">
                  <c:v>Almanya</c:v>
                </c:pt>
                <c:pt idx="1">
                  <c:v>Finlandiya</c:v>
                </c:pt>
                <c:pt idx="2">
                  <c:v>Fransa</c:v>
                </c:pt>
                <c:pt idx="3">
                  <c:v>İrlanda</c:v>
                </c:pt>
                <c:pt idx="4">
                  <c:v>İsveç</c:v>
                </c:pt>
                <c:pt idx="5">
                  <c:v>İtalya</c:v>
                </c:pt>
                <c:pt idx="6">
                  <c:v>Polonya</c:v>
                </c:pt>
              </c:strCache>
            </c:strRef>
          </c:xVal>
          <c:yVal>
            <c:numRef>
              <c:f>Sheet1!$G$2:$G$8</c:f>
              <c:numCache>
                <c:formatCode>0.00%</c:formatCode>
                <c:ptCount val="7"/>
                <c:pt idx="0">
                  <c:v>5.9999999999999995E-4</c:v>
                </c:pt>
                <c:pt idx="1">
                  <c:v>5.9999999999999995E-4</c:v>
                </c:pt>
                <c:pt idx="2" formatCode="0%">
                  <c:v>2.0799999999999999E-2</c:v>
                </c:pt>
                <c:pt idx="3" formatCode="0%">
                  <c:v>4.4400000000000002E-2</c:v>
                </c:pt>
                <c:pt idx="4">
                  <c:v>5.9999999999999995E-4</c:v>
                </c:pt>
                <c:pt idx="5" formatCode="0%">
                  <c:v>1.2800000000000001E-2</c:v>
                </c:pt>
                <c:pt idx="6" formatCode="0%">
                  <c:v>4.41E-2</c:v>
                </c:pt>
              </c:numCache>
            </c:numRef>
          </c:yVal>
          <c:smooth val="0"/>
          <c:extLst>
            <c:ext xmlns:c16="http://schemas.microsoft.com/office/drawing/2014/chart" uri="{C3380CC4-5D6E-409C-BE32-E72D297353CC}">
              <c16:uniqueId val="{00000005-CAF3-4653-8B1C-55950D6AFD4A}"/>
            </c:ext>
          </c:extLst>
        </c:ser>
        <c:dLbls>
          <c:showLegendKey val="0"/>
          <c:showVal val="0"/>
          <c:showCatName val="0"/>
          <c:showSerName val="0"/>
          <c:showPercent val="0"/>
          <c:showBubbleSize val="0"/>
        </c:dLbls>
        <c:axId val="1573923999"/>
        <c:axId val="1535706191"/>
      </c:scatterChart>
      <c:catAx>
        <c:axId val="741140992"/>
        <c:scaling>
          <c:orientation val="minMax"/>
        </c:scaling>
        <c:delete val="0"/>
        <c:axPos val="b"/>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76629760"/>
        <c:crosses val="autoZero"/>
        <c:auto val="1"/>
        <c:lblAlgn val="ctr"/>
        <c:lblOffset val="100"/>
        <c:noMultiLvlLbl val="0"/>
      </c:catAx>
      <c:valAx>
        <c:axId val="197662976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baseline="0">
                    <a:solidFill>
                      <a:sysClr val="windowText" lastClr="000000"/>
                    </a:solidFill>
                  </a:rPr>
                  <a:t>bin Avro/MW</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1140992"/>
        <c:crosses val="autoZero"/>
        <c:crossBetween val="between"/>
      </c:valAx>
      <c:valAx>
        <c:axId val="1535706191"/>
        <c:scaling>
          <c:orientation val="minMax"/>
        </c:scaling>
        <c:delete val="0"/>
        <c:axPos val="r"/>
        <c:numFmt formatCode="0.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73923999"/>
        <c:crosses val="max"/>
        <c:crossBetween val="midCat"/>
      </c:valAx>
      <c:valAx>
        <c:axId val="1573923999"/>
        <c:scaling>
          <c:orientation val="minMax"/>
        </c:scaling>
        <c:delete val="1"/>
        <c:axPos val="b"/>
        <c:numFmt formatCode="General" sourceLinked="1"/>
        <c:majorTickMark val="out"/>
        <c:minorTickMark val="none"/>
        <c:tickLblPos val="nextTo"/>
        <c:crossAx val="1535706191"/>
        <c:crosses val="autoZero"/>
        <c:crossBetween val="midCat"/>
      </c:valAx>
      <c:spPr>
        <a:noFill/>
        <a:ln>
          <a:noFill/>
        </a:ln>
        <a:effectLst/>
      </c:spPr>
    </c:plotArea>
    <c:legend>
      <c:legendPos val="b"/>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5"/>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Entry>
      <c:layout>
        <c:manualLayout>
          <c:xMode val="edge"/>
          <c:yMode val="edge"/>
          <c:x val="6.9444444444444441E-3"/>
          <c:y val="0.91754209302435874"/>
          <c:w val="0.97331601778944277"/>
          <c:h val="8.23440819897512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12890686540848E-2"/>
          <c:y val="4.3650793650793648E-2"/>
          <c:w val="0.88662896313134387"/>
          <c:h val="0.68571928508936397"/>
        </c:manualLayout>
      </c:layout>
      <c:barChart>
        <c:barDir val="col"/>
        <c:grouping val="stacked"/>
        <c:varyColors val="0"/>
        <c:ser>
          <c:idx val="0"/>
          <c:order val="0"/>
          <c:tx>
            <c:strRef>
              <c:f>Sheet1!$B$1</c:f>
              <c:strCache>
                <c:ptCount val="1"/>
                <c:pt idx="0">
                  <c:v>Doğal Gaz</c:v>
                </c:pt>
              </c:strCache>
            </c:strRef>
          </c:tx>
          <c:spPr>
            <a:solidFill>
              <a:srgbClr val="AFABAB"/>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26.6</c:v>
                </c:pt>
                <c:pt idx="1">
                  <c:v>28.2</c:v>
                </c:pt>
                <c:pt idx="2">
                  <c:v>26.6</c:v>
                </c:pt>
                <c:pt idx="3">
                  <c:v>53.1</c:v>
                </c:pt>
                <c:pt idx="4">
                  <c:v>56.4</c:v>
                </c:pt>
              </c:numCache>
            </c:numRef>
          </c:val>
          <c:extLst>
            <c:ext xmlns:c16="http://schemas.microsoft.com/office/drawing/2014/chart" uri="{C3380CC4-5D6E-409C-BE32-E72D297353CC}">
              <c16:uniqueId val="{00000000-ABA1-4167-B12C-67EA1ABE4710}"/>
            </c:ext>
          </c:extLst>
        </c:ser>
        <c:ser>
          <c:idx val="1"/>
          <c:order val="1"/>
          <c:tx>
            <c:strRef>
              <c:f>Sheet1!$C$1</c:f>
              <c:strCache>
                <c:ptCount val="1"/>
                <c:pt idx="0">
                  <c:v>Nükleer</c:v>
                </c:pt>
              </c:strCache>
            </c:strRef>
          </c:tx>
          <c:spPr>
            <a:solidFill>
              <a:srgbClr val="177075"/>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pt idx="0">
                  <c:v>52.6</c:v>
                </c:pt>
                <c:pt idx="1">
                  <c:v>44.2</c:v>
                </c:pt>
                <c:pt idx="2">
                  <c:v>45.6</c:v>
                </c:pt>
                <c:pt idx="3">
                  <c:v>42.1</c:v>
                </c:pt>
                <c:pt idx="4">
                  <c:v>41.6</c:v>
                </c:pt>
              </c:numCache>
            </c:numRef>
          </c:val>
          <c:extLst>
            <c:ext xmlns:c16="http://schemas.microsoft.com/office/drawing/2014/chart" uri="{C3380CC4-5D6E-409C-BE32-E72D297353CC}">
              <c16:uniqueId val="{00000001-ABA1-4167-B12C-67EA1ABE4710}"/>
            </c:ext>
          </c:extLst>
        </c:ser>
        <c:ser>
          <c:idx val="2"/>
          <c:order val="2"/>
          <c:tx>
            <c:strRef>
              <c:f>Sheet1!$D$1</c:f>
              <c:strCache>
                <c:ptCount val="1"/>
                <c:pt idx="0">
                  <c:v>Hidro</c:v>
                </c:pt>
              </c:strCache>
            </c:strRef>
          </c:tx>
          <c:spPr>
            <a:solidFill>
              <a:srgbClr val="0067B4"/>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Sheet1!$D$2:$D$6</c:f>
              <c:numCache>
                <c:formatCode>General</c:formatCode>
                <c:ptCount val="5"/>
                <c:pt idx="0">
                  <c:v>19.8</c:v>
                </c:pt>
                <c:pt idx="1">
                  <c:v>22</c:v>
                </c:pt>
                <c:pt idx="2">
                  <c:v>20.7</c:v>
                </c:pt>
                <c:pt idx="3">
                  <c:v>26.8</c:v>
                </c:pt>
                <c:pt idx="4">
                  <c:v>25.9</c:v>
                </c:pt>
              </c:numCache>
            </c:numRef>
          </c:val>
          <c:extLst>
            <c:ext xmlns:c16="http://schemas.microsoft.com/office/drawing/2014/chart" uri="{C3380CC4-5D6E-409C-BE32-E72D297353CC}">
              <c16:uniqueId val="{00000002-ABA1-4167-B12C-67EA1ABE4710}"/>
            </c:ext>
          </c:extLst>
        </c:ser>
        <c:ser>
          <c:idx val="3"/>
          <c:order val="3"/>
          <c:tx>
            <c:strRef>
              <c:f>Sheet1!$E$1</c:f>
              <c:strCache>
                <c:ptCount val="1"/>
                <c:pt idx="0">
                  <c:v>Kömür, Oil, ve Diğer Fosil Yakıtlar</c:v>
                </c:pt>
              </c:strCache>
            </c:strRef>
          </c:tx>
          <c:spPr>
            <a:solidFill>
              <a:srgbClr val="404040"/>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Sheet1!$E$2:$E$6</c:f>
              <c:numCache>
                <c:formatCode>General</c:formatCode>
                <c:ptCount val="5"/>
                <c:pt idx="0">
                  <c:v>7.8</c:v>
                </c:pt>
                <c:pt idx="1">
                  <c:v>10.9</c:v>
                </c:pt>
                <c:pt idx="2">
                  <c:v>24</c:v>
                </c:pt>
                <c:pt idx="3">
                  <c:v>23</c:v>
                </c:pt>
                <c:pt idx="4">
                  <c:v>23.1</c:v>
                </c:pt>
              </c:numCache>
            </c:numRef>
          </c:val>
          <c:extLst>
            <c:ext xmlns:c16="http://schemas.microsoft.com/office/drawing/2014/chart" uri="{C3380CC4-5D6E-409C-BE32-E72D297353CC}">
              <c16:uniqueId val="{00000003-ABA1-4167-B12C-67EA1ABE4710}"/>
            </c:ext>
          </c:extLst>
        </c:ser>
        <c:ser>
          <c:idx val="4"/>
          <c:order val="4"/>
          <c:tx>
            <c:strRef>
              <c:f>Sheet1!$F$1</c:f>
              <c:strCache>
                <c:ptCount val="1"/>
                <c:pt idx="0">
                  <c:v>Yurtdışı Kapasitesi ve Enterkonnektörler</c:v>
                </c:pt>
              </c:strCache>
            </c:strRef>
          </c:tx>
          <c:spPr>
            <a:solidFill>
              <a:schemeClr val="accent5"/>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Sheet1!$F$2:$F$6</c:f>
              <c:numCache>
                <c:formatCode>General</c:formatCode>
                <c:ptCount val="5"/>
                <c:pt idx="0">
                  <c:v>6.8</c:v>
                </c:pt>
                <c:pt idx="1">
                  <c:v>7.1</c:v>
                </c:pt>
                <c:pt idx="2">
                  <c:v>8.4</c:v>
                </c:pt>
                <c:pt idx="3">
                  <c:v>12.1</c:v>
                </c:pt>
                <c:pt idx="4">
                  <c:v>13.2</c:v>
                </c:pt>
              </c:numCache>
            </c:numRef>
          </c:val>
          <c:extLst>
            <c:ext xmlns:c16="http://schemas.microsoft.com/office/drawing/2014/chart" uri="{C3380CC4-5D6E-409C-BE32-E72D297353CC}">
              <c16:uniqueId val="{00000004-ABA1-4167-B12C-67EA1ABE4710}"/>
            </c:ext>
          </c:extLst>
        </c:ser>
        <c:ser>
          <c:idx val="5"/>
          <c:order val="5"/>
          <c:tx>
            <c:strRef>
              <c:f>Sheet1!$G$1</c:f>
              <c:strCache>
                <c:ptCount val="1"/>
                <c:pt idx="0">
                  <c:v>Yenilenebilir Enerji</c:v>
                </c:pt>
              </c:strCache>
            </c:strRef>
          </c:tx>
          <c:spPr>
            <a:solidFill>
              <a:srgbClr val="00B050"/>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Sheet1!$G$2:$G$6</c:f>
              <c:numCache>
                <c:formatCode>General</c:formatCode>
                <c:ptCount val="5"/>
                <c:pt idx="0">
                  <c:v>3.3</c:v>
                </c:pt>
                <c:pt idx="1">
                  <c:v>4</c:v>
                </c:pt>
                <c:pt idx="2">
                  <c:v>4.4000000000000004</c:v>
                </c:pt>
                <c:pt idx="3">
                  <c:v>5.8</c:v>
                </c:pt>
                <c:pt idx="4">
                  <c:v>6.4</c:v>
                </c:pt>
              </c:numCache>
            </c:numRef>
          </c:val>
          <c:extLst>
            <c:ext xmlns:c16="http://schemas.microsoft.com/office/drawing/2014/chart" uri="{C3380CC4-5D6E-409C-BE32-E72D297353CC}">
              <c16:uniqueId val="{00000005-ABA1-4167-B12C-67EA1ABE4710}"/>
            </c:ext>
          </c:extLst>
        </c:ser>
        <c:ser>
          <c:idx val="6"/>
          <c:order val="6"/>
          <c:tx>
            <c:strRef>
              <c:f>Sheet1!$H$1</c:f>
              <c:strCache>
                <c:ptCount val="1"/>
                <c:pt idx="0">
                  <c:v>Talep Tarafı ve Batarya Depolama</c:v>
                </c:pt>
              </c:strCache>
            </c:strRef>
          </c:tx>
          <c:spPr>
            <a:solidFill>
              <a:schemeClr val="accent4">
                <a:lumMod val="60000"/>
                <a:lumOff val="40000"/>
              </a:schemeClr>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Sheet1!$H$2:$H$6</c:f>
              <c:numCache>
                <c:formatCode>General</c:formatCode>
                <c:ptCount val="5"/>
                <c:pt idx="0">
                  <c:v>3.6</c:v>
                </c:pt>
                <c:pt idx="1">
                  <c:v>3.8</c:v>
                </c:pt>
                <c:pt idx="2">
                  <c:v>4.0999999999999996</c:v>
                </c:pt>
                <c:pt idx="3">
                  <c:v>5</c:v>
                </c:pt>
                <c:pt idx="4">
                  <c:v>5.6</c:v>
                </c:pt>
              </c:numCache>
            </c:numRef>
          </c:val>
          <c:extLst>
            <c:ext xmlns:c16="http://schemas.microsoft.com/office/drawing/2014/chart" uri="{C3380CC4-5D6E-409C-BE32-E72D297353CC}">
              <c16:uniqueId val="{00000006-ABA1-4167-B12C-67EA1ABE4710}"/>
            </c:ext>
          </c:extLst>
        </c:ser>
        <c:ser>
          <c:idx val="7"/>
          <c:order val="7"/>
          <c:tx>
            <c:strRef>
              <c:f>Sheet1!$I$1</c:f>
              <c:strCache>
                <c:ptCount val="1"/>
                <c:pt idx="0">
                  <c:v>Diğer</c:v>
                </c:pt>
              </c:strCache>
            </c:strRef>
          </c:tx>
          <c:spPr>
            <a:solidFill>
              <a:srgbClr val="C00000"/>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Sheet1!$I$2:$I$6</c:f>
              <c:numCache>
                <c:formatCode>General</c:formatCode>
                <c:ptCount val="5"/>
                <c:pt idx="0">
                  <c:v>9.6999999999999993</c:v>
                </c:pt>
                <c:pt idx="1">
                  <c:v>5.0999999999999996</c:v>
                </c:pt>
                <c:pt idx="2">
                  <c:v>2.1</c:v>
                </c:pt>
                <c:pt idx="3">
                  <c:v>4.5999999999999996</c:v>
                </c:pt>
                <c:pt idx="4">
                  <c:v>4.0999999999999996</c:v>
                </c:pt>
              </c:numCache>
            </c:numRef>
          </c:val>
          <c:extLst>
            <c:ext xmlns:c16="http://schemas.microsoft.com/office/drawing/2014/chart" uri="{C3380CC4-5D6E-409C-BE32-E72D297353CC}">
              <c16:uniqueId val="{00000007-ABA1-4167-B12C-67EA1ABE4710}"/>
            </c:ext>
          </c:extLst>
        </c:ser>
        <c:dLbls>
          <c:showLegendKey val="0"/>
          <c:showVal val="0"/>
          <c:showCatName val="0"/>
          <c:showSerName val="0"/>
          <c:showPercent val="0"/>
          <c:showBubbleSize val="0"/>
        </c:dLbls>
        <c:gapWidth val="150"/>
        <c:overlap val="100"/>
        <c:axId val="1465555040"/>
        <c:axId val="1083721455"/>
      </c:barChart>
      <c:catAx>
        <c:axId val="14655550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83721455"/>
        <c:crosses val="autoZero"/>
        <c:auto val="1"/>
        <c:lblAlgn val="ctr"/>
        <c:lblOffset val="100"/>
        <c:noMultiLvlLbl val="0"/>
      </c:catAx>
      <c:valAx>
        <c:axId val="108372145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i="0"/>
                  <a:t>GW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65555040"/>
        <c:crosses val="autoZero"/>
        <c:crossBetween val="between"/>
      </c:valAx>
      <c:spPr>
        <a:noFill/>
        <a:ln>
          <a:noFill/>
        </a:ln>
        <a:effectLst/>
      </c:spPr>
    </c:plotArea>
    <c:legend>
      <c:legendPos val="b"/>
      <c:layout>
        <c:manualLayout>
          <c:xMode val="edge"/>
          <c:yMode val="edge"/>
          <c:x val="8.2835835291923746E-2"/>
          <c:y val="0.82936320459942492"/>
          <c:w val="0.9057860672683371"/>
          <c:h val="0.166668541432320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A6BEEE-F1FD-4805-93FC-ED3D52BC8EE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050B5D9-3933-499A-AEA0-52116DD27B27}">
      <dgm:prSet phldrT="[Text]"/>
      <dgm:spPr>
        <a:solidFill>
          <a:schemeClr val="accent1">
            <a:lumMod val="50000"/>
          </a:schemeClr>
        </a:solidFill>
      </dgm:spPr>
      <dgm:t>
        <a:bodyPr/>
        <a:lstStyle/>
        <a:p>
          <a:r>
            <a:rPr lang="tr-TR"/>
            <a:t>Kapasite Mekanizması</a:t>
          </a:r>
          <a:endParaRPr lang="en-US"/>
        </a:p>
      </dgm:t>
    </dgm:pt>
    <dgm:pt modelId="{8CDB19DB-3FED-455A-94BD-591E887E72A3}" type="parTrans" cxnId="{4670DBB9-6DF5-4EED-977A-65DC5BE3E5D9}">
      <dgm:prSet/>
      <dgm:spPr/>
      <dgm:t>
        <a:bodyPr/>
        <a:lstStyle/>
        <a:p>
          <a:endParaRPr lang="en-US"/>
        </a:p>
      </dgm:t>
    </dgm:pt>
    <dgm:pt modelId="{1ADA1E13-F2D8-4C04-9122-A8B03FC7356C}" type="sibTrans" cxnId="{4670DBB9-6DF5-4EED-977A-65DC5BE3E5D9}">
      <dgm:prSet/>
      <dgm:spPr/>
      <dgm:t>
        <a:bodyPr/>
        <a:lstStyle/>
        <a:p>
          <a:endParaRPr lang="en-US"/>
        </a:p>
      </dgm:t>
    </dgm:pt>
    <dgm:pt modelId="{085DD323-C5A6-4302-9CBE-D4130B18FEC9}" type="asst">
      <dgm:prSet phldrT="[Text]"/>
      <dgm:spPr>
        <a:solidFill>
          <a:schemeClr val="accent1">
            <a:lumMod val="50000"/>
          </a:schemeClr>
        </a:solidFill>
      </dgm:spPr>
      <dgm:t>
        <a:bodyPr/>
        <a:lstStyle/>
        <a:p>
          <a:r>
            <a:rPr lang="tr-TR"/>
            <a:t>Hacim Odaklı</a:t>
          </a:r>
          <a:endParaRPr lang="en-US"/>
        </a:p>
      </dgm:t>
    </dgm:pt>
    <dgm:pt modelId="{3EA87EFB-68E2-46FE-99E5-5BDF995E6BD0}" type="parTrans" cxnId="{60EE87E8-3242-4285-8D34-944B4088A362}">
      <dgm:prSet/>
      <dgm:spPr/>
      <dgm:t>
        <a:bodyPr/>
        <a:lstStyle/>
        <a:p>
          <a:endParaRPr lang="en-US"/>
        </a:p>
      </dgm:t>
    </dgm:pt>
    <dgm:pt modelId="{EC8C3638-BEF6-430E-A8FA-0F66D4F3F215}" type="sibTrans" cxnId="{60EE87E8-3242-4285-8D34-944B4088A362}">
      <dgm:prSet/>
      <dgm:spPr/>
      <dgm:t>
        <a:bodyPr/>
        <a:lstStyle/>
        <a:p>
          <a:endParaRPr lang="en-US"/>
        </a:p>
      </dgm:t>
    </dgm:pt>
    <dgm:pt modelId="{FD5B0AC4-8DE7-48F7-88D7-B08B81C24E23}">
      <dgm:prSet phldrT="[Text]"/>
      <dgm:spPr>
        <a:solidFill>
          <a:schemeClr val="accent1">
            <a:lumMod val="50000"/>
          </a:schemeClr>
        </a:solidFill>
      </dgm:spPr>
      <dgm:t>
        <a:bodyPr/>
        <a:lstStyle/>
        <a:p>
          <a:r>
            <a:rPr lang="tr-TR"/>
            <a:t>Kapasite Ödemesi</a:t>
          </a:r>
          <a:endParaRPr lang="en-US"/>
        </a:p>
      </dgm:t>
    </dgm:pt>
    <dgm:pt modelId="{77D04769-AD9C-4271-AFC2-B6EA6C77B2B4}" type="parTrans" cxnId="{3CB2F48D-6200-4BE2-A932-4BF8232D3AC3}">
      <dgm:prSet/>
      <dgm:spPr>
        <a:ln>
          <a:solidFill>
            <a:schemeClr val="accent1">
              <a:shade val="80000"/>
              <a:hueOff val="0"/>
              <a:satOff val="0"/>
              <a:lumOff val="0"/>
            </a:schemeClr>
          </a:solidFill>
        </a:ln>
      </dgm:spPr>
      <dgm:t>
        <a:bodyPr vert="vert"/>
        <a:lstStyle/>
        <a:p>
          <a:endParaRPr lang="en-US"/>
        </a:p>
      </dgm:t>
    </dgm:pt>
    <dgm:pt modelId="{C5CBA5DB-2053-46BA-AD56-E27294F503CF}" type="sibTrans" cxnId="{3CB2F48D-6200-4BE2-A932-4BF8232D3AC3}">
      <dgm:prSet/>
      <dgm:spPr/>
      <dgm:t>
        <a:bodyPr/>
        <a:lstStyle/>
        <a:p>
          <a:endParaRPr lang="en-US"/>
        </a:p>
      </dgm:t>
    </dgm:pt>
    <dgm:pt modelId="{1924E206-FE21-4A06-A993-44E20655E4E5}" type="asst">
      <dgm:prSet phldrT="[Text]"/>
      <dgm:spPr>
        <a:solidFill>
          <a:schemeClr val="accent1">
            <a:lumMod val="50000"/>
          </a:schemeClr>
        </a:solidFill>
      </dgm:spPr>
      <dgm:t>
        <a:bodyPr/>
        <a:lstStyle/>
        <a:p>
          <a:r>
            <a:rPr lang="tr-TR"/>
            <a:t>Fiyat Odaklı</a:t>
          </a:r>
          <a:endParaRPr lang="en-US"/>
        </a:p>
      </dgm:t>
    </dgm:pt>
    <dgm:pt modelId="{CE6A66F1-67E1-4AF1-A10B-1B8527B4F275}" type="parTrans" cxnId="{E02ABFD0-55D1-47B8-A12C-98ED257BD239}">
      <dgm:prSet/>
      <dgm:spPr/>
      <dgm:t>
        <a:bodyPr/>
        <a:lstStyle/>
        <a:p>
          <a:endParaRPr lang="en-US"/>
        </a:p>
      </dgm:t>
    </dgm:pt>
    <dgm:pt modelId="{BE402696-EF99-4BF7-936E-E13BD390EAA2}" type="sibTrans" cxnId="{E02ABFD0-55D1-47B8-A12C-98ED257BD239}">
      <dgm:prSet/>
      <dgm:spPr/>
      <dgm:t>
        <a:bodyPr/>
        <a:lstStyle/>
        <a:p>
          <a:endParaRPr lang="en-US"/>
        </a:p>
      </dgm:t>
    </dgm:pt>
    <dgm:pt modelId="{FD387FE2-3B39-479B-A584-A33407D8561F}">
      <dgm:prSet phldrT="[Text]"/>
      <dgm:spPr>
        <a:solidFill>
          <a:schemeClr val="accent1">
            <a:lumMod val="50000"/>
          </a:schemeClr>
        </a:solidFill>
      </dgm:spPr>
      <dgm:t>
        <a:bodyPr/>
        <a:lstStyle/>
        <a:p>
          <a:r>
            <a:rPr lang="tr-TR"/>
            <a:t>Hedeflenen Kapasite</a:t>
          </a:r>
          <a:endParaRPr lang="en-US"/>
        </a:p>
      </dgm:t>
    </dgm:pt>
    <dgm:pt modelId="{F9BDBAB3-9408-4E0F-8617-B800A5496F31}" type="parTrans" cxnId="{3F195B05-4720-422F-90CB-A4D6B4BB11D9}">
      <dgm:prSet/>
      <dgm:spPr/>
      <dgm:t>
        <a:bodyPr/>
        <a:lstStyle/>
        <a:p>
          <a:endParaRPr lang="en-US"/>
        </a:p>
      </dgm:t>
    </dgm:pt>
    <dgm:pt modelId="{E28353D4-C7AE-46FA-8D4D-5FC98769D09F}" type="sibTrans" cxnId="{3F195B05-4720-422F-90CB-A4D6B4BB11D9}">
      <dgm:prSet/>
      <dgm:spPr/>
      <dgm:t>
        <a:bodyPr/>
        <a:lstStyle/>
        <a:p>
          <a:endParaRPr lang="en-US"/>
        </a:p>
      </dgm:t>
    </dgm:pt>
    <dgm:pt modelId="{D43F851A-BAC9-4CB2-A1D7-505E4D095E70}">
      <dgm:prSet phldrT="[Text]"/>
      <dgm:spPr>
        <a:solidFill>
          <a:schemeClr val="accent1">
            <a:lumMod val="50000"/>
          </a:schemeClr>
        </a:solidFill>
      </dgm:spPr>
      <dgm:t>
        <a:bodyPr/>
        <a:lstStyle/>
        <a:p>
          <a:r>
            <a:rPr lang="tr-TR"/>
            <a:t>Piyasa Bazlı Kapasite</a:t>
          </a:r>
          <a:endParaRPr lang="en-US"/>
        </a:p>
      </dgm:t>
    </dgm:pt>
    <dgm:pt modelId="{586B32F9-93E0-4029-BFE3-20372A419AB5}" type="parTrans" cxnId="{C3D50CFB-46BA-497B-8BE3-4BD1C8B40E25}">
      <dgm:prSet/>
      <dgm:spPr/>
      <dgm:t>
        <a:bodyPr/>
        <a:lstStyle/>
        <a:p>
          <a:endParaRPr lang="en-US"/>
        </a:p>
      </dgm:t>
    </dgm:pt>
    <dgm:pt modelId="{F9764CD6-4A6D-4FA5-A681-6B9CD9F8337A}" type="sibTrans" cxnId="{C3D50CFB-46BA-497B-8BE3-4BD1C8B40E25}">
      <dgm:prSet/>
      <dgm:spPr/>
      <dgm:t>
        <a:bodyPr/>
        <a:lstStyle/>
        <a:p>
          <a:endParaRPr lang="en-US"/>
        </a:p>
      </dgm:t>
    </dgm:pt>
    <dgm:pt modelId="{4DDCA155-4A90-4F3E-850C-84393D71A7E8}">
      <dgm:prSet phldrT="[Text]"/>
      <dgm:spPr>
        <a:solidFill>
          <a:schemeClr val="accent1">
            <a:lumMod val="50000"/>
          </a:schemeClr>
        </a:solidFill>
      </dgm:spPr>
      <dgm:t>
        <a:bodyPr/>
        <a:lstStyle/>
        <a:p>
          <a:r>
            <a:rPr lang="tr-TR"/>
            <a:t>Stratejik Rezerv</a:t>
          </a:r>
          <a:endParaRPr lang="en-US"/>
        </a:p>
      </dgm:t>
    </dgm:pt>
    <dgm:pt modelId="{A4114EAC-AFB3-43A6-A98A-F45E453E9185}" type="parTrans" cxnId="{8BF61EDD-E125-4521-AB64-B57DDF7261EF}">
      <dgm:prSet/>
      <dgm:spPr/>
      <dgm:t>
        <a:bodyPr/>
        <a:lstStyle/>
        <a:p>
          <a:endParaRPr lang="en-US"/>
        </a:p>
      </dgm:t>
    </dgm:pt>
    <dgm:pt modelId="{1EBA8A13-7B9E-455E-AC7E-00E22CDCE31F}" type="sibTrans" cxnId="{8BF61EDD-E125-4521-AB64-B57DDF7261EF}">
      <dgm:prSet/>
      <dgm:spPr/>
      <dgm:t>
        <a:bodyPr/>
        <a:lstStyle/>
        <a:p>
          <a:endParaRPr lang="en-US"/>
        </a:p>
      </dgm:t>
    </dgm:pt>
    <dgm:pt modelId="{16B10574-EC46-4A83-B214-0C46FEC727EF}">
      <dgm:prSet phldrT="[Text]"/>
      <dgm:spPr>
        <a:solidFill>
          <a:schemeClr val="accent1">
            <a:lumMod val="50000"/>
          </a:schemeClr>
        </a:solidFill>
      </dgm:spPr>
      <dgm:t>
        <a:bodyPr/>
        <a:lstStyle/>
        <a:p>
          <a:r>
            <a:rPr lang="en-US"/>
            <a:t>Zorunlu Kapasite</a:t>
          </a:r>
        </a:p>
      </dgm:t>
    </dgm:pt>
    <dgm:pt modelId="{5593D4D5-F48D-4C3D-94B3-9EA0678FE19F}" type="parTrans" cxnId="{C4EA8821-721C-4ED7-AA1D-2F6320E34E6D}">
      <dgm:prSet/>
      <dgm:spPr/>
      <dgm:t>
        <a:bodyPr/>
        <a:lstStyle/>
        <a:p>
          <a:endParaRPr lang="en-US"/>
        </a:p>
      </dgm:t>
    </dgm:pt>
    <dgm:pt modelId="{01F516D9-F6DE-4CB9-AC29-BFEE86A8E264}" type="sibTrans" cxnId="{C4EA8821-721C-4ED7-AA1D-2F6320E34E6D}">
      <dgm:prSet/>
      <dgm:spPr/>
      <dgm:t>
        <a:bodyPr/>
        <a:lstStyle/>
        <a:p>
          <a:endParaRPr lang="en-US"/>
        </a:p>
      </dgm:t>
    </dgm:pt>
    <dgm:pt modelId="{701CB249-CC4A-4CAE-98F5-39799E136908}">
      <dgm:prSet phldrT="[Text]"/>
      <dgm:spPr>
        <a:solidFill>
          <a:schemeClr val="accent1">
            <a:lumMod val="50000"/>
          </a:schemeClr>
        </a:solidFill>
      </dgm:spPr>
      <dgm:t>
        <a:bodyPr/>
        <a:lstStyle/>
        <a:p>
          <a:r>
            <a:rPr lang="tr-TR"/>
            <a:t>Kapasite </a:t>
          </a:r>
          <a:r>
            <a:rPr lang="en-US"/>
            <a:t>İhaleleri</a:t>
          </a:r>
        </a:p>
      </dgm:t>
    </dgm:pt>
    <dgm:pt modelId="{139977F8-A530-4097-9F62-B115B2C8E24D}" type="parTrans" cxnId="{0BA89261-A153-41FF-8493-D3E6DDBAD1C4}">
      <dgm:prSet/>
      <dgm:spPr/>
      <dgm:t>
        <a:bodyPr/>
        <a:lstStyle/>
        <a:p>
          <a:endParaRPr lang="en-US"/>
        </a:p>
      </dgm:t>
    </dgm:pt>
    <dgm:pt modelId="{DFF0B5E0-31B8-4546-AA7E-75753F1BFCA8}" type="sibTrans" cxnId="{0BA89261-A153-41FF-8493-D3E6DDBAD1C4}">
      <dgm:prSet/>
      <dgm:spPr/>
      <dgm:t>
        <a:bodyPr/>
        <a:lstStyle/>
        <a:p>
          <a:endParaRPr lang="en-US"/>
        </a:p>
      </dgm:t>
    </dgm:pt>
    <dgm:pt modelId="{98970CA7-C653-4727-97AB-E418A40D1AB4}">
      <dgm:prSet phldrT="[Text]"/>
      <dgm:spPr>
        <a:solidFill>
          <a:schemeClr val="accent1">
            <a:lumMod val="50000"/>
          </a:schemeClr>
        </a:solidFill>
      </dgm:spPr>
      <dgm:t>
        <a:bodyPr/>
        <a:lstStyle/>
        <a:p>
          <a:r>
            <a:rPr lang="en-US"/>
            <a:t>Güvenilir Kapasite</a:t>
          </a:r>
        </a:p>
      </dgm:t>
    </dgm:pt>
    <dgm:pt modelId="{6E0E12EF-32C9-495A-80E9-F792A4AF7CAA}" type="parTrans" cxnId="{AFCBCF53-E363-4C42-9285-09130AB87DBD}">
      <dgm:prSet/>
      <dgm:spPr/>
      <dgm:t>
        <a:bodyPr/>
        <a:lstStyle/>
        <a:p>
          <a:endParaRPr lang="en-US"/>
        </a:p>
      </dgm:t>
    </dgm:pt>
    <dgm:pt modelId="{6F36C114-DFE9-4BFD-AF54-6894E9BBA5B1}" type="sibTrans" cxnId="{AFCBCF53-E363-4C42-9285-09130AB87DBD}">
      <dgm:prSet/>
      <dgm:spPr/>
      <dgm:t>
        <a:bodyPr/>
        <a:lstStyle/>
        <a:p>
          <a:endParaRPr lang="en-US"/>
        </a:p>
      </dgm:t>
    </dgm:pt>
    <dgm:pt modelId="{5D1C6F35-BB6F-4C7B-A6FA-A70DC8FC4EF8}" type="pres">
      <dgm:prSet presAssocID="{B5A6BEEE-F1FD-4805-93FC-ED3D52BC8EEA}" presName="hierChild1" presStyleCnt="0">
        <dgm:presLayoutVars>
          <dgm:orgChart val="1"/>
          <dgm:chPref val="1"/>
          <dgm:dir/>
          <dgm:animOne val="branch"/>
          <dgm:animLvl val="lvl"/>
          <dgm:resizeHandles/>
        </dgm:presLayoutVars>
      </dgm:prSet>
      <dgm:spPr/>
    </dgm:pt>
    <dgm:pt modelId="{45640911-16AA-4AEF-A6F9-DE8A98AF56DA}" type="pres">
      <dgm:prSet presAssocID="{B050B5D9-3933-499A-AEA0-52116DD27B27}" presName="hierRoot1" presStyleCnt="0">
        <dgm:presLayoutVars>
          <dgm:hierBranch val="init"/>
        </dgm:presLayoutVars>
      </dgm:prSet>
      <dgm:spPr/>
    </dgm:pt>
    <dgm:pt modelId="{185FEEEA-4014-4734-825F-B16B38248B7C}" type="pres">
      <dgm:prSet presAssocID="{B050B5D9-3933-499A-AEA0-52116DD27B27}" presName="rootComposite1" presStyleCnt="0"/>
      <dgm:spPr/>
    </dgm:pt>
    <dgm:pt modelId="{6E4377DD-714E-46C4-9373-100187553265}" type="pres">
      <dgm:prSet presAssocID="{B050B5D9-3933-499A-AEA0-52116DD27B27}" presName="rootText1" presStyleLbl="node0" presStyleIdx="0" presStyleCnt="1">
        <dgm:presLayoutVars>
          <dgm:chPref val="3"/>
        </dgm:presLayoutVars>
      </dgm:prSet>
      <dgm:spPr/>
    </dgm:pt>
    <dgm:pt modelId="{5688F9C2-47E9-4C7D-8363-4254721092C0}" type="pres">
      <dgm:prSet presAssocID="{B050B5D9-3933-499A-AEA0-52116DD27B27}" presName="rootConnector1" presStyleLbl="node1" presStyleIdx="0" presStyleCnt="0"/>
      <dgm:spPr/>
    </dgm:pt>
    <dgm:pt modelId="{622FF474-755A-4718-B383-606CCDA5A6D0}" type="pres">
      <dgm:prSet presAssocID="{B050B5D9-3933-499A-AEA0-52116DD27B27}" presName="hierChild2" presStyleCnt="0"/>
      <dgm:spPr/>
    </dgm:pt>
    <dgm:pt modelId="{D4635EFF-1C08-4684-91A1-F4BAEF230F51}" type="pres">
      <dgm:prSet presAssocID="{B050B5D9-3933-499A-AEA0-52116DD27B27}" presName="hierChild3" presStyleCnt="0"/>
      <dgm:spPr/>
    </dgm:pt>
    <dgm:pt modelId="{118E9E1C-849E-498E-BF2D-9A6FFB3BD57F}" type="pres">
      <dgm:prSet presAssocID="{3EA87EFB-68E2-46FE-99E5-5BDF995E6BD0}" presName="Name111" presStyleLbl="parChTrans1D2" presStyleIdx="0" presStyleCnt="2"/>
      <dgm:spPr/>
    </dgm:pt>
    <dgm:pt modelId="{77686B86-98F2-4ECC-91A3-0DF7A581D335}" type="pres">
      <dgm:prSet presAssocID="{085DD323-C5A6-4302-9CBE-D4130B18FEC9}" presName="hierRoot3" presStyleCnt="0">
        <dgm:presLayoutVars>
          <dgm:hierBranch val="init"/>
        </dgm:presLayoutVars>
      </dgm:prSet>
      <dgm:spPr/>
    </dgm:pt>
    <dgm:pt modelId="{81BBBB3F-8182-4A47-BA18-21BBD2A49A05}" type="pres">
      <dgm:prSet presAssocID="{085DD323-C5A6-4302-9CBE-D4130B18FEC9}" presName="rootComposite3" presStyleCnt="0"/>
      <dgm:spPr/>
    </dgm:pt>
    <dgm:pt modelId="{D558042C-703B-43DF-A71F-5B77D5F4F32E}" type="pres">
      <dgm:prSet presAssocID="{085DD323-C5A6-4302-9CBE-D4130B18FEC9}" presName="rootText3" presStyleLbl="asst1" presStyleIdx="0" presStyleCnt="2" custScaleX="142893">
        <dgm:presLayoutVars>
          <dgm:chPref val="3"/>
        </dgm:presLayoutVars>
      </dgm:prSet>
      <dgm:spPr/>
    </dgm:pt>
    <dgm:pt modelId="{8AA90586-C42F-4DA6-B7B3-63E08AAC4A4B}" type="pres">
      <dgm:prSet presAssocID="{085DD323-C5A6-4302-9CBE-D4130B18FEC9}" presName="rootConnector3" presStyleLbl="asst1" presStyleIdx="0" presStyleCnt="2"/>
      <dgm:spPr/>
    </dgm:pt>
    <dgm:pt modelId="{6892BC84-670D-4323-9230-E8AB039F7564}" type="pres">
      <dgm:prSet presAssocID="{085DD323-C5A6-4302-9CBE-D4130B18FEC9}" presName="hierChild6" presStyleCnt="0"/>
      <dgm:spPr/>
    </dgm:pt>
    <dgm:pt modelId="{5D61BF3A-460C-4D9A-BB14-54FC038F825A}" type="pres">
      <dgm:prSet presAssocID="{F9BDBAB3-9408-4E0F-8617-B800A5496F31}" presName="Name37" presStyleLbl="parChTrans1D3" presStyleIdx="0" presStyleCnt="3"/>
      <dgm:spPr/>
    </dgm:pt>
    <dgm:pt modelId="{9135FDBC-E97F-421C-9EF7-9097F168F0E6}" type="pres">
      <dgm:prSet presAssocID="{FD387FE2-3B39-479B-A584-A33407D8561F}" presName="hierRoot2" presStyleCnt="0">
        <dgm:presLayoutVars>
          <dgm:hierBranch val="init"/>
        </dgm:presLayoutVars>
      </dgm:prSet>
      <dgm:spPr/>
    </dgm:pt>
    <dgm:pt modelId="{2C1CF43E-390B-49E5-816C-D30A7F009FE1}" type="pres">
      <dgm:prSet presAssocID="{FD387FE2-3B39-479B-A584-A33407D8561F}" presName="rootComposite" presStyleCnt="0"/>
      <dgm:spPr/>
    </dgm:pt>
    <dgm:pt modelId="{A598C0D6-C89D-4FC2-BC35-8906EB430943}" type="pres">
      <dgm:prSet presAssocID="{FD387FE2-3B39-479B-A584-A33407D8561F}" presName="rootText" presStyleLbl="node3" presStyleIdx="0" presStyleCnt="3" custScaleX="127504">
        <dgm:presLayoutVars>
          <dgm:chPref val="3"/>
        </dgm:presLayoutVars>
      </dgm:prSet>
      <dgm:spPr/>
    </dgm:pt>
    <dgm:pt modelId="{1043B853-A2FC-479F-AF2E-1C6BA0FC2B9E}" type="pres">
      <dgm:prSet presAssocID="{FD387FE2-3B39-479B-A584-A33407D8561F}" presName="rootConnector" presStyleLbl="node3" presStyleIdx="0" presStyleCnt="3"/>
      <dgm:spPr/>
    </dgm:pt>
    <dgm:pt modelId="{11E1BF3C-98AC-4712-A305-2AD88D33E433}" type="pres">
      <dgm:prSet presAssocID="{FD387FE2-3B39-479B-A584-A33407D8561F}" presName="hierChild4" presStyleCnt="0"/>
      <dgm:spPr/>
    </dgm:pt>
    <dgm:pt modelId="{2C569C5A-10D1-4B26-977C-0C870A17B7A5}" type="pres">
      <dgm:prSet presAssocID="{A4114EAC-AFB3-43A6-A98A-F45E453E9185}" presName="Name37" presStyleLbl="parChTrans1D4" presStyleIdx="0" presStyleCnt="4"/>
      <dgm:spPr/>
    </dgm:pt>
    <dgm:pt modelId="{43F1BF7F-7A58-4753-91A9-63BB5AAE395E}" type="pres">
      <dgm:prSet presAssocID="{4DDCA155-4A90-4F3E-850C-84393D71A7E8}" presName="hierRoot2" presStyleCnt="0">
        <dgm:presLayoutVars>
          <dgm:hierBranch val="init"/>
        </dgm:presLayoutVars>
      </dgm:prSet>
      <dgm:spPr/>
    </dgm:pt>
    <dgm:pt modelId="{22E04E5F-092B-4B50-ACEF-D4C71E995361}" type="pres">
      <dgm:prSet presAssocID="{4DDCA155-4A90-4F3E-850C-84393D71A7E8}" presName="rootComposite" presStyleCnt="0"/>
      <dgm:spPr/>
    </dgm:pt>
    <dgm:pt modelId="{58C7F9C2-4950-4846-BA28-1A56178EC768}" type="pres">
      <dgm:prSet presAssocID="{4DDCA155-4A90-4F3E-850C-84393D71A7E8}" presName="rootText" presStyleLbl="node4" presStyleIdx="0" presStyleCnt="4">
        <dgm:presLayoutVars>
          <dgm:chPref val="3"/>
        </dgm:presLayoutVars>
      </dgm:prSet>
      <dgm:spPr/>
    </dgm:pt>
    <dgm:pt modelId="{DD8167A5-7DEA-4707-A946-F2CDBBD29EA9}" type="pres">
      <dgm:prSet presAssocID="{4DDCA155-4A90-4F3E-850C-84393D71A7E8}" presName="rootConnector" presStyleLbl="node4" presStyleIdx="0" presStyleCnt="4"/>
      <dgm:spPr/>
    </dgm:pt>
    <dgm:pt modelId="{2BB30717-103A-43EE-97B3-942894875212}" type="pres">
      <dgm:prSet presAssocID="{4DDCA155-4A90-4F3E-850C-84393D71A7E8}" presName="hierChild4" presStyleCnt="0"/>
      <dgm:spPr/>
    </dgm:pt>
    <dgm:pt modelId="{4647C8A4-F354-4839-8647-63B035E1FCA0}" type="pres">
      <dgm:prSet presAssocID="{4DDCA155-4A90-4F3E-850C-84393D71A7E8}" presName="hierChild5" presStyleCnt="0"/>
      <dgm:spPr/>
    </dgm:pt>
    <dgm:pt modelId="{0114E2C1-A8AC-41CE-B901-54B924FBEECF}" type="pres">
      <dgm:prSet presAssocID="{FD387FE2-3B39-479B-A584-A33407D8561F}" presName="hierChild5" presStyleCnt="0"/>
      <dgm:spPr/>
    </dgm:pt>
    <dgm:pt modelId="{77794A4F-4761-4A21-A539-9632402649D4}" type="pres">
      <dgm:prSet presAssocID="{586B32F9-93E0-4029-BFE3-20372A419AB5}" presName="Name37" presStyleLbl="parChTrans1D3" presStyleIdx="1" presStyleCnt="3"/>
      <dgm:spPr/>
    </dgm:pt>
    <dgm:pt modelId="{E07AAE3B-F194-4095-9CD5-F08A09C15DFA}" type="pres">
      <dgm:prSet presAssocID="{D43F851A-BAC9-4CB2-A1D7-505E4D095E70}" presName="hierRoot2" presStyleCnt="0">
        <dgm:presLayoutVars>
          <dgm:hierBranch val="init"/>
        </dgm:presLayoutVars>
      </dgm:prSet>
      <dgm:spPr/>
    </dgm:pt>
    <dgm:pt modelId="{2C64783D-E498-4B7E-9460-1817297C224F}" type="pres">
      <dgm:prSet presAssocID="{D43F851A-BAC9-4CB2-A1D7-505E4D095E70}" presName="rootComposite" presStyleCnt="0"/>
      <dgm:spPr/>
    </dgm:pt>
    <dgm:pt modelId="{5170A161-E9A7-4B67-836E-CB5F28920E21}" type="pres">
      <dgm:prSet presAssocID="{D43F851A-BAC9-4CB2-A1D7-505E4D095E70}" presName="rootText" presStyleLbl="node3" presStyleIdx="1" presStyleCnt="3" custScaleX="131770">
        <dgm:presLayoutVars>
          <dgm:chPref val="3"/>
        </dgm:presLayoutVars>
      </dgm:prSet>
      <dgm:spPr/>
    </dgm:pt>
    <dgm:pt modelId="{A7F62686-70E1-43C7-A2D7-F0249120A826}" type="pres">
      <dgm:prSet presAssocID="{D43F851A-BAC9-4CB2-A1D7-505E4D095E70}" presName="rootConnector" presStyleLbl="node3" presStyleIdx="1" presStyleCnt="3"/>
      <dgm:spPr/>
    </dgm:pt>
    <dgm:pt modelId="{96E43365-604B-4656-9CE5-1E47A89ABD5B}" type="pres">
      <dgm:prSet presAssocID="{D43F851A-BAC9-4CB2-A1D7-505E4D095E70}" presName="hierChild4" presStyleCnt="0"/>
      <dgm:spPr/>
    </dgm:pt>
    <dgm:pt modelId="{85A1AB48-4341-4F92-A2A1-704B57E0714F}" type="pres">
      <dgm:prSet presAssocID="{5593D4D5-F48D-4C3D-94B3-9EA0678FE19F}" presName="Name37" presStyleLbl="parChTrans1D4" presStyleIdx="1" presStyleCnt="4"/>
      <dgm:spPr/>
    </dgm:pt>
    <dgm:pt modelId="{7A890416-B6FF-43A0-A770-528056271C1E}" type="pres">
      <dgm:prSet presAssocID="{16B10574-EC46-4A83-B214-0C46FEC727EF}" presName="hierRoot2" presStyleCnt="0">
        <dgm:presLayoutVars>
          <dgm:hierBranch val="init"/>
        </dgm:presLayoutVars>
      </dgm:prSet>
      <dgm:spPr/>
    </dgm:pt>
    <dgm:pt modelId="{19F6BE1A-3D56-45E4-BB79-BF823089E68B}" type="pres">
      <dgm:prSet presAssocID="{16B10574-EC46-4A83-B214-0C46FEC727EF}" presName="rootComposite" presStyleCnt="0"/>
      <dgm:spPr/>
    </dgm:pt>
    <dgm:pt modelId="{F8533724-FD70-4BAD-8AC9-AD85DBA3BAC1}" type="pres">
      <dgm:prSet presAssocID="{16B10574-EC46-4A83-B214-0C46FEC727EF}" presName="rootText" presStyleLbl="node4" presStyleIdx="1" presStyleCnt="4" custScaleX="101676">
        <dgm:presLayoutVars>
          <dgm:chPref val="3"/>
        </dgm:presLayoutVars>
      </dgm:prSet>
      <dgm:spPr/>
    </dgm:pt>
    <dgm:pt modelId="{D7CD6C67-1D11-4B93-B979-E4601CADD810}" type="pres">
      <dgm:prSet presAssocID="{16B10574-EC46-4A83-B214-0C46FEC727EF}" presName="rootConnector" presStyleLbl="node4" presStyleIdx="1" presStyleCnt="4"/>
      <dgm:spPr/>
    </dgm:pt>
    <dgm:pt modelId="{50BEC081-40EF-4BE7-A1D4-A37FBDAEFACC}" type="pres">
      <dgm:prSet presAssocID="{16B10574-EC46-4A83-B214-0C46FEC727EF}" presName="hierChild4" presStyleCnt="0"/>
      <dgm:spPr/>
    </dgm:pt>
    <dgm:pt modelId="{B00D5999-A5D5-4CA8-8395-8BE48A21F1C9}" type="pres">
      <dgm:prSet presAssocID="{16B10574-EC46-4A83-B214-0C46FEC727EF}" presName="hierChild5" presStyleCnt="0"/>
      <dgm:spPr/>
    </dgm:pt>
    <dgm:pt modelId="{F03F49A8-96B5-4B72-A0B4-C2006794A395}" type="pres">
      <dgm:prSet presAssocID="{139977F8-A530-4097-9F62-B115B2C8E24D}" presName="Name37" presStyleLbl="parChTrans1D4" presStyleIdx="2" presStyleCnt="4"/>
      <dgm:spPr/>
    </dgm:pt>
    <dgm:pt modelId="{A7E1C406-5B69-44E6-BE3C-CCB5058E6295}" type="pres">
      <dgm:prSet presAssocID="{701CB249-CC4A-4CAE-98F5-39799E136908}" presName="hierRoot2" presStyleCnt="0">
        <dgm:presLayoutVars>
          <dgm:hierBranch val="init"/>
        </dgm:presLayoutVars>
      </dgm:prSet>
      <dgm:spPr/>
    </dgm:pt>
    <dgm:pt modelId="{C4BBCF1A-278D-4D7C-A86D-2EAF9C27A081}" type="pres">
      <dgm:prSet presAssocID="{701CB249-CC4A-4CAE-98F5-39799E136908}" presName="rootComposite" presStyleCnt="0"/>
      <dgm:spPr/>
    </dgm:pt>
    <dgm:pt modelId="{9B584F27-B774-4E82-B542-50C9AB9A852F}" type="pres">
      <dgm:prSet presAssocID="{701CB249-CC4A-4CAE-98F5-39799E136908}" presName="rootText" presStyleLbl="node4" presStyleIdx="2" presStyleCnt="4">
        <dgm:presLayoutVars>
          <dgm:chPref val="3"/>
        </dgm:presLayoutVars>
      </dgm:prSet>
      <dgm:spPr/>
    </dgm:pt>
    <dgm:pt modelId="{D33289A3-F8A0-45E8-A484-7141247B79FC}" type="pres">
      <dgm:prSet presAssocID="{701CB249-CC4A-4CAE-98F5-39799E136908}" presName="rootConnector" presStyleLbl="node4" presStyleIdx="2" presStyleCnt="4"/>
      <dgm:spPr/>
    </dgm:pt>
    <dgm:pt modelId="{A92198CA-0001-4446-9DCF-6033F52279B1}" type="pres">
      <dgm:prSet presAssocID="{701CB249-CC4A-4CAE-98F5-39799E136908}" presName="hierChild4" presStyleCnt="0"/>
      <dgm:spPr/>
    </dgm:pt>
    <dgm:pt modelId="{F3700454-B055-421D-84C0-F2243954CF51}" type="pres">
      <dgm:prSet presAssocID="{701CB249-CC4A-4CAE-98F5-39799E136908}" presName="hierChild5" presStyleCnt="0"/>
      <dgm:spPr/>
    </dgm:pt>
    <dgm:pt modelId="{BC29CC41-6ACB-4BF9-A90B-4338CC60B5C5}" type="pres">
      <dgm:prSet presAssocID="{6E0E12EF-32C9-495A-80E9-F792A4AF7CAA}" presName="Name37" presStyleLbl="parChTrans1D4" presStyleIdx="3" presStyleCnt="4"/>
      <dgm:spPr/>
    </dgm:pt>
    <dgm:pt modelId="{3DC363B3-E795-45D9-A57C-D6E5A75C42D1}" type="pres">
      <dgm:prSet presAssocID="{98970CA7-C653-4727-97AB-E418A40D1AB4}" presName="hierRoot2" presStyleCnt="0">
        <dgm:presLayoutVars>
          <dgm:hierBranch val="init"/>
        </dgm:presLayoutVars>
      </dgm:prSet>
      <dgm:spPr/>
    </dgm:pt>
    <dgm:pt modelId="{966E6D3F-4084-4C7B-BBBD-D25D1306DC5D}" type="pres">
      <dgm:prSet presAssocID="{98970CA7-C653-4727-97AB-E418A40D1AB4}" presName="rootComposite" presStyleCnt="0"/>
      <dgm:spPr/>
    </dgm:pt>
    <dgm:pt modelId="{191FD4FD-D6AB-4AD9-8246-7ECD0C0BF718}" type="pres">
      <dgm:prSet presAssocID="{98970CA7-C653-4727-97AB-E418A40D1AB4}" presName="rootText" presStyleLbl="node4" presStyleIdx="3" presStyleCnt="4">
        <dgm:presLayoutVars>
          <dgm:chPref val="3"/>
        </dgm:presLayoutVars>
      </dgm:prSet>
      <dgm:spPr/>
    </dgm:pt>
    <dgm:pt modelId="{7083311D-3199-4BD4-B4A8-06192D2D79EE}" type="pres">
      <dgm:prSet presAssocID="{98970CA7-C653-4727-97AB-E418A40D1AB4}" presName="rootConnector" presStyleLbl="node4" presStyleIdx="3" presStyleCnt="4"/>
      <dgm:spPr/>
    </dgm:pt>
    <dgm:pt modelId="{002B6C9F-33F2-49B5-8F0E-613F8865BA09}" type="pres">
      <dgm:prSet presAssocID="{98970CA7-C653-4727-97AB-E418A40D1AB4}" presName="hierChild4" presStyleCnt="0"/>
      <dgm:spPr/>
    </dgm:pt>
    <dgm:pt modelId="{FB301622-6574-4417-9A3D-DA09E43E51D8}" type="pres">
      <dgm:prSet presAssocID="{98970CA7-C653-4727-97AB-E418A40D1AB4}" presName="hierChild5" presStyleCnt="0"/>
      <dgm:spPr/>
    </dgm:pt>
    <dgm:pt modelId="{152155B0-53E5-480F-836E-4513DA024263}" type="pres">
      <dgm:prSet presAssocID="{D43F851A-BAC9-4CB2-A1D7-505E4D095E70}" presName="hierChild5" presStyleCnt="0"/>
      <dgm:spPr/>
    </dgm:pt>
    <dgm:pt modelId="{1BA824FD-0320-4AFC-B6F3-DD882D4E9499}" type="pres">
      <dgm:prSet presAssocID="{085DD323-C5A6-4302-9CBE-D4130B18FEC9}" presName="hierChild7" presStyleCnt="0"/>
      <dgm:spPr/>
    </dgm:pt>
    <dgm:pt modelId="{9A9849C6-7061-4875-A984-A373D1B8A6DC}" type="pres">
      <dgm:prSet presAssocID="{CE6A66F1-67E1-4AF1-A10B-1B8527B4F275}" presName="Name111" presStyleLbl="parChTrans1D2" presStyleIdx="1" presStyleCnt="2"/>
      <dgm:spPr/>
    </dgm:pt>
    <dgm:pt modelId="{A3F8FEAF-0386-4D49-A3B4-BE3791986072}" type="pres">
      <dgm:prSet presAssocID="{1924E206-FE21-4A06-A993-44E20655E4E5}" presName="hierRoot3" presStyleCnt="0">
        <dgm:presLayoutVars>
          <dgm:hierBranch val="r"/>
        </dgm:presLayoutVars>
      </dgm:prSet>
      <dgm:spPr/>
    </dgm:pt>
    <dgm:pt modelId="{2619686A-A4B5-4109-A35C-BD3F8EEA73A0}" type="pres">
      <dgm:prSet presAssocID="{1924E206-FE21-4A06-A993-44E20655E4E5}" presName="rootComposite3" presStyleCnt="0"/>
      <dgm:spPr/>
    </dgm:pt>
    <dgm:pt modelId="{BDD803E4-4A26-422F-A4B9-0AF368422F97}" type="pres">
      <dgm:prSet presAssocID="{1924E206-FE21-4A06-A993-44E20655E4E5}" presName="rootText3" presStyleLbl="asst1" presStyleIdx="1" presStyleCnt="2" custScaleX="148492" custLinFactNeighborX="52312" custLinFactNeighborY="0">
        <dgm:presLayoutVars>
          <dgm:chPref val="3"/>
        </dgm:presLayoutVars>
      </dgm:prSet>
      <dgm:spPr/>
    </dgm:pt>
    <dgm:pt modelId="{707E300B-9678-472F-ACE3-3F77E397686D}" type="pres">
      <dgm:prSet presAssocID="{1924E206-FE21-4A06-A993-44E20655E4E5}" presName="rootConnector3" presStyleLbl="asst1" presStyleIdx="1" presStyleCnt="2"/>
      <dgm:spPr/>
    </dgm:pt>
    <dgm:pt modelId="{2DAE771F-59D3-4295-A492-CFA6016B40FD}" type="pres">
      <dgm:prSet presAssocID="{1924E206-FE21-4A06-A993-44E20655E4E5}" presName="hierChild6" presStyleCnt="0"/>
      <dgm:spPr/>
    </dgm:pt>
    <dgm:pt modelId="{AD2DA3BE-1568-476B-AE94-1E933CA6E39F}" type="pres">
      <dgm:prSet presAssocID="{77D04769-AD9C-4271-AFC2-B6EA6C77B2B4}" presName="Name50" presStyleLbl="parChTrans1D3" presStyleIdx="2" presStyleCnt="3"/>
      <dgm:spPr/>
    </dgm:pt>
    <dgm:pt modelId="{4458DE58-1872-42C2-8338-C6CE5BFA23EC}" type="pres">
      <dgm:prSet presAssocID="{FD5B0AC4-8DE7-48F7-88D7-B08B81C24E23}" presName="hierRoot2" presStyleCnt="0">
        <dgm:presLayoutVars>
          <dgm:hierBranch val="r"/>
        </dgm:presLayoutVars>
      </dgm:prSet>
      <dgm:spPr/>
    </dgm:pt>
    <dgm:pt modelId="{C2147EF9-7FEB-4A8B-9C52-8A4DEF1D50A2}" type="pres">
      <dgm:prSet presAssocID="{FD5B0AC4-8DE7-48F7-88D7-B08B81C24E23}" presName="rootComposite" presStyleCnt="0"/>
      <dgm:spPr/>
    </dgm:pt>
    <dgm:pt modelId="{2047337C-DCE0-4078-B834-EB9C94B50369}" type="pres">
      <dgm:prSet presAssocID="{FD5B0AC4-8DE7-48F7-88D7-B08B81C24E23}" presName="rootText" presStyleLbl="node3" presStyleIdx="2" presStyleCnt="3" custLinFactNeighborX="42742" custLinFactNeighborY="18571">
        <dgm:presLayoutVars>
          <dgm:chPref val="3"/>
        </dgm:presLayoutVars>
      </dgm:prSet>
      <dgm:spPr/>
    </dgm:pt>
    <dgm:pt modelId="{6A9E2877-D81E-445D-B1A5-A21DA57FAE33}" type="pres">
      <dgm:prSet presAssocID="{FD5B0AC4-8DE7-48F7-88D7-B08B81C24E23}" presName="rootConnector" presStyleLbl="node3" presStyleIdx="2" presStyleCnt="3"/>
      <dgm:spPr/>
    </dgm:pt>
    <dgm:pt modelId="{AF8E52EF-5984-4068-A9C7-40FDB9F58339}" type="pres">
      <dgm:prSet presAssocID="{FD5B0AC4-8DE7-48F7-88D7-B08B81C24E23}" presName="hierChild4" presStyleCnt="0"/>
      <dgm:spPr/>
    </dgm:pt>
    <dgm:pt modelId="{DEBA6B30-F136-465B-9422-1AA973C30C05}" type="pres">
      <dgm:prSet presAssocID="{FD5B0AC4-8DE7-48F7-88D7-B08B81C24E23}" presName="hierChild5" presStyleCnt="0"/>
      <dgm:spPr/>
    </dgm:pt>
    <dgm:pt modelId="{A373D11C-2E8D-4864-B393-8819F258C037}" type="pres">
      <dgm:prSet presAssocID="{1924E206-FE21-4A06-A993-44E20655E4E5}" presName="hierChild7" presStyleCnt="0"/>
      <dgm:spPr/>
    </dgm:pt>
  </dgm:ptLst>
  <dgm:cxnLst>
    <dgm:cxn modelId="{3F195B05-4720-422F-90CB-A4D6B4BB11D9}" srcId="{085DD323-C5A6-4302-9CBE-D4130B18FEC9}" destId="{FD387FE2-3B39-479B-A584-A33407D8561F}" srcOrd="0" destOrd="0" parTransId="{F9BDBAB3-9408-4E0F-8617-B800A5496F31}" sibTransId="{E28353D4-C7AE-46FA-8D4D-5FC98769D09F}"/>
    <dgm:cxn modelId="{52872D06-E843-4026-A19F-8C9F5FCF8C76}" type="presOf" srcId="{FD387FE2-3B39-479B-A584-A33407D8561F}" destId="{1043B853-A2FC-479F-AF2E-1C6BA0FC2B9E}" srcOrd="1" destOrd="0" presId="urn:microsoft.com/office/officeart/2005/8/layout/orgChart1"/>
    <dgm:cxn modelId="{E3E31A0B-A5B6-4E86-B50D-70FEF8A80D58}" type="presOf" srcId="{CE6A66F1-67E1-4AF1-A10B-1B8527B4F275}" destId="{9A9849C6-7061-4875-A984-A373D1B8A6DC}" srcOrd="0" destOrd="0" presId="urn:microsoft.com/office/officeart/2005/8/layout/orgChart1"/>
    <dgm:cxn modelId="{716C3710-B822-43C0-8338-4BD8234365B9}" type="presOf" srcId="{085DD323-C5A6-4302-9CBE-D4130B18FEC9}" destId="{D558042C-703B-43DF-A71F-5B77D5F4F32E}" srcOrd="0" destOrd="0" presId="urn:microsoft.com/office/officeart/2005/8/layout/orgChart1"/>
    <dgm:cxn modelId="{DFE41911-185D-4306-B617-ADB34A5FEB20}" type="presOf" srcId="{16B10574-EC46-4A83-B214-0C46FEC727EF}" destId="{D7CD6C67-1D11-4B93-B979-E4601CADD810}" srcOrd="1" destOrd="0" presId="urn:microsoft.com/office/officeart/2005/8/layout/orgChart1"/>
    <dgm:cxn modelId="{D0479214-DFA1-4D7A-B22A-8D2033A040EA}" type="presOf" srcId="{16B10574-EC46-4A83-B214-0C46FEC727EF}" destId="{F8533724-FD70-4BAD-8AC9-AD85DBA3BAC1}" srcOrd="0" destOrd="0" presId="urn:microsoft.com/office/officeart/2005/8/layout/orgChart1"/>
    <dgm:cxn modelId="{A75DEC16-ADEE-4B07-B1D5-24A997E7D67A}" type="presOf" srcId="{586B32F9-93E0-4029-BFE3-20372A419AB5}" destId="{77794A4F-4761-4A21-A539-9632402649D4}" srcOrd="0" destOrd="0" presId="urn:microsoft.com/office/officeart/2005/8/layout/orgChart1"/>
    <dgm:cxn modelId="{C4EA8821-721C-4ED7-AA1D-2F6320E34E6D}" srcId="{D43F851A-BAC9-4CB2-A1D7-505E4D095E70}" destId="{16B10574-EC46-4A83-B214-0C46FEC727EF}" srcOrd="0" destOrd="0" parTransId="{5593D4D5-F48D-4C3D-94B3-9EA0678FE19F}" sibTransId="{01F516D9-F6DE-4CB9-AC29-BFEE86A8E264}"/>
    <dgm:cxn modelId="{40A12628-C7F3-43E8-A07C-535F4FB64069}" type="presOf" srcId="{B050B5D9-3933-499A-AEA0-52116DD27B27}" destId="{6E4377DD-714E-46C4-9373-100187553265}" srcOrd="0" destOrd="0" presId="urn:microsoft.com/office/officeart/2005/8/layout/orgChart1"/>
    <dgm:cxn modelId="{67BBD62B-3688-4123-8CAD-01CB0C4D3C19}" type="presOf" srcId="{5593D4D5-F48D-4C3D-94B3-9EA0678FE19F}" destId="{85A1AB48-4341-4F92-A2A1-704B57E0714F}" srcOrd="0" destOrd="0" presId="urn:microsoft.com/office/officeart/2005/8/layout/orgChart1"/>
    <dgm:cxn modelId="{4E06D131-A101-4C69-A37C-3A603CA822CA}" type="presOf" srcId="{B5A6BEEE-F1FD-4805-93FC-ED3D52BC8EEA}" destId="{5D1C6F35-BB6F-4C7B-A6FA-A70DC8FC4EF8}" srcOrd="0" destOrd="0" presId="urn:microsoft.com/office/officeart/2005/8/layout/orgChart1"/>
    <dgm:cxn modelId="{AFFD8733-B155-4541-9F5E-7364F0335E3F}" type="presOf" srcId="{3EA87EFB-68E2-46FE-99E5-5BDF995E6BD0}" destId="{118E9E1C-849E-498E-BF2D-9A6FFB3BD57F}" srcOrd="0" destOrd="0" presId="urn:microsoft.com/office/officeart/2005/8/layout/orgChart1"/>
    <dgm:cxn modelId="{449C105E-9DB0-4144-8D46-BDF02705EA34}" type="presOf" srcId="{77D04769-AD9C-4271-AFC2-B6EA6C77B2B4}" destId="{AD2DA3BE-1568-476B-AE94-1E933CA6E39F}" srcOrd="0" destOrd="0" presId="urn:microsoft.com/office/officeart/2005/8/layout/orgChart1"/>
    <dgm:cxn modelId="{700E2861-3E1B-4B8C-8D10-6F9125122245}" type="presOf" srcId="{1924E206-FE21-4A06-A993-44E20655E4E5}" destId="{707E300B-9678-472F-ACE3-3F77E397686D}" srcOrd="1" destOrd="0" presId="urn:microsoft.com/office/officeart/2005/8/layout/orgChart1"/>
    <dgm:cxn modelId="{0BA89261-A153-41FF-8493-D3E6DDBAD1C4}" srcId="{D43F851A-BAC9-4CB2-A1D7-505E4D095E70}" destId="{701CB249-CC4A-4CAE-98F5-39799E136908}" srcOrd="1" destOrd="0" parTransId="{139977F8-A530-4097-9F62-B115B2C8E24D}" sibTransId="{DFF0B5E0-31B8-4546-AA7E-75753F1BFCA8}"/>
    <dgm:cxn modelId="{F265EA6B-DA81-4B9C-ACF8-9D39F32256CB}" type="presOf" srcId="{B050B5D9-3933-499A-AEA0-52116DD27B27}" destId="{5688F9C2-47E9-4C7D-8363-4254721092C0}" srcOrd="1" destOrd="0" presId="urn:microsoft.com/office/officeart/2005/8/layout/orgChart1"/>
    <dgm:cxn modelId="{4B23946D-3C04-48BF-B7B8-03F7A30A4B22}" type="presOf" srcId="{A4114EAC-AFB3-43A6-A98A-F45E453E9185}" destId="{2C569C5A-10D1-4B26-977C-0C870A17B7A5}" srcOrd="0" destOrd="0" presId="urn:microsoft.com/office/officeart/2005/8/layout/orgChart1"/>
    <dgm:cxn modelId="{AFCBCF53-E363-4C42-9285-09130AB87DBD}" srcId="{D43F851A-BAC9-4CB2-A1D7-505E4D095E70}" destId="{98970CA7-C653-4727-97AB-E418A40D1AB4}" srcOrd="2" destOrd="0" parTransId="{6E0E12EF-32C9-495A-80E9-F792A4AF7CAA}" sibTransId="{6F36C114-DFE9-4BFD-AF54-6894E9BBA5B1}"/>
    <dgm:cxn modelId="{56D2C575-3B8C-40E0-94C5-BD7F91BC3509}" type="presOf" srcId="{4DDCA155-4A90-4F3E-850C-84393D71A7E8}" destId="{58C7F9C2-4950-4846-BA28-1A56178EC768}" srcOrd="0" destOrd="0" presId="urn:microsoft.com/office/officeart/2005/8/layout/orgChart1"/>
    <dgm:cxn modelId="{C1876158-8609-440F-8153-5CE4DD289DAB}" type="presOf" srcId="{085DD323-C5A6-4302-9CBE-D4130B18FEC9}" destId="{8AA90586-C42F-4DA6-B7B3-63E08AAC4A4B}" srcOrd="1" destOrd="0" presId="urn:microsoft.com/office/officeart/2005/8/layout/orgChart1"/>
    <dgm:cxn modelId="{AB1B7981-8949-4BD4-8E0E-AC9AB6F8E7A5}" type="presOf" srcId="{1924E206-FE21-4A06-A993-44E20655E4E5}" destId="{BDD803E4-4A26-422F-A4B9-0AF368422F97}" srcOrd="0" destOrd="0" presId="urn:microsoft.com/office/officeart/2005/8/layout/orgChart1"/>
    <dgm:cxn modelId="{AFB8C181-DDDF-47F4-A940-602E136231CC}" type="presOf" srcId="{FD5B0AC4-8DE7-48F7-88D7-B08B81C24E23}" destId="{2047337C-DCE0-4078-B834-EB9C94B50369}" srcOrd="0" destOrd="0" presId="urn:microsoft.com/office/officeart/2005/8/layout/orgChart1"/>
    <dgm:cxn modelId="{3CB2F48D-6200-4BE2-A932-4BF8232D3AC3}" srcId="{1924E206-FE21-4A06-A993-44E20655E4E5}" destId="{FD5B0AC4-8DE7-48F7-88D7-B08B81C24E23}" srcOrd="0" destOrd="0" parTransId="{77D04769-AD9C-4271-AFC2-B6EA6C77B2B4}" sibTransId="{C5CBA5DB-2053-46BA-AD56-E27294F503CF}"/>
    <dgm:cxn modelId="{42C01E90-F8F3-46BA-8B2F-5CA87461DD87}" type="presOf" srcId="{6E0E12EF-32C9-495A-80E9-F792A4AF7CAA}" destId="{BC29CC41-6ACB-4BF9-A90B-4338CC60B5C5}" srcOrd="0" destOrd="0" presId="urn:microsoft.com/office/officeart/2005/8/layout/orgChart1"/>
    <dgm:cxn modelId="{EA760692-EC1C-49D1-B4AE-1871E8AAC566}" type="presOf" srcId="{98970CA7-C653-4727-97AB-E418A40D1AB4}" destId="{7083311D-3199-4BD4-B4A8-06192D2D79EE}" srcOrd="1" destOrd="0" presId="urn:microsoft.com/office/officeart/2005/8/layout/orgChart1"/>
    <dgm:cxn modelId="{328102A1-41C1-41D6-A139-03ADE224E6B7}" type="presOf" srcId="{98970CA7-C653-4727-97AB-E418A40D1AB4}" destId="{191FD4FD-D6AB-4AD9-8246-7ECD0C0BF718}" srcOrd="0" destOrd="0" presId="urn:microsoft.com/office/officeart/2005/8/layout/orgChart1"/>
    <dgm:cxn modelId="{CB6C5EA2-758D-4A80-99C5-AA769044388F}" type="presOf" srcId="{701CB249-CC4A-4CAE-98F5-39799E136908}" destId="{9B584F27-B774-4E82-B542-50C9AB9A852F}" srcOrd="0" destOrd="0" presId="urn:microsoft.com/office/officeart/2005/8/layout/orgChart1"/>
    <dgm:cxn modelId="{9ED5ECAB-358E-4094-8594-6FF676E161D7}" type="presOf" srcId="{F9BDBAB3-9408-4E0F-8617-B800A5496F31}" destId="{5D61BF3A-460C-4D9A-BB14-54FC038F825A}" srcOrd="0" destOrd="0" presId="urn:microsoft.com/office/officeart/2005/8/layout/orgChart1"/>
    <dgm:cxn modelId="{4670DBB9-6DF5-4EED-977A-65DC5BE3E5D9}" srcId="{B5A6BEEE-F1FD-4805-93FC-ED3D52BC8EEA}" destId="{B050B5D9-3933-499A-AEA0-52116DD27B27}" srcOrd="0" destOrd="0" parTransId="{8CDB19DB-3FED-455A-94BD-591E887E72A3}" sibTransId="{1ADA1E13-F2D8-4C04-9122-A8B03FC7356C}"/>
    <dgm:cxn modelId="{2F7A8ABF-9A72-47DE-8470-0B75B7C6B13D}" type="presOf" srcId="{D43F851A-BAC9-4CB2-A1D7-505E4D095E70}" destId="{5170A161-E9A7-4B67-836E-CB5F28920E21}" srcOrd="0" destOrd="0" presId="urn:microsoft.com/office/officeart/2005/8/layout/orgChart1"/>
    <dgm:cxn modelId="{5F8D47CD-DBD4-47EA-8AB5-9C3A935CA10D}" type="presOf" srcId="{4DDCA155-4A90-4F3E-850C-84393D71A7E8}" destId="{DD8167A5-7DEA-4707-A946-F2CDBBD29EA9}" srcOrd="1" destOrd="0" presId="urn:microsoft.com/office/officeart/2005/8/layout/orgChart1"/>
    <dgm:cxn modelId="{E02ABFD0-55D1-47B8-A12C-98ED257BD239}" srcId="{B050B5D9-3933-499A-AEA0-52116DD27B27}" destId="{1924E206-FE21-4A06-A993-44E20655E4E5}" srcOrd="1" destOrd="0" parTransId="{CE6A66F1-67E1-4AF1-A10B-1B8527B4F275}" sibTransId="{BE402696-EF99-4BF7-936E-E13BD390EAA2}"/>
    <dgm:cxn modelId="{8BF61EDD-E125-4521-AB64-B57DDF7261EF}" srcId="{FD387FE2-3B39-479B-A584-A33407D8561F}" destId="{4DDCA155-4A90-4F3E-850C-84393D71A7E8}" srcOrd="0" destOrd="0" parTransId="{A4114EAC-AFB3-43A6-A98A-F45E453E9185}" sibTransId="{1EBA8A13-7B9E-455E-AC7E-00E22CDCE31F}"/>
    <dgm:cxn modelId="{E675B5E4-D5D6-410A-80C5-2CC393E6E39E}" type="presOf" srcId="{D43F851A-BAC9-4CB2-A1D7-505E4D095E70}" destId="{A7F62686-70E1-43C7-A2D7-F0249120A826}" srcOrd="1" destOrd="0" presId="urn:microsoft.com/office/officeart/2005/8/layout/orgChart1"/>
    <dgm:cxn modelId="{43FF8AE5-1977-48DC-B25A-70FBE5D4300C}" type="presOf" srcId="{FD5B0AC4-8DE7-48F7-88D7-B08B81C24E23}" destId="{6A9E2877-D81E-445D-B1A5-A21DA57FAE33}" srcOrd="1" destOrd="0" presId="urn:microsoft.com/office/officeart/2005/8/layout/orgChart1"/>
    <dgm:cxn modelId="{60EE87E8-3242-4285-8D34-944B4088A362}" srcId="{B050B5D9-3933-499A-AEA0-52116DD27B27}" destId="{085DD323-C5A6-4302-9CBE-D4130B18FEC9}" srcOrd="0" destOrd="0" parTransId="{3EA87EFB-68E2-46FE-99E5-5BDF995E6BD0}" sibTransId="{EC8C3638-BEF6-430E-A8FA-0F66D4F3F215}"/>
    <dgm:cxn modelId="{42A1DDF3-FC9A-4EC9-8D60-D8AB8639C274}" type="presOf" srcId="{701CB249-CC4A-4CAE-98F5-39799E136908}" destId="{D33289A3-F8A0-45E8-A484-7141247B79FC}" srcOrd="1" destOrd="0" presId="urn:microsoft.com/office/officeart/2005/8/layout/orgChart1"/>
    <dgm:cxn modelId="{38C042F4-C932-42F4-84AB-00527E47C329}" type="presOf" srcId="{139977F8-A530-4097-9F62-B115B2C8E24D}" destId="{F03F49A8-96B5-4B72-A0B4-C2006794A395}" srcOrd="0" destOrd="0" presId="urn:microsoft.com/office/officeart/2005/8/layout/orgChart1"/>
    <dgm:cxn modelId="{B67D90F7-7272-41CD-9584-0FDC57BF5293}" type="presOf" srcId="{FD387FE2-3B39-479B-A584-A33407D8561F}" destId="{A598C0D6-C89D-4FC2-BC35-8906EB430943}" srcOrd="0" destOrd="0" presId="urn:microsoft.com/office/officeart/2005/8/layout/orgChart1"/>
    <dgm:cxn modelId="{C3D50CFB-46BA-497B-8BE3-4BD1C8B40E25}" srcId="{085DD323-C5A6-4302-9CBE-D4130B18FEC9}" destId="{D43F851A-BAC9-4CB2-A1D7-505E4D095E70}" srcOrd="1" destOrd="0" parTransId="{586B32F9-93E0-4029-BFE3-20372A419AB5}" sibTransId="{F9764CD6-4A6D-4FA5-A681-6B9CD9F8337A}"/>
    <dgm:cxn modelId="{966FB675-8AA6-467D-A139-B486C1BB7C3C}" type="presParOf" srcId="{5D1C6F35-BB6F-4C7B-A6FA-A70DC8FC4EF8}" destId="{45640911-16AA-4AEF-A6F9-DE8A98AF56DA}" srcOrd="0" destOrd="0" presId="urn:microsoft.com/office/officeart/2005/8/layout/orgChart1"/>
    <dgm:cxn modelId="{E6B4F596-B20C-4CEB-B4E5-ACB0255673AE}" type="presParOf" srcId="{45640911-16AA-4AEF-A6F9-DE8A98AF56DA}" destId="{185FEEEA-4014-4734-825F-B16B38248B7C}" srcOrd="0" destOrd="0" presId="urn:microsoft.com/office/officeart/2005/8/layout/orgChart1"/>
    <dgm:cxn modelId="{B17A5971-436B-4801-914E-24456A4926EA}" type="presParOf" srcId="{185FEEEA-4014-4734-825F-B16B38248B7C}" destId="{6E4377DD-714E-46C4-9373-100187553265}" srcOrd="0" destOrd="0" presId="urn:microsoft.com/office/officeart/2005/8/layout/orgChart1"/>
    <dgm:cxn modelId="{4ADCF1ED-5B42-4EDE-B3D7-71386617DA9C}" type="presParOf" srcId="{185FEEEA-4014-4734-825F-B16B38248B7C}" destId="{5688F9C2-47E9-4C7D-8363-4254721092C0}" srcOrd="1" destOrd="0" presId="urn:microsoft.com/office/officeart/2005/8/layout/orgChart1"/>
    <dgm:cxn modelId="{2C0BBFEE-CA20-4895-B182-E079F20E1930}" type="presParOf" srcId="{45640911-16AA-4AEF-A6F9-DE8A98AF56DA}" destId="{622FF474-755A-4718-B383-606CCDA5A6D0}" srcOrd="1" destOrd="0" presId="urn:microsoft.com/office/officeart/2005/8/layout/orgChart1"/>
    <dgm:cxn modelId="{40DA1A22-12E5-4855-9F06-D2C2EA9EB252}" type="presParOf" srcId="{45640911-16AA-4AEF-A6F9-DE8A98AF56DA}" destId="{D4635EFF-1C08-4684-91A1-F4BAEF230F51}" srcOrd="2" destOrd="0" presId="urn:microsoft.com/office/officeart/2005/8/layout/orgChart1"/>
    <dgm:cxn modelId="{91614199-9CFE-4ACC-A96A-DE01CA2477C4}" type="presParOf" srcId="{D4635EFF-1C08-4684-91A1-F4BAEF230F51}" destId="{118E9E1C-849E-498E-BF2D-9A6FFB3BD57F}" srcOrd="0" destOrd="0" presId="urn:microsoft.com/office/officeart/2005/8/layout/orgChart1"/>
    <dgm:cxn modelId="{6C80ECCA-7A07-4AE0-BB95-CA0F6BE34111}" type="presParOf" srcId="{D4635EFF-1C08-4684-91A1-F4BAEF230F51}" destId="{77686B86-98F2-4ECC-91A3-0DF7A581D335}" srcOrd="1" destOrd="0" presId="urn:microsoft.com/office/officeart/2005/8/layout/orgChart1"/>
    <dgm:cxn modelId="{0478D7D7-02F2-472E-AD5D-ABA285B20A2D}" type="presParOf" srcId="{77686B86-98F2-4ECC-91A3-0DF7A581D335}" destId="{81BBBB3F-8182-4A47-BA18-21BBD2A49A05}" srcOrd="0" destOrd="0" presId="urn:microsoft.com/office/officeart/2005/8/layout/orgChart1"/>
    <dgm:cxn modelId="{CF606896-9854-4FD0-8DFE-CEE9FD50E859}" type="presParOf" srcId="{81BBBB3F-8182-4A47-BA18-21BBD2A49A05}" destId="{D558042C-703B-43DF-A71F-5B77D5F4F32E}" srcOrd="0" destOrd="0" presId="urn:microsoft.com/office/officeart/2005/8/layout/orgChart1"/>
    <dgm:cxn modelId="{E7A1872F-11CC-4084-A5A4-0712E0754937}" type="presParOf" srcId="{81BBBB3F-8182-4A47-BA18-21BBD2A49A05}" destId="{8AA90586-C42F-4DA6-B7B3-63E08AAC4A4B}" srcOrd="1" destOrd="0" presId="urn:microsoft.com/office/officeart/2005/8/layout/orgChart1"/>
    <dgm:cxn modelId="{B7EAAE39-005B-419B-A0B7-5B4389C81C1C}" type="presParOf" srcId="{77686B86-98F2-4ECC-91A3-0DF7A581D335}" destId="{6892BC84-670D-4323-9230-E8AB039F7564}" srcOrd="1" destOrd="0" presId="urn:microsoft.com/office/officeart/2005/8/layout/orgChart1"/>
    <dgm:cxn modelId="{5935EC11-79D6-4C94-BBD1-0E2031AB2022}" type="presParOf" srcId="{6892BC84-670D-4323-9230-E8AB039F7564}" destId="{5D61BF3A-460C-4D9A-BB14-54FC038F825A}" srcOrd="0" destOrd="0" presId="urn:microsoft.com/office/officeart/2005/8/layout/orgChart1"/>
    <dgm:cxn modelId="{95606533-2D86-4A35-B9B4-30BAD898D4DC}" type="presParOf" srcId="{6892BC84-670D-4323-9230-E8AB039F7564}" destId="{9135FDBC-E97F-421C-9EF7-9097F168F0E6}" srcOrd="1" destOrd="0" presId="urn:microsoft.com/office/officeart/2005/8/layout/orgChart1"/>
    <dgm:cxn modelId="{BE45947A-8ECE-43E6-9D6E-D9CC4A7E15D6}" type="presParOf" srcId="{9135FDBC-E97F-421C-9EF7-9097F168F0E6}" destId="{2C1CF43E-390B-49E5-816C-D30A7F009FE1}" srcOrd="0" destOrd="0" presId="urn:microsoft.com/office/officeart/2005/8/layout/orgChart1"/>
    <dgm:cxn modelId="{79F5E670-A7A3-4AFC-97A7-2C5A336216E6}" type="presParOf" srcId="{2C1CF43E-390B-49E5-816C-D30A7F009FE1}" destId="{A598C0D6-C89D-4FC2-BC35-8906EB430943}" srcOrd="0" destOrd="0" presId="urn:microsoft.com/office/officeart/2005/8/layout/orgChart1"/>
    <dgm:cxn modelId="{71B044DE-92A6-4041-90FD-FEB493F6EDFA}" type="presParOf" srcId="{2C1CF43E-390B-49E5-816C-D30A7F009FE1}" destId="{1043B853-A2FC-479F-AF2E-1C6BA0FC2B9E}" srcOrd="1" destOrd="0" presId="urn:microsoft.com/office/officeart/2005/8/layout/orgChart1"/>
    <dgm:cxn modelId="{6171008C-F66B-432B-B11E-B72EEF60395B}" type="presParOf" srcId="{9135FDBC-E97F-421C-9EF7-9097F168F0E6}" destId="{11E1BF3C-98AC-4712-A305-2AD88D33E433}" srcOrd="1" destOrd="0" presId="urn:microsoft.com/office/officeart/2005/8/layout/orgChart1"/>
    <dgm:cxn modelId="{6058A724-3A8C-46C8-99E2-779B233D23B3}" type="presParOf" srcId="{11E1BF3C-98AC-4712-A305-2AD88D33E433}" destId="{2C569C5A-10D1-4B26-977C-0C870A17B7A5}" srcOrd="0" destOrd="0" presId="urn:microsoft.com/office/officeart/2005/8/layout/orgChart1"/>
    <dgm:cxn modelId="{7479E1A7-BBEC-4000-AD54-C96C4749C03F}" type="presParOf" srcId="{11E1BF3C-98AC-4712-A305-2AD88D33E433}" destId="{43F1BF7F-7A58-4753-91A9-63BB5AAE395E}" srcOrd="1" destOrd="0" presId="urn:microsoft.com/office/officeart/2005/8/layout/orgChart1"/>
    <dgm:cxn modelId="{C915B673-56AA-4593-AC30-0DB3C0C06810}" type="presParOf" srcId="{43F1BF7F-7A58-4753-91A9-63BB5AAE395E}" destId="{22E04E5F-092B-4B50-ACEF-D4C71E995361}" srcOrd="0" destOrd="0" presId="urn:microsoft.com/office/officeart/2005/8/layout/orgChart1"/>
    <dgm:cxn modelId="{CB629658-1B0C-4113-A6FD-9E48559BE907}" type="presParOf" srcId="{22E04E5F-092B-4B50-ACEF-D4C71E995361}" destId="{58C7F9C2-4950-4846-BA28-1A56178EC768}" srcOrd="0" destOrd="0" presId="urn:microsoft.com/office/officeart/2005/8/layout/orgChart1"/>
    <dgm:cxn modelId="{846B8B69-236C-4C5D-9CBC-D54F81B61B19}" type="presParOf" srcId="{22E04E5F-092B-4B50-ACEF-D4C71E995361}" destId="{DD8167A5-7DEA-4707-A946-F2CDBBD29EA9}" srcOrd="1" destOrd="0" presId="urn:microsoft.com/office/officeart/2005/8/layout/orgChart1"/>
    <dgm:cxn modelId="{B60B0527-555F-4C52-BD01-7442C139FBFE}" type="presParOf" srcId="{43F1BF7F-7A58-4753-91A9-63BB5AAE395E}" destId="{2BB30717-103A-43EE-97B3-942894875212}" srcOrd="1" destOrd="0" presId="urn:microsoft.com/office/officeart/2005/8/layout/orgChart1"/>
    <dgm:cxn modelId="{DFF7365D-7D3E-4D99-9505-547E6C344E42}" type="presParOf" srcId="{43F1BF7F-7A58-4753-91A9-63BB5AAE395E}" destId="{4647C8A4-F354-4839-8647-63B035E1FCA0}" srcOrd="2" destOrd="0" presId="urn:microsoft.com/office/officeart/2005/8/layout/orgChart1"/>
    <dgm:cxn modelId="{941C7EA1-C11F-491D-B8B7-0D3F8D7AF8E1}" type="presParOf" srcId="{9135FDBC-E97F-421C-9EF7-9097F168F0E6}" destId="{0114E2C1-A8AC-41CE-B901-54B924FBEECF}" srcOrd="2" destOrd="0" presId="urn:microsoft.com/office/officeart/2005/8/layout/orgChart1"/>
    <dgm:cxn modelId="{34CF38F9-CD23-4EDD-88EF-0169392FD6DD}" type="presParOf" srcId="{6892BC84-670D-4323-9230-E8AB039F7564}" destId="{77794A4F-4761-4A21-A539-9632402649D4}" srcOrd="2" destOrd="0" presId="urn:microsoft.com/office/officeart/2005/8/layout/orgChart1"/>
    <dgm:cxn modelId="{23D651C2-0850-4884-9E1B-5DD1875E3E29}" type="presParOf" srcId="{6892BC84-670D-4323-9230-E8AB039F7564}" destId="{E07AAE3B-F194-4095-9CD5-F08A09C15DFA}" srcOrd="3" destOrd="0" presId="urn:microsoft.com/office/officeart/2005/8/layout/orgChart1"/>
    <dgm:cxn modelId="{7C7F0BBC-553C-41B6-9B03-FADA98DA46C9}" type="presParOf" srcId="{E07AAE3B-F194-4095-9CD5-F08A09C15DFA}" destId="{2C64783D-E498-4B7E-9460-1817297C224F}" srcOrd="0" destOrd="0" presId="urn:microsoft.com/office/officeart/2005/8/layout/orgChart1"/>
    <dgm:cxn modelId="{C241F9AF-1534-4DC7-BDCE-7915B0EFFAED}" type="presParOf" srcId="{2C64783D-E498-4B7E-9460-1817297C224F}" destId="{5170A161-E9A7-4B67-836E-CB5F28920E21}" srcOrd="0" destOrd="0" presId="urn:microsoft.com/office/officeart/2005/8/layout/orgChart1"/>
    <dgm:cxn modelId="{D32AD50A-0A53-4708-93AE-2B7030D6606D}" type="presParOf" srcId="{2C64783D-E498-4B7E-9460-1817297C224F}" destId="{A7F62686-70E1-43C7-A2D7-F0249120A826}" srcOrd="1" destOrd="0" presId="urn:microsoft.com/office/officeart/2005/8/layout/orgChart1"/>
    <dgm:cxn modelId="{38D44235-80E4-473D-B4B7-023E3A641191}" type="presParOf" srcId="{E07AAE3B-F194-4095-9CD5-F08A09C15DFA}" destId="{96E43365-604B-4656-9CE5-1E47A89ABD5B}" srcOrd="1" destOrd="0" presId="urn:microsoft.com/office/officeart/2005/8/layout/orgChart1"/>
    <dgm:cxn modelId="{FA5ECB08-DEF6-4A3B-ADFA-6A5550B9333B}" type="presParOf" srcId="{96E43365-604B-4656-9CE5-1E47A89ABD5B}" destId="{85A1AB48-4341-4F92-A2A1-704B57E0714F}" srcOrd="0" destOrd="0" presId="urn:microsoft.com/office/officeart/2005/8/layout/orgChart1"/>
    <dgm:cxn modelId="{1769F072-28FB-4563-8F61-DB7DC83C4148}" type="presParOf" srcId="{96E43365-604B-4656-9CE5-1E47A89ABD5B}" destId="{7A890416-B6FF-43A0-A770-528056271C1E}" srcOrd="1" destOrd="0" presId="urn:microsoft.com/office/officeart/2005/8/layout/orgChart1"/>
    <dgm:cxn modelId="{89325DF4-6A22-4891-ADF5-E38B66563025}" type="presParOf" srcId="{7A890416-B6FF-43A0-A770-528056271C1E}" destId="{19F6BE1A-3D56-45E4-BB79-BF823089E68B}" srcOrd="0" destOrd="0" presId="urn:microsoft.com/office/officeart/2005/8/layout/orgChart1"/>
    <dgm:cxn modelId="{090100DF-BE51-4053-ADA2-DF1901661625}" type="presParOf" srcId="{19F6BE1A-3D56-45E4-BB79-BF823089E68B}" destId="{F8533724-FD70-4BAD-8AC9-AD85DBA3BAC1}" srcOrd="0" destOrd="0" presId="urn:microsoft.com/office/officeart/2005/8/layout/orgChart1"/>
    <dgm:cxn modelId="{456B3010-3E86-4FD0-8D09-BF3907283273}" type="presParOf" srcId="{19F6BE1A-3D56-45E4-BB79-BF823089E68B}" destId="{D7CD6C67-1D11-4B93-B979-E4601CADD810}" srcOrd="1" destOrd="0" presId="urn:microsoft.com/office/officeart/2005/8/layout/orgChart1"/>
    <dgm:cxn modelId="{A181222D-7B9F-48D2-904D-9F5053A252D1}" type="presParOf" srcId="{7A890416-B6FF-43A0-A770-528056271C1E}" destId="{50BEC081-40EF-4BE7-A1D4-A37FBDAEFACC}" srcOrd="1" destOrd="0" presId="urn:microsoft.com/office/officeart/2005/8/layout/orgChart1"/>
    <dgm:cxn modelId="{5D11CB5A-D78B-415F-8535-AEB07F03450B}" type="presParOf" srcId="{7A890416-B6FF-43A0-A770-528056271C1E}" destId="{B00D5999-A5D5-4CA8-8395-8BE48A21F1C9}" srcOrd="2" destOrd="0" presId="urn:microsoft.com/office/officeart/2005/8/layout/orgChart1"/>
    <dgm:cxn modelId="{B8FE7C20-F755-47A6-99E4-77B9ECCB3317}" type="presParOf" srcId="{96E43365-604B-4656-9CE5-1E47A89ABD5B}" destId="{F03F49A8-96B5-4B72-A0B4-C2006794A395}" srcOrd="2" destOrd="0" presId="urn:microsoft.com/office/officeart/2005/8/layout/orgChart1"/>
    <dgm:cxn modelId="{5FAD7AA5-F91E-423A-89A9-E5B0DAE3EC90}" type="presParOf" srcId="{96E43365-604B-4656-9CE5-1E47A89ABD5B}" destId="{A7E1C406-5B69-44E6-BE3C-CCB5058E6295}" srcOrd="3" destOrd="0" presId="urn:microsoft.com/office/officeart/2005/8/layout/orgChart1"/>
    <dgm:cxn modelId="{E62EC8A0-6101-4456-8253-71C8786E60E4}" type="presParOf" srcId="{A7E1C406-5B69-44E6-BE3C-CCB5058E6295}" destId="{C4BBCF1A-278D-4D7C-A86D-2EAF9C27A081}" srcOrd="0" destOrd="0" presId="urn:microsoft.com/office/officeart/2005/8/layout/orgChart1"/>
    <dgm:cxn modelId="{4CD9E67F-D3F3-4465-93A0-47CDFC0149C4}" type="presParOf" srcId="{C4BBCF1A-278D-4D7C-A86D-2EAF9C27A081}" destId="{9B584F27-B774-4E82-B542-50C9AB9A852F}" srcOrd="0" destOrd="0" presId="urn:microsoft.com/office/officeart/2005/8/layout/orgChart1"/>
    <dgm:cxn modelId="{AAF354F0-1006-47CB-94F1-D8220599664B}" type="presParOf" srcId="{C4BBCF1A-278D-4D7C-A86D-2EAF9C27A081}" destId="{D33289A3-F8A0-45E8-A484-7141247B79FC}" srcOrd="1" destOrd="0" presId="urn:microsoft.com/office/officeart/2005/8/layout/orgChart1"/>
    <dgm:cxn modelId="{0716D271-0A3E-4D47-95EC-6F09FEF7922A}" type="presParOf" srcId="{A7E1C406-5B69-44E6-BE3C-CCB5058E6295}" destId="{A92198CA-0001-4446-9DCF-6033F52279B1}" srcOrd="1" destOrd="0" presId="urn:microsoft.com/office/officeart/2005/8/layout/orgChart1"/>
    <dgm:cxn modelId="{7BAD01C7-DF7B-49F2-8CBC-1CE4E2CAA1C3}" type="presParOf" srcId="{A7E1C406-5B69-44E6-BE3C-CCB5058E6295}" destId="{F3700454-B055-421D-84C0-F2243954CF51}" srcOrd="2" destOrd="0" presId="urn:microsoft.com/office/officeart/2005/8/layout/orgChart1"/>
    <dgm:cxn modelId="{FFCCBABE-7CAF-4091-844A-4078E404ED41}" type="presParOf" srcId="{96E43365-604B-4656-9CE5-1E47A89ABD5B}" destId="{BC29CC41-6ACB-4BF9-A90B-4338CC60B5C5}" srcOrd="4" destOrd="0" presId="urn:microsoft.com/office/officeart/2005/8/layout/orgChart1"/>
    <dgm:cxn modelId="{11A57001-FA0A-4D56-836E-047344EDCDEE}" type="presParOf" srcId="{96E43365-604B-4656-9CE5-1E47A89ABD5B}" destId="{3DC363B3-E795-45D9-A57C-D6E5A75C42D1}" srcOrd="5" destOrd="0" presId="urn:microsoft.com/office/officeart/2005/8/layout/orgChart1"/>
    <dgm:cxn modelId="{BF8CDE04-CEEB-44F6-9EA4-294DA4A2B5F4}" type="presParOf" srcId="{3DC363B3-E795-45D9-A57C-D6E5A75C42D1}" destId="{966E6D3F-4084-4C7B-BBBD-D25D1306DC5D}" srcOrd="0" destOrd="0" presId="urn:microsoft.com/office/officeart/2005/8/layout/orgChart1"/>
    <dgm:cxn modelId="{9CC9933F-EA83-49C5-8C38-B44CCE4FA05D}" type="presParOf" srcId="{966E6D3F-4084-4C7B-BBBD-D25D1306DC5D}" destId="{191FD4FD-D6AB-4AD9-8246-7ECD0C0BF718}" srcOrd="0" destOrd="0" presId="urn:microsoft.com/office/officeart/2005/8/layout/orgChart1"/>
    <dgm:cxn modelId="{5F388451-6BE8-4A80-9B78-FD9BC862B8B6}" type="presParOf" srcId="{966E6D3F-4084-4C7B-BBBD-D25D1306DC5D}" destId="{7083311D-3199-4BD4-B4A8-06192D2D79EE}" srcOrd="1" destOrd="0" presId="urn:microsoft.com/office/officeart/2005/8/layout/orgChart1"/>
    <dgm:cxn modelId="{A32DDA25-F856-4AD3-86FC-34C1F22C5B53}" type="presParOf" srcId="{3DC363B3-E795-45D9-A57C-D6E5A75C42D1}" destId="{002B6C9F-33F2-49B5-8F0E-613F8865BA09}" srcOrd="1" destOrd="0" presId="urn:microsoft.com/office/officeart/2005/8/layout/orgChart1"/>
    <dgm:cxn modelId="{80995FD6-7C24-4BD6-B93C-6C91C90CFE80}" type="presParOf" srcId="{3DC363B3-E795-45D9-A57C-D6E5A75C42D1}" destId="{FB301622-6574-4417-9A3D-DA09E43E51D8}" srcOrd="2" destOrd="0" presId="urn:microsoft.com/office/officeart/2005/8/layout/orgChart1"/>
    <dgm:cxn modelId="{28BB9DE9-BC33-43DA-AF0C-E3907A6FCD0F}" type="presParOf" srcId="{E07AAE3B-F194-4095-9CD5-F08A09C15DFA}" destId="{152155B0-53E5-480F-836E-4513DA024263}" srcOrd="2" destOrd="0" presId="urn:microsoft.com/office/officeart/2005/8/layout/orgChart1"/>
    <dgm:cxn modelId="{C220D7B8-CAF8-4751-8482-0078C84F89AC}" type="presParOf" srcId="{77686B86-98F2-4ECC-91A3-0DF7A581D335}" destId="{1BA824FD-0320-4AFC-B6F3-DD882D4E9499}" srcOrd="2" destOrd="0" presId="urn:microsoft.com/office/officeart/2005/8/layout/orgChart1"/>
    <dgm:cxn modelId="{2FE12BD6-BA89-469E-947C-5981AED9045D}" type="presParOf" srcId="{D4635EFF-1C08-4684-91A1-F4BAEF230F51}" destId="{9A9849C6-7061-4875-A984-A373D1B8A6DC}" srcOrd="2" destOrd="0" presId="urn:microsoft.com/office/officeart/2005/8/layout/orgChart1"/>
    <dgm:cxn modelId="{2DB4BE3C-D255-4429-8FE0-18C2B1174D03}" type="presParOf" srcId="{D4635EFF-1C08-4684-91A1-F4BAEF230F51}" destId="{A3F8FEAF-0386-4D49-A3B4-BE3791986072}" srcOrd="3" destOrd="0" presId="urn:microsoft.com/office/officeart/2005/8/layout/orgChart1"/>
    <dgm:cxn modelId="{666C0F3D-183E-47E3-A75F-D57218D7069F}" type="presParOf" srcId="{A3F8FEAF-0386-4D49-A3B4-BE3791986072}" destId="{2619686A-A4B5-4109-A35C-BD3F8EEA73A0}" srcOrd="0" destOrd="0" presId="urn:microsoft.com/office/officeart/2005/8/layout/orgChart1"/>
    <dgm:cxn modelId="{787B013C-B6CF-4274-997E-EE8EBCBF6312}" type="presParOf" srcId="{2619686A-A4B5-4109-A35C-BD3F8EEA73A0}" destId="{BDD803E4-4A26-422F-A4B9-0AF368422F97}" srcOrd="0" destOrd="0" presId="urn:microsoft.com/office/officeart/2005/8/layout/orgChart1"/>
    <dgm:cxn modelId="{3C7A4D13-E81C-41F4-9CC4-F0837499393D}" type="presParOf" srcId="{2619686A-A4B5-4109-A35C-BD3F8EEA73A0}" destId="{707E300B-9678-472F-ACE3-3F77E397686D}" srcOrd="1" destOrd="0" presId="urn:microsoft.com/office/officeart/2005/8/layout/orgChart1"/>
    <dgm:cxn modelId="{5AADF159-91D5-495F-9946-B3D59EDCB276}" type="presParOf" srcId="{A3F8FEAF-0386-4D49-A3B4-BE3791986072}" destId="{2DAE771F-59D3-4295-A492-CFA6016B40FD}" srcOrd="1" destOrd="0" presId="urn:microsoft.com/office/officeart/2005/8/layout/orgChart1"/>
    <dgm:cxn modelId="{A19CC124-9583-4D64-9BC1-6FE0E784FDF3}" type="presParOf" srcId="{2DAE771F-59D3-4295-A492-CFA6016B40FD}" destId="{AD2DA3BE-1568-476B-AE94-1E933CA6E39F}" srcOrd="0" destOrd="0" presId="urn:microsoft.com/office/officeart/2005/8/layout/orgChart1"/>
    <dgm:cxn modelId="{0A65CD52-BF6A-45CC-BC34-40E5648C2C25}" type="presParOf" srcId="{2DAE771F-59D3-4295-A492-CFA6016B40FD}" destId="{4458DE58-1872-42C2-8338-C6CE5BFA23EC}" srcOrd="1" destOrd="0" presId="urn:microsoft.com/office/officeart/2005/8/layout/orgChart1"/>
    <dgm:cxn modelId="{0CB3E7D7-DBE6-4287-A749-1197EB38CDD6}" type="presParOf" srcId="{4458DE58-1872-42C2-8338-C6CE5BFA23EC}" destId="{C2147EF9-7FEB-4A8B-9C52-8A4DEF1D50A2}" srcOrd="0" destOrd="0" presId="urn:microsoft.com/office/officeart/2005/8/layout/orgChart1"/>
    <dgm:cxn modelId="{219D6F57-E3CF-4D9D-8F8D-47C545FAA492}" type="presParOf" srcId="{C2147EF9-7FEB-4A8B-9C52-8A4DEF1D50A2}" destId="{2047337C-DCE0-4078-B834-EB9C94B50369}" srcOrd="0" destOrd="0" presId="urn:microsoft.com/office/officeart/2005/8/layout/orgChart1"/>
    <dgm:cxn modelId="{82E233B7-F22D-498A-904E-EC850962A12E}" type="presParOf" srcId="{C2147EF9-7FEB-4A8B-9C52-8A4DEF1D50A2}" destId="{6A9E2877-D81E-445D-B1A5-A21DA57FAE33}" srcOrd="1" destOrd="0" presId="urn:microsoft.com/office/officeart/2005/8/layout/orgChart1"/>
    <dgm:cxn modelId="{C81C250D-E0CE-4102-8C0C-A90899C50C9F}" type="presParOf" srcId="{4458DE58-1872-42C2-8338-C6CE5BFA23EC}" destId="{AF8E52EF-5984-4068-A9C7-40FDB9F58339}" srcOrd="1" destOrd="0" presId="urn:microsoft.com/office/officeart/2005/8/layout/orgChart1"/>
    <dgm:cxn modelId="{105EBB2F-FE75-4380-8990-33510702B644}" type="presParOf" srcId="{4458DE58-1872-42C2-8338-C6CE5BFA23EC}" destId="{DEBA6B30-F136-465B-9422-1AA973C30C05}" srcOrd="2" destOrd="0" presId="urn:microsoft.com/office/officeart/2005/8/layout/orgChart1"/>
    <dgm:cxn modelId="{516AEBA9-A097-43E0-8CC1-DA53B6C15A4F}" type="presParOf" srcId="{A3F8FEAF-0386-4D49-A3B4-BE3791986072}" destId="{A373D11C-2E8D-4864-B393-8819F258C037}"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2DA3BE-1568-476B-AE94-1E933CA6E39F}">
      <dsp:nvSpPr>
        <dsp:cNvPr id="0" name=""/>
        <dsp:cNvSpPr/>
      </dsp:nvSpPr>
      <dsp:spPr>
        <a:xfrm>
          <a:off x="4167029" y="956806"/>
          <a:ext cx="100288" cy="436445"/>
        </a:xfrm>
        <a:custGeom>
          <a:avLst/>
          <a:gdLst/>
          <a:ahLst/>
          <a:cxnLst/>
          <a:rect l="0" t="0" r="0" b="0"/>
          <a:pathLst>
            <a:path>
              <a:moveTo>
                <a:pt x="0" y="0"/>
              </a:moveTo>
              <a:lnTo>
                <a:pt x="0" y="436445"/>
              </a:lnTo>
              <a:lnTo>
                <a:pt x="100288" y="436445"/>
              </a:lnTo>
            </a:path>
          </a:pathLst>
        </a:custGeom>
        <a:noFill/>
        <a:ln w="12700" cap="flat" cmpd="sng" algn="ctr">
          <a:solidFill>
            <a:schemeClr val="accent1">
              <a:shade val="80000"/>
              <a:hueOff val="0"/>
              <a:satOff val="0"/>
              <a:lumOff val="0"/>
            </a:schemeClr>
          </a:solidFill>
          <a:prstDash val="solid"/>
          <a:miter lim="800000"/>
        </a:ln>
        <a:effectLst/>
      </dsp:spPr>
      <dsp:style>
        <a:lnRef idx="2">
          <a:scrgbClr r="0" g="0" b="0"/>
        </a:lnRef>
        <a:fillRef idx="0">
          <a:scrgbClr r="0" g="0" b="0"/>
        </a:fillRef>
        <a:effectRef idx="0">
          <a:scrgbClr r="0" g="0" b="0"/>
        </a:effectRef>
        <a:fontRef idx="minor"/>
      </dsp:style>
    </dsp:sp>
    <dsp:sp modelId="{9A9849C6-7061-4875-A984-A373D1B8A6DC}">
      <dsp:nvSpPr>
        <dsp:cNvPr id="0" name=""/>
        <dsp:cNvSpPr/>
      </dsp:nvSpPr>
      <dsp:spPr>
        <a:xfrm>
          <a:off x="3085038" y="396303"/>
          <a:ext cx="495863" cy="363142"/>
        </a:xfrm>
        <a:custGeom>
          <a:avLst/>
          <a:gdLst/>
          <a:ahLst/>
          <a:cxnLst/>
          <a:rect l="0" t="0" r="0" b="0"/>
          <a:pathLst>
            <a:path>
              <a:moveTo>
                <a:pt x="0" y="0"/>
              </a:moveTo>
              <a:lnTo>
                <a:pt x="0" y="363142"/>
              </a:lnTo>
              <a:lnTo>
                <a:pt x="495863" y="363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29CC41-6ACB-4BF9-A90B-4338CC60B5C5}">
      <dsp:nvSpPr>
        <dsp:cNvPr id="0" name=""/>
        <dsp:cNvSpPr/>
      </dsp:nvSpPr>
      <dsp:spPr>
        <a:xfrm>
          <a:off x="2043439" y="1517308"/>
          <a:ext cx="156036" cy="1484147"/>
        </a:xfrm>
        <a:custGeom>
          <a:avLst/>
          <a:gdLst/>
          <a:ahLst/>
          <a:cxnLst/>
          <a:rect l="0" t="0" r="0" b="0"/>
          <a:pathLst>
            <a:path>
              <a:moveTo>
                <a:pt x="0" y="0"/>
              </a:moveTo>
              <a:lnTo>
                <a:pt x="0" y="1484147"/>
              </a:lnTo>
              <a:lnTo>
                <a:pt x="156036" y="1484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3F49A8-96B5-4B72-A0B4-C2006794A395}">
      <dsp:nvSpPr>
        <dsp:cNvPr id="0" name=""/>
        <dsp:cNvSpPr/>
      </dsp:nvSpPr>
      <dsp:spPr>
        <a:xfrm>
          <a:off x="2043439" y="1517308"/>
          <a:ext cx="156036" cy="923645"/>
        </a:xfrm>
        <a:custGeom>
          <a:avLst/>
          <a:gdLst/>
          <a:ahLst/>
          <a:cxnLst/>
          <a:rect l="0" t="0" r="0" b="0"/>
          <a:pathLst>
            <a:path>
              <a:moveTo>
                <a:pt x="0" y="0"/>
              </a:moveTo>
              <a:lnTo>
                <a:pt x="0" y="923645"/>
              </a:lnTo>
              <a:lnTo>
                <a:pt x="156036" y="923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1AB48-4341-4F92-A2A1-704B57E0714F}">
      <dsp:nvSpPr>
        <dsp:cNvPr id="0" name=""/>
        <dsp:cNvSpPr/>
      </dsp:nvSpPr>
      <dsp:spPr>
        <a:xfrm>
          <a:off x="2043439" y="1517308"/>
          <a:ext cx="156036" cy="363142"/>
        </a:xfrm>
        <a:custGeom>
          <a:avLst/>
          <a:gdLst/>
          <a:ahLst/>
          <a:cxnLst/>
          <a:rect l="0" t="0" r="0" b="0"/>
          <a:pathLst>
            <a:path>
              <a:moveTo>
                <a:pt x="0" y="0"/>
              </a:moveTo>
              <a:lnTo>
                <a:pt x="0" y="363142"/>
              </a:lnTo>
              <a:lnTo>
                <a:pt x="156036" y="3631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794A4F-4761-4A21-A539-9632402649D4}">
      <dsp:nvSpPr>
        <dsp:cNvPr id="0" name=""/>
        <dsp:cNvSpPr/>
      </dsp:nvSpPr>
      <dsp:spPr>
        <a:xfrm>
          <a:off x="1873362" y="956806"/>
          <a:ext cx="586175" cy="165782"/>
        </a:xfrm>
        <a:custGeom>
          <a:avLst/>
          <a:gdLst/>
          <a:ahLst/>
          <a:cxnLst/>
          <a:rect l="0" t="0" r="0" b="0"/>
          <a:pathLst>
            <a:path>
              <a:moveTo>
                <a:pt x="0" y="0"/>
              </a:moveTo>
              <a:lnTo>
                <a:pt x="0" y="82891"/>
              </a:lnTo>
              <a:lnTo>
                <a:pt x="586175" y="82891"/>
              </a:lnTo>
              <a:lnTo>
                <a:pt x="586175"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569C5A-10D1-4B26-977C-0C870A17B7A5}">
      <dsp:nvSpPr>
        <dsp:cNvPr id="0" name=""/>
        <dsp:cNvSpPr/>
      </dsp:nvSpPr>
      <dsp:spPr>
        <a:xfrm>
          <a:off x="867721" y="1517308"/>
          <a:ext cx="150985" cy="363142"/>
        </a:xfrm>
        <a:custGeom>
          <a:avLst/>
          <a:gdLst/>
          <a:ahLst/>
          <a:cxnLst/>
          <a:rect l="0" t="0" r="0" b="0"/>
          <a:pathLst>
            <a:path>
              <a:moveTo>
                <a:pt x="0" y="0"/>
              </a:moveTo>
              <a:lnTo>
                <a:pt x="0" y="363142"/>
              </a:lnTo>
              <a:lnTo>
                <a:pt x="150985" y="3631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61BF3A-460C-4D9A-BB14-54FC038F825A}">
      <dsp:nvSpPr>
        <dsp:cNvPr id="0" name=""/>
        <dsp:cNvSpPr/>
      </dsp:nvSpPr>
      <dsp:spPr>
        <a:xfrm>
          <a:off x="1270348" y="956806"/>
          <a:ext cx="603013" cy="165782"/>
        </a:xfrm>
        <a:custGeom>
          <a:avLst/>
          <a:gdLst/>
          <a:ahLst/>
          <a:cxnLst/>
          <a:rect l="0" t="0" r="0" b="0"/>
          <a:pathLst>
            <a:path>
              <a:moveTo>
                <a:pt x="603013" y="0"/>
              </a:moveTo>
              <a:lnTo>
                <a:pt x="603013" y="82891"/>
              </a:lnTo>
              <a:lnTo>
                <a:pt x="0" y="82891"/>
              </a:lnTo>
              <a:lnTo>
                <a:pt x="0" y="16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8E9E1C-849E-498E-BF2D-9A6FFB3BD57F}">
      <dsp:nvSpPr>
        <dsp:cNvPr id="0" name=""/>
        <dsp:cNvSpPr/>
      </dsp:nvSpPr>
      <dsp:spPr>
        <a:xfrm>
          <a:off x="2437389" y="396303"/>
          <a:ext cx="647648" cy="363142"/>
        </a:xfrm>
        <a:custGeom>
          <a:avLst/>
          <a:gdLst/>
          <a:ahLst/>
          <a:cxnLst/>
          <a:rect l="0" t="0" r="0" b="0"/>
          <a:pathLst>
            <a:path>
              <a:moveTo>
                <a:pt x="647648" y="0"/>
              </a:moveTo>
              <a:lnTo>
                <a:pt x="647648" y="363142"/>
              </a:lnTo>
              <a:lnTo>
                <a:pt x="0" y="3631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4377DD-714E-46C4-9373-100187553265}">
      <dsp:nvSpPr>
        <dsp:cNvPr id="0" name=""/>
        <dsp:cNvSpPr/>
      </dsp:nvSpPr>
      <dsp:spPr>
        <a:xfrm>
          <a:off x="2690318" y="1583"/>
          <a:ext cx="789440"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Kapasite Mekanizması</a:t>
          </a:r>
          <a:endParaRPr lang="en-US" sz="1100" kern="1200"/>
        </a:p>
      </dsp:txBody>
      <dsp:txXfrm>
        <a:off x="2690318" y="1583"/>
        <a:ext cx="789440" cy="394720"/>
      </dsp:txXfrm>
    </dsp:sp>
    <dsp:sp modelId="{D558042C-703B-43DF-A71F-5B77D5F4F32E}">
      <dsp:nvSpPr>
        <dsp:cNvPr id="0" name=""/>
        <dsp:cNvSpPr/>
      </dsp:nvSpPr>
      <dsp:spPr>
        <a:xfrm>
          <a:off x="1309334" y="562086"/>
          <a:ext cx="1128054"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Hacim Odaklı</a:t>
          </a:r>
          <a:endParaRPr lang="en-US" sz="1100" kern="1200"/>
        </a:p>
      </dsp:txBody>
      <dsp:txXfrm>
        <a:off x="1309334" y="562086"/>
        <a:ext cx="1128054" cy="394720"/>
      </dsp:txXfrm>
    </dsp:sp>
    <dsp:sp modelId="{A598C0D6-C89D-4FC2-BC35-8906EB430943}">
      <dsp:nvSpPr>
        <dsp:cNvPr id="0" name=""/>
        <dsp:cNvSpPr/>
      </dsp:nvSpPr>
      <dsp:spPr>
        <a:xfrm>
          <a:off x="767064" y="1122588"/>
          <a:ext cx="1006567"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Hedeflenen Kapasite</a:t>
          </a:r>
          <a:endParaRPr lang="en-US" sz="1100" kern="1200"/>
        </a:p>
      </dsp:txBody>
      <dsp:txXfrm>
        <a:off x="767064" y="1122588"/>
        <a:ext cx="1006567" cy="394720"/>
      </dsp:txXfrm>
    </dsp:sp>
    <dsp:sp modelId="{58C7F9C2-4950-4846-BA28-1A56178EC768}">
      <dsp:nvSpPr>
        <dsp:cNvPr id="0" name=""/>
        <dsp:cNvSpPr/>
      </dsp:nvSpPr>
      <dsp:spPr>
        <a:xfrm>
          <a:off x="1018706" y="1683091"/>
          <a:ext cx="789440"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Stratejik Rezerv</a:t>
          </a:r>
          <a:endParaRPr lang="en-US" sz="1100" kern="1200"/>
        </a:p>
      </dsp:txBody>
      <dsp:txXfrm>
        <a:off x="1018706" y="1683091"/>
        <a:ext cx="789440" cy="394720"/>
      </dsp:txXfrm>
    </dsp:sp>
    <dsp:sp modelId="{5170A161-E9A7-4B67-836E-CB5F28920E21}">
      <dsp:nvSpPr>
        <dsp:cNvPr id="0" name=""/>
        <dsp:cNvSpPr/>
      </dsp:nvSpPr>
      <dsp:spPr>
        <a:xfrm>
          <a:off x="1939414" y="1122588"/>
          <a:ext cx="1040245"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Piyasa Bazlı Kapasite</a:t>
          </a:r>
          <a:endParaRPr lang="en-US" sz="1100" kern="1200"/>
        </a:p>
      </dsp:txBody>
      <dsp:txXfrm>
        <a:off x="1939414" y="1122588"/>
        <a:ext cx="1040245" cy="394720"/>
      </dsp:txXfrm>
    </dsp:sp>
    <dsp:sp modelId="{F8533724-FD70-4BAD-8AC9-AD85DBA3BAC1}">
      <dsp:nvSpPr>
        <dsp:cNvPr id="0" name=""/>
        <dsp:cNvSpPr/>
      </dsp:nvSpPr>
      <dsp:spPr>
        <a:xfrm>
          <a:off x="2199475" y="1683091"/>
          <a:ext cx="802671"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Zorunlu Kapasite</a:t>
          </a:r>
        </a:p>
      </dsp:txBody>
      <dsp:txXfrm>
        <a:off x="2199475" y="1683091"/>
        <a:ext cx="802671" cy="394720"/>
      </dsp:txXfrm>
    </dsp:sp>
    <dsp:sp modelId="{9B584F27-B774-4E82-B542-50C9AB9A852F}">
      <dsp:nvSpPr>
        <dsp:cNvPr id="0" name=""/>
        <dsp:cNvSpPr/>
      </dsp:nvSpPr>
      <dsp:spPr>
        <a:xfrm>
          <a:off x="2199475" y="2243593"/>
          <a:ext cx="789440"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Kapasite </a:t>
          </a:r>
          <a:r>
            <a:rPr lang="en-US" sz="1100" kern="1200"/>
            <a:t>İhaleleri</a:t>
          </a:r>
        </a:p>
      </dsp:txBody>
      <dsp:txXfrm>
        <a:off x="2199475" y="2243593"/>
        <a:ext cx="789440" cy="394720"/>
      </dsp:txXfrm>
    </dsp:sp>
    <dsp:sp modelId="{191FD4FD-D6AB-4AD9-8246-7ECD0C0BF718}">
      <dsp:nvSpPr>
        <dsp:cNvPr id="0" name=""/>
        <dsp:cNvSpPr/>
      </dsp:nvSpPr>
      <dsp:spPr>
        <a:xfrm>
          <a:off x="2199475" y="2804096"/>
          <a:ext cx="789440"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Güvenilir Kapasite</a:t>
          </a:r>
        </a:p>
      </dsp:txBody>
      <dsp:txXfrm>
        <a:off x="2199475" y="2804096"/>
        <a:ext cx="789440" cy="394720"/>
      </dsp:txXfrm>
    </dsp:sp>
    <dsp:sp modelId="{BDD803E4-4A26-422F-A4B9-0AF368422F97}">
      <dsp:nvSpPr>
        <dsp:cNvPr id="0" name=""/>
        <dsp:cNvSpPr/>
      </dsp:nvSpPr>
      <dsp:spPr>
        <a:xfrm>
          <a:off x="3580901" y="562086"/>
          <a:ext cx="1172255"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Fiyat Odaklı</a:t>
          </a:r>
          <a:endParaRPr lang="en-US" sz="1100" kern="1200"/>
        </a:p>
      </dsp:txBody>
      <dsp:txXfrm>
        <a:off x="3580901" y="562086"/>
        <a:ext cx="1172255" cy="394720"/>
      </dsp:txXfrm>
    </dsp:sp>
    <dsp:sp modelId="{2047337C-DCE0-4078-B834-EB9C94B50369}">
      <dsp:nvSpPr>
        <dsp:cNvPr id="0" name=""/>
        <dsp:cNvSpPr/>
      </dsp:nvSpPr>
      <dsp:spPr>
        <a:xfrm>
          <a:off x="4267318" y="1195892"/>
          <a:ext cx="789440" cy="394720"/>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Kapasite Ödemesi</a:t>
          </a:r>
          <a:endParaRPr lang="en-US" sz="1100" kern="1200"/>
        </a:p>
      </dsp:txBody>
      <dsp:txXfrm>
        <a:off x="4267318" y="1195892"/>
        <a:ext cx="789440" cy="394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0.40312</cdr:x>
      <cdr:y>0.24956</cdr:y>
    </cdr:from>
    <cdr:to>
      <cdr:x>0.51925</cdr:x>
      <cdr:y>0.30512</cdr:y>
    </cdr:to>
    <cdr:sp macro="" textlink="">
      <cdr:nvSpPr>
        <cdr:cNvPr id="2" name="Rectangle 1"/>
        <cdr:cNvSpPr/>
      </cdr:nvSpPr>
      <cdr:spPr>
        <a:xfrm xmlns:a="http://schemas.openxmlformats.org/drawingml/2006/main">
          <a:off x="2249330" y="808521"/>
          <a:ext cx="647975" cy="180002"/>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n-US" sz="800" b="1">
              <a:effectLst/>
              <a:ea typeface="Calibri" panose="020F0502020204030204" pitchFamily="34" charset="0"/>
              <a:cs typeface="Times New Roman" panose="02020603050405020304" pitchFamily="18" charset="0"/>
            </a:rPr>
            <a:t>2.731 MW</a:t>
          </a:r>
          <a:endParaRPr lang="en-US" sz="105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0.48976</cdr:x>
      <cdr:y>0.09572</cdr:y>
    </cdr:from>
    <cdr:to>
      <cdr:x>0.6059</cdr:x>
      <cdr:y>0.15128</cdr:y>
    </cdr:to>
    <cdr:sp macro="" textlink="">
      <cdr:nvSpPr>
        <cdr:cNvPr id="3" name="Rectangle 2"/>
        <cdr:cNvSpPr/>
      </cdr:nvSpPr>
      <cdr:spPr>
        <a:xfrm xmlns:a="http://schemas.openxmlformats.org/drawingml/2006/main">
          <a:off x="2732757" y="310110"/>
          <a:ext cx="648031" cy="180001"/>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07000"/>
            </a:lnSpc>
            <a:spcAft>
              <a:spcPts val="800"/>
            </a:spcAft>
          </a:pPr>
          <a:r>
            <a:rPr lang="en-US" sz="800" b="1">
              <a:effectLst/>
              <a:ea typeface="Calibri" panose="020F0502020204030204" pitchFamily="34" charset="0"/>
              <a:cs typeface="Times New Roman" panose="02020603050405020304" pitchFamily="18" charset="0"/>
            </a:rPr>
            <a:t>3.787 MW</a:t>
          </a:r>
          <a:endParaRPr lang="en-US" sz="105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0.5888</cdr:x>
      <cdr:y>0.15441</cdr:y>
    </cdr:from>
    <cdr:to>
      <cdr:x>0.70494</cdr:x>
      <cdr:y>0.20997</cdr:y>
    </cdr:to>
    <cdr:sp macro="" textlink="">
      <cdr:nvSpPr>
        <cdr:cNvPr id="4" name="Rectangle 3"/>
        <cdr:cNvSpPr/>
      </cdr:nvSpPr>
      <cdr:spPr>
        <a:xfrm xmlns:a="http://schemas.openxmlformats.org/drawingml/2006/main">
          <a:off x="3285347" y="500253"/>
          <a:ext cx="648032" cy="180002"/>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07000"/>
            </a:lnSpc>
            <a:spcAft>
              <a:spcPts val="800"/>
            </a:spcAft>
          </a:pPr>
          <a:r>
            <a:rPr lang="en-US" sz="800" b="1">
              <a:effectLst/>
              <a:ea typeface="Calibri" panose="020F0502020204030204" pitchFamily="34" charset="0"/>
              <a:cs typeface="Times New Roman" panose="02020603050405020304" pitchFamily="18" charset="0"/>
            </a:rPr>
            <a:t>3.435 MW</a:t>
          </a:r>
          <a:endParaRPr lang="en-US" sz="105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0.13805</cdr:x>
      <cdr:y>0.58449</cdr:y>
    </cdr:from>
    <cdr:to>
      <cdr:x>0.24128</cdr:x>
      <cdr:y>0.64005</cdr:y>
    </cdr:to>
    <cdr:sp macro="" textlink="">
      <cdr:nvSpPr>
        <cdr:cNvPr id="6" name="Rectangle 5"/>
        <cdr:cNvSpPr/>
      </cdr:nvSpPr>
      <cdr:spPr>
        <a:xfrm xmlns:a="http://schemas.openxmlformats.org/drawingml/2006/main">
          <a:off x="770274" y="1893618"/>
          <a:ext cx="575997" cy="180002"/>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n-US" sz="800" b="1">
              <a:effectLst/>
              <a:ea typeface="Calibri" panose="020F0502020204030204" pitchFamily="34" charset="0"/>
              <a:cs typeface="Times New Roman" panose="02020603050405020304" pitchFamily="18" charset="0"/>
            </a:rPr>
            <a:t>352 MW</a:t>
          </a:r>
          <a:endParaRPr lang="en-US" sz="105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0.23613</cdr:x>
      <cdr:y>0.5008</cdr:y>
    </cdr:from>
    <cdr:to>
      <cdr:x>0.33936</cdr:x>
      <cdr:y>0.55636</cdr:y>
    </cdr:to>
    <cdr:sp macro="" textlink="">
      <cdr:nvSpPr>
        <cdr:cNvPr id="7" name="Rectangle 6"/>
        <cdr:cNvSpPr/>
      </cdr:nvSpPr>
      <cdr:spPr>
        <a:xfrm xmlns:a="http://schemas.openxmlformats.org/drawingml/2006/main">
          <a:off x="1317536" y="1622472"/>
          <a:ext cx="575997" cy="180001"/>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n-US" sz="800" b="1">
              <a:effectLst/>
              <a:ea typeface="Calibri" panose="020F0502020204030204" pitchFamily="34" charset="0"/>
              <a:cs typeface="Times New Roman" panose="02020603050405020304" pitchFamily="18" charset="0"/>
            </a:rPr>
            <a:t>915 MW</a:t>
          </a:r>
          <a:endParaRPr lang="en-US" sz="105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0.30888</cdr:x>
      <cdr:y>0.35762</cdr:y>
    </cdr:from>
    <cdr:to>
      <cdr:x>0.42502</cdr:x>
      <cdr:y>0.41318</cdr:y>
    </cdr:to>
    <cdr:sp macro="" textlink="">
      <cdr:nvSpPr>
        <cdr:cNvPr id="8" name="Rectangle 7"/>
        <cdr:cNvSpPr/>
      </cdr:nvSpPr>
      <cdr:spPr>
        <a:xfrm xmlns:a="http://schemas.openxmlformats.org/drawingml/2006/main">
          <a:off x="1723468" y="1158607"/>
          <a:ext cx="648032" cy="180001"/>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l">
            <a:lnSpc>
              <a:spcPct val="107000"/>
            </a:lnSpc>
            <a:spcAft>
              <a:spcPts val="800"/>
            </a:spcAft>
          </a:pPr>
          <a:r>
            <a:rPr lang="en-US" sz="800" b="1">
              <a:effectLst/>
              <a:ea typeface="Calibri" panose="020F0502020204030204" pitchFamily="34" charset="0"/>
              <a:cs typeface="Times New Roman" panose="02020603050405020304" pitchFamily="18" charset="0"/>
            </a:rPr>
            <a:t>1.974 MW</a:t>
          </a:r>
          <a:endParaRPr lang="en-US" sz="105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0.72107</cdr:x>
      <cdr:y>0.22543</cdr:y>
    </cdr:from>
    <cdr:to>
      <cdr:x>0.94765</cdr:x>
      <cdr:y>0.27733</cdr:y>
    </cdr:to>
    <cdr:sp macro="" textlink="">
      <cdr:nvSpPr>
        <cdr:cNvPr id="9" name="Rectangle 8"/>
        <cdr:cNvSpPr/>
      </cdr:nvSpPr>
      <cdr:spPr>
        <a:xfrm xmlns:a="http://schemas.openxmlformats.org/drawingml/2006/main">
          <a:off x="4023360" y="730357"/>
          <a:ext cx="1264258" cy="168140"/>
        </a:xfrm>
        <a:prstGeom xmlns:a="http://schemas.openxmlformats.org/drawingml/2006/main" prst="rect">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6000"/>
            </a:lnSpc>
            <a:spcAft>
              <a:spcPts val="800"/>
            </a:spcAft>
          </a:pPr>
          <a:r>
            <a:rPr lang="en-US" sz="800" b="1">
              <a:solidFill>
                <a:srgbClr val="FFFFFF"/>
              </a:solidFill>
              <a:effectLst/>
              <a:ea typeface="Calibri" panose="020F0502020204030204" pitchFamily="34" charset="0"/>
              <a:cs typeface="Times New Roman" panose="02020603050405020304" pitchFamily="18" charset="0"/>
            </a:rPr>
            <a:t>2.902 MW</a:t>
          </a:r>
          <a:endParaRPr lang="en-US" sz="8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0.71537</cdr:x>
      <cdr:y>0.43686</cdr:y>
    </cdr:from>
    <cdr:to>
      <cdr:x>0.94907</cdr:x>
      <cdr:y>0.69456</cdr:y>
    </cdr:to>
    <cdr:sp macro="" textlink="">
      <cdr:nvSpPr>
        <cdr:cNvPr id="11" name="Rectangle 10"/>
        <cdr:cNvSpPr/>
      </cdr:nvSpPr>
      <cdr:spPr>
        <a:xfrm xmlns:a="http://schemas.openxmlformats.org/drawingml/2006/main">
          <a:off x="3991555" y="1415332"/>
          <a:ext cx="1304014" cy="834887"/>
        </a:xfrm>
        <a:prstGeom xmlns:a="http://schemas.openxmlformats.org/drawingml/2006/main" prst="rect">
          <a:avLst/>
        </a:prstGeom>
        <a:solidFill xmlns:a="http://schemas.openxmlformats.org/drawingml/2006/main">
          <a:srgbClr val="C00000">
            <a:alpha val="40000"/>
          </a:srgb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0.81363</cdr:x>
      <cdr:y>0.26556</cdr:y>
    </cdr:from>
    <cdr:to>
      <cdr:x>0.89307</cdr:x>
      <cdr:y>0.52899</cdr:y>
    </cdr:to>
    <cdr:sp macro="" textlink="">
      <cdr:nvSpPr>
        <cdr:cNvPr id="4" name="Oval 3"/>
        <cdr:cNvSpPr/>
      </cdr:nvSpPr>
      <cdr:spPr>
        <a:xfrm xmlns:a="http://schemas.openxmlformats.org/drawingml/2006/main">
          <a:off x="5078230" y="812799"/>
          <a:ext cx="495818" cy="806285"/>
        </a:xfrm>
        <a:prstGeom xmlns:a="http://schemas.openxmlformats.org/drawingml/2006/main" prst="ellipse">
          <a:avLst/>
        </a:prstGeom>
        <a:solidFill xmlns:a="http://schemas.openxmlformats.org/drawingml/2006/main">
          <a:srgbClr val="C00000">
            <a:alpha val="35000"/>
          </a:srgb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solidFill>
              <a:schemeClr val="lt1">
                <a:alpha val="93000"/>
              </a:schemeClr>
            </a:solidFill>
          </a:endParaRPr>
        </a:p>
      </cdr:txBody>
    </cdr:sp>
  </cdr:relSizeAnchor>
  <cdr:relSizeAnchor xmlns:cdr="http://schemas.openxmlformats.org/drawingml/2006/chartDrawing">
    <cdr:from>
      <cdr:x>0.16247</cdr:x>
      <cdr:y>0.24125</cdr:y>
    </cdr:from>
    <cdr:to>
      <cdr:x>0.37212</cdr:x>
      <cdr:y>0.44098</cdr:y>
    </cdr:to>
    <cdr:sp macro="" textlink="">
      <cdr:nvSpPr>
        <cdr:cNvPr id="2" name="TextBox 10">
          <a:extLst xmlns:a="http://schemas.openxmlformats.org/drawingml/2006/main">
            <a:ext uri="{FF2B5EF4-FFF2-40B4-BE49-F238E27FC236}">
              <a16:creationId xmlns:a16="http://schemas.microsoft.com/office/drawing/2014/main" id="{925372FC-7DE2-4989-8FBB-BEB5936AED32}"/>
            </a:ext>
          </a:extLst>
        </cdr:cNvPr>
        <cdr:cNvSpPr txBox="1"/>
      </cdr:nvSpPr>
      <cdr:spPr>
        <a:xfrm xmlns:a="http://schemas.openxmlformats.org/drawingml/2006/main">
          <a:off x="965686" y="557625"/>
          <a:ext cx="1246076" cy="461656"/>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1828434" rtl="0" eaLnBrk="1" latinLnBrk="0" hangingPunct="1">
            <a:defRPr sz="3600" kern="1200">
              <a:solidFill>
                <a:schemeClr val="tx1"/>
              </a:solidFill>
              <a:latin typeface="+mn-lt"/>
              <a:ea typeface="+mn-ea"/>
              <a:cs typeface="+mn-cs"/>
            </a:defRPr>
          </a:lvl1pPr>
          <a:lvl2pPr marL="914217" algn="l" defTabSz="1828434" rtl="0" eaLnBrk="1" latinLnBrk="0" hangingPunct="1">
            <a:defRPr sz="3600" kern="1200">
              <a:solidFill>
                <a:schemeClr val="tx1"/>
              </a:solidFill>
              <a:latin typeface="+mn-lt"/>
              <a:ea typeface="+mn-ea"/>
              <a:cs typeface="+mn-cs"/>
            </a:defRPr>
          </a:lvl2pPr>
          <a:lvl3pPr marL="1828434" algn="l" defTabSz="1828434" rtl="0" eaLnBrk="1" latinLnBrk="0" hangingPunct="1">
            <a:defRPr sz="3600" kern="1200">
              <a:solidFill>
                <a:schemeClr val="tx1"/>
              </a:solidFill>
              <a:latin typeface="+mn-lt"/>
              <a:ea typeface="+mn-ea"/>
              <a:cs typeface="+mn-cs"/>
            </a:defRPr>
          </a:lvl3pPr>
          <a:lvl4pPr marL="2742651" algn="l" defTabSz="1828434" rtl="0" eaLnBrk="1" latinLnBrk="0" hangingPunct="1">
            <a:defRPr sz="3600" kern="1200">
              <a:solidFill>
                <a:schemeClr val="tx1"/>
              </a:solidFill>
              <a:latin typeface="+mn-lt"/>
              <a:ea typeface="+mn-ea"/>
              <a:cs typeface="+mn-cs"/>
            </a:defRPr>
          </a:lvl4pPr>
          <a:lvl5pPr marL="3656868" algn="l" defTabSz="1828434" rtl="0" eaLnBrk="1" latinLnBrk="0" hangingPunct="1">
            <a:defRPr sz="3600" kern="1200">
              <a:solidFill>
                <a:schemeClr val="tx1"/>
              </a:solidFill>
              <a:latin typeface="+mn-lt"/>
              <a:ea typeface="+mn-ea"/>
              <a:cs typeface="+mn-cs"/>
            </a:defRPr>
          </a:lvl5pPr>
          <a:lvl6pPr marL="4571086" algn="l" defTabSz="1828434" rtl="0" eaLnBrk="1" latinLnBrk="0" hangingPunct="1">
            <a:defRPr sz="3600" kern="1200">
              <a:solidFill>
                <a:schemeClr val="tx1"/>
              </a:solidFill>
              <a:latin typeface="+mn-lt"/>
              <a:ea typeface="+mn-ea"/>
              <a:cs typeface="+mn-cs"/>
            </a:defRPr>
          </a:lvl6pPr>
          <a:lvl7pPr marL="5485303" algn="l" defTabSz="1828434" rtl="0" eaLnBrk="1" latinLnBrk="0" hangingPunct="1">
            <a:defRPr sz="3600" kern="1200">
              <a:solidFill>
                <a:schemeClr val="tx1"/>
              </a:solidFill>
              <a:latin typeface="+mn-lt"/>
              <a:ea typeface="+mn-ea"/>
              <a:cs typeface="+mn-cs"/>
            </a:defRPr>
          </a:lvl7pPr>
          <a:lvl8pPr marL="6399520" algn="l" defTabSz="1828434" rtl="0" eaLnBrk="1" latinLnBrk="0" hangingPunct="1">
            <a:defRPr sz="3600" kern="1200">
              <a:solidFill>
                <a:schemeClr val="tx1"/>
              </a:solidFill>
              <a:latin typeface="+mn-lt"/>
              <a:ea typeface="+mn-ea"/>
              <a:cs typeface="+mn-cs"/>
            </a:defRPr>
          </a:lvl8pPr>
          <a:lvl9pPr marL="7313737" algn="l" defTabSz="1828434" rtl="0" eaLnBrk="1" latinLnBrk="0" hangingPunct="1">
            <a:defRPr sz="3600" kern="1200">
              <a:solidFill>
                <a:schemeClr val="tx1"/>
              </a:solidFill>
              <a:latin typeface="+mn-lt"/>
              <a:ea typeface="+mn-ea"/>
              <a:cs typeface="+mn-cs"/>
            </a:defRPr>
          </a:lvl9pPr>
        </a:lstStyle>
        <a:p xmlns:a="http://schemas.openxmlformats.org/drawingml/2006/main">
          <a:pPr marL="0" marR="0" lvl="0" indent="0" algn="l" defTabSz="914217" rtl="0" eaLnBrk="1" fontAlgn="auto" latinLnBrk="0" hangingPunct="1">
            <a:lnSpc>
              <a:spcPct val="100000"/>
            </a:lnSpc>
            <a:spcBef>
              <a:spcPts val="0"/>
            </a:spcBef>
            <a:spcAft>
              <a:spcPts val="0"/>
            </a:spcAft>
            <a:buClrTx/>
            <a:buSzTx/>
            <a:buFontTx/>
            <a:buNone/>
            <a:tabLst/>
            <a:defRPr/>
          </a:pPr>
          <a:r>
            <a:rPr kumimoji="0" lang="en-US" sz="800" b="1" i="0" u="none" strike="noStrike" kern="1200" cap="none" spc="0" normalizeH="0" baseline="0" noProof="0" dirty="0">
              <a:ln>
                <a:noFill/>
              </a:ln>
              <a:solidFill>
                <a:srgbClr val="000000"/>
              </a:solidFill>
              <a:effectLst/>
              <a:uLnTx/>
              <a:uFillTx/>
              <a:latin typeface="Lato Light"/>
              <a:ea typeface="+mn-ea"/>
              <a:cs typeface="+mn-cs"/>
            </a:rPr>
            <a:t>Elektrik üreticileri için maliyet yansıtıcı tarifeye geçiş</a:t>
          </a:r>
        </a:p>
      </cdr:txBody>
    </cdr:sp>
  </cdr:relSizeAnchor>
  <cdr:relSizeAnchor xmlns:cdr="http://schemas.openxmlformats.org/drawingml/2006/chartDrawing">
    <cdr:from>
      <cdr:x>0.32377</cdr:x>
      <cdr:y>0.41676</cdr:y>
    </cdr:from>
    <cdr:to>
      <cdr:x>0.35558</cdr:x>
      <cdr:y>0.545</cdr:y>
    </cdr:to>
    <cdr:cxnSp macro="">
      <cdr:nvCxnSpPr>
        <cdr:cNvPr id="3" name="Straight Arrow Connector 2">
          <a:extLst xmlns:a="http://schemas.openxmlformats.org/drawingml/2006/main">
            <a:ext uri="{FF2B5EF4-FFF2-40B4-BE49-F238E27FC236}">
              <a16:creationId xmlns:a16="http://schemas.microsoft.com/office/drawing/2014/main" id="{860E50C0-E85D-41CF-B81A-241EBF75C492}"/>
            </a:ext>
          </a:extLst>
        </cdr:cNvPr>
        <cdr:cNvCxnSpPr>
          <a:cxnSpLocks xmlns:a="http://schemas.openxmlformats.org/drawingml/2006/main"/>
        </cdr:cNvCxnSpPr>
      </cdr:nvCxnSpPr>
      <cdr:spPr>
        <a:xfrm xmlns:a="http://schemas.openxmlformats.org/drawingml/2006/main">
          <a:off x="1924337" y="963301"/>
          <a:ext cx="189089" cy="296412"/>
        </a:xfrm>
        <a:prstGeom xmlns:a="http://schemas.openxmlformats.org/drawingml/2006/main" prst="straightConnector1">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0.56654</cdr:x>
      <cdr:y>0.16261</cdr:y>
    </cdr:from>
    <cdr:to>
      <cdr:x>0.88278</cdr:x>
      <cdr:y>0.25582</cdr:y>
    </cdr:to>
    <cdr:sp macro="" textlink="">
      <cdr:nvSpPr>
        <cdr:cNvPr id="12" name="TextBox 27">
          <a:extLst xmlns:a="http://schemas.openxmlformats.org/drawingml/2006/main">
            <a:ext uri="{FF2B5EF4-FFF2-40B4-BE49-F238E27FC236}">
              <a16:creationId xmlns:a16="http://schemas.microsoft.com/office/drawing/2014/main" id="{0CF75202-40F5-4B26-869A-219148645771}"/>
            </a:ext>
          </a:extLst>
        </cdr:cNvPr>
        <cdr:cNvSpPr txBox="1"/>
      </cdr:nvSpPr>
      <cdr:spPr>
        <a:xfrm xmlns:a="http://schemas.openxmlformats.org/drawingml/2006/main">
          <a:off x="3536007" y="497714"/>
          <a:ext cx="1973785" cy="285288"/>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1828434" rtl="0" eaLnBrk="1" latinLnBrk="0" hangingPunct="1">
            <a:defRPr sz="3600" kern="1200">
              <a:solidFill>
                <a:schemeClr val="tx1"/>
              </a:solidFill>
              <a:latin typeface="+mn-lt"/>
              <a:ea typeface="+mn-ea"/>
              <a:cs typeface="+mn-cs"/>
            </a:defRPr>
          </a:lvl1pPr>
          <a:lvl2pPr marL="914217" algn="l" defTabSz="1828434" rtl="0" eaLnBrk="1" latinLnBrk="0" hangingPunct="1">
            <a:defRPr sz="3600" kern="1200">
              <a:solidFill>
                <a:schemeClr val="tx1"/>
              </a:solidFill>
              <a:latin typeface="+mn-lt"/>
              <a:ea typeface="+mn-ea"/>
              <a:cs typeface="+mn-cs"/>
            </a:defRPr>
          </a:lvl2pPr>
          <a:lvl3pPr marL="1828434" algn="l" defTabSz="1828434" rtl="0" eaLnBrk="1" latinLnBrk="0" hangingPunct="1">
            <a:defRPr sz="3600" kern="1200">
              <a:solidFill>
                <a:schemeClr val="tx1"/>
              </a:solidFill>
              <a:latin typeface="+mn-lt"/>
              <a:ea typeface="+mn-ea"/>
              <a:cs typeface="+mn-cs"/>
            </a:defRPr>
          </a:lvl3pPr>
          <a:lvl4pPr marL="2742651" algn="l" defTabSz="1828434" rtl="0" eaLnBrk="1" latinLnBrk="0" hangingPunct="1">
            <a:defRPr sz="3600" kern="1200">
              <a:solidFill>
                <a:schemeClr val="tx1"/>
              </a:solidFill>
              <a:latin typeface="+mn-lt"/>
              <a:ea typeface="+mn-ea"/>
              <a:cs typeface="+mn-cs"/>
            </a:defRPr>
          </a:lvl4pPr>
          <a:lvl5pPr marL="3656868" algn="l" defTabSz="1828434" rtl="0" eaLnBrk="1" latinLnBrk="0" hangingPunct="1">
            <a:defRPr sz="3600" kern="1200">
              <a:solidFill>
                <a:schemeClr val="tx1"/>
              </a:solidFill>
              <a:latin typeface="+mn-lt"/>
              <a:ea typeface="+mn-ea"/>
              <a:cs typeface="+mn-cs"/>
            </a:defRPr>
          </a:lvl5pPr>
          <a:lvl6pPr marL="4571086" algn="l" defTabSz="1828434" rtl="0" eaLnBrk="1" latinLnBrk="0" hangingPunct="1">
            <a:defRPr sz="3600" kern="1200">
              <a:solidFill>
                <a:schemeClr val="tx1"/>
              </a:solidFill>
              <a:latin typeface="+mn-lt"/>
              <a:ea typeface="+mn-ea"/>
              <a:cs typeface="+mn-cs"/>
            </a:defRPr>
          </a:lvl6pPr>
          <a:lvl7pPr marL="5485303" algn="l" defTabSz="1828434" rtl="0" eaLnBrk="1" latinLnBrk="0" hangingPunct="1">
            <a:defRPr sz="3600" kern="1200">
              <a:solidFill>
                <a:schemeClr val="tx1"/>
              </a:solidFill>
              <a:latin typeface="+mn-lt"/>
              <a:ea typeface="+mn-ea"/>
              <a:cs typeface="+mn-cs"/>
            </a:defRPr>
          </a:lvl7pPr>
          <a:lvl8pPr marL="6399520" algn="l" defTabSz="1828434" rtl="0" eaLnBrk="1" latinLnBrk="0" hangingPunct="1">
            <a:defRPr sz="3600" kern="1200">
              <a:solidFill>
                <a:schemeClr val="tx1"/>
              </a:solidFill>
              <a:latin typeface="+mn-lt"/>
              <a:ea typeface="+mn-ea"/>
              <a:cs typeface="+mn-cs"/>
            </a:defRPr>
          </a:lvl8pPr>
          <a:lvl9pPr marL="7313737" algn="l" defTabSz="1828434" rtl="0" eaLnBrk="1" latinLnBrk="0" hangingPunct="1">
            <a:defRPr sz="3600" kern="1200">
              <a:solidFill>
                <a:schemeClr val="tx1"/>
              </a:solidFill>
              <a:latin typeface="+mn-lt"/>
              <a:ea typeface="+mn-ea"/>
              <a:cs typeface="+mn-cs"/>
            </a:defRPr>
          </a:lvl9pPr>
        </a:lstStyle>
        <a:p xmlns:a="http://schemas.openxmlformats.org/drawingml/2006/main">
          <a:pPr marL="0" marR="0" lvl="0" indent="0" algn="l" defTabSz="914217" rtl="0" eaLnBrk="1" fontAlgn="auto" latinLnBrk="0" hangingPunct="1">
            <a:lnSpc>
              <a:spcPct val="100000"/>
            </a:lnSpc>
            <a:spcBef>
              <a:spcPts val="0"/>
            </a:spcBef>
            <a:spcAft>
              <a:spcPts val="0"/>
            </a:spcAft>
            <a:buClrTx/>
            <a:buSzTx/>
            <a:buFontTx/>
            <a:buNone/>
            <a:tabLst/>
            <a:defRPr/>
          </a:pPr>
          <a:r>
            <a:rPr kumimoji="0" lang="en-US" sz="800" b="1" i="0" u="none" strike="noStrike" kern="1200" cap="none" spc="0" normalizeH="0" baseline="0" noProof="0" dirty="0">
              <a:ln>
                <a:noFill/>
              </a:ln>
              <a:solidFill>
                <a:srgbClr val="000000"/>
              </a:solidFill>
              <a:effectLst/>
              <a:uLnTx/>
              <a:uFillTx/>
              <a:latin typeface="Lato Light"/>
              <a:ea typeface="+mn-ea"/>
              <a:cs typeface="+mn-cs"/>
            </a:rPr>
            <a:t>Önemli ölçekte sübvansiyonlar</a:t>
          </a:r>
        </a:p>
      </cdr:txBody>
    </cdr:sp>
  </cdr:relSizeAnchor>
  <cdr:relSizeAnchor xmlns:cdr="http://schemas.openxmlformats.org/drawingml/2006/chartDrawing">
    <cdr:from>
      <cdr:x>0.78219</cdr:x>
      <cdr:y>0.22487</cdr:y>
    </cdr:from>
    <cdr:to>
      <cdr:x>0.82104</cdr:x>
      <cdr:y>0.31328</cdr:y>
    </cdr:to>
    <cdr:cxnSp macro="">
      <cdr:nvCxnSpPr>
        <cdr:cNvPr id="7" name="Straight Arrow Connector 6"/>
        <cdr:cNvCxnSpPr>
          <a:cxnSpLocks xmlns:a="http://schemas.openxmlformats.org/drawingml/2006/main"/>
        </cdr:cNvCxnSpPr>
      </cdr:nvCxnSpPr>
      <cdr:spPr>
        <a:xfrm xmlns:a="http://schemas.openxmlformats.org/drawingml/2006/main">
          <a:off x="4881972" y="688260"/>
          <a:ext cx="242478" cy="270590"/>
        </a:xfrm>
        <a:prstGeom xmlns:a="http://schemas.openxmlformats.org/drawingml/2006/main" prst="straightConnector1">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0.32638</cdr:x>
      <cdr:y>0.56766</cdr:y>
    </cdr:from>
    <cdr:to>
      <cdr:x>0.40576</cdr:x>
      <cdr:y>0.61409</cdr:y>
    </cdr:to>
    <cdr:sp macro="" textlink="">
      <cdr:nvSpPr>
        <cdr:cNvPr id="6" name="Oval 5"/>
        <cdr:cNvSpPr/>
      </cdr:nvSpPr>
      <cdr:spPr>
        <a:xfrm xmlns:a="http://schemas.openxmlformats.org/drawingml/2006/main">
          <a:off x="1939888" y="1312097"/>
          <a:ext cx="471805" cy="107315"/>
        </a:xfrm>
        <a:prstGeom xmlns:a="http://schemas.openxmlformats.org/drawingml/2006/main" prst="ellipse">
          <a:avLst/>
        </a:prstGeom>
        <a:solidFill xmlns:a="http://schemas.openxmlformats.org/drawingml/2006/main">
          <a:srgbClr val="C00000">
            <a:alpha val="35000"/>
          </a:srgb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0.6267</cdr:x>
      <cdr:y>0.38337</cdr:y>
    </cdr:from>
    <cdr:to>
      <cdr:x>0.71108</cdr:x>
      <cdr:y>0.54535</cdr:y>
    </cdr:to>
    <cdr:sp macro="" textlink="">
      <cdr:nvSpPr>
        <cdr:cNvPr id="2" name="Oval 1">
          <a:extLst xmlns:a="http://schemas.openxmlformats.org/drawingml/2006/main">
            <a:ext uri="{FF2B5EF4-FFF2-40B4-BE49-F238E27FC236}">
              <a16:creationId xmlns:a16="http://schemas.microsoft.com/office/drawing/2014/main" id="{83A64546-4FD8-8E76-0D11-C21C287BDE4F}"/>
            </a:ext>
          </a:extLst>
        </cdr:cNvPr>
        <cdr:cNvSpPr/>
      </cdr:nvSpPr>
      <cdr:spPr>
        <a:xfrm xmlns:a="http://schemas.openxmlformats.org/drawingml/2006/main" rot="21328970">
          <a:off x="3724846" y="1242515"/>
          <a:ext cx="501521" cy="524984"/>
        </a:xfrm>
        <a:prstGeom xmlns:a="http://schemas.openxmlformats.org/drawingml/2006/main" prst="ellipse">
          <a:avLst/>
        </a:prstGeom>
        <a:solidFill xmlns:a="http://schemas.openxmlformats.org/drawingml/2006/main">
          <a:srgbClr val="C00000">
            <a:alpha val="2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1828434" rtl="0" eaLnBrk="1" latinLnBrk="0" hangingPunct="1">
            <a:defRPr sz="3600" kern="1200">
              <a:solidFill>
                <a:schemeClr val="lt1"/>
              </a:solidFill>
              <a:latin typeface="+mn-lt"/>
              <a:ea typeface="+mn-ea"/>
              <a:cs typeface="+mn-cs"/>
            </a:defRPr>
          </a:lvl1pPr>
          <a:lvl2pPr marL="914217" algn="l" defTabSz="1828434" rtl="0" eaLnBrk="1" latinLnBrk="0" hangingPunct="1">
            <a:defRPr sz="3600" kern="1200">
              <a:solidFill>
                <a:schemeClr val="lt1"/>
              </a:solidFill>
              <a:latin typeface="+mn-lt"/>
              <a:ea typeface="+mn-ea"/>
              <a:cs typeface="+mn-cs"/>
            </a:defRPr>
          </a:lvl2pPr>
          <a:lvl3pPr marL="1828434" algn="l" defTabSz="1828434" rtl="0" eaLnBrk="1" latinLnBrk="0" hangingPunct="1">
            <a:defRPr sz="3600" kern="1200">
              <a:solidFill>
                <a:schemeClr val="lt1"/>
              </a:solidFill>
              <a:latin typeface="+mn-lt"/>
              <a:ea typeface="+mn-ea"/>
              <a:cs typeface="+mn-cs"/>
            </a:defRPr>
          </a:lvl3pPr>
          <a:lvl4pPr marL="2742651" algn="l" defTabSz="1828434" rtl="0" eaLnBrk="1" latinLnBrk="0" hangingPunct="1">
            <a:defRPr sz="3600" kern="1200">
              <a:solidFill>
                <a:schemeClr val="lt1"/>
              </a:solidFill>
              <a:latin typeface="+mn-lt"/>
              <a:ea typeface="+mn-ea"/>
              <a:cs typeface="+mn-cs"/>
            </a:defRPr>
          </a:lvl4pPr>
          <a:lvl5pPr marL="3656868" algn="l" defTabSz="1828434" rtl="0" eaLnBrk="1" latinLnBrk="0" hangingPunct="1">
            <a:defRPr sz="3600" kern="1200">
              <a:solidFill>
                <a:schemeClr val="lt1"/>
              </a:solidFill>
              <a:latin typeface="+mn-lt"/>
              <a:ea typeface="+mn-ea"/>
              <a:cs typeface="+mn-cs"/>
            </a:defRPr>
          </a:lvl5pPr>
          <a:lvl6pPr marL="4571086" algn="l" defTabSz="1828434" rtl="0" eaLnBrk="1" latinLnBrk="0" hangingPunct="1">
            <a:defRPr sz="3600" kern="1200">
              <a:solidFill>
                <a:schemeClr val="lt1"/>
              </a:solidFill>
              <a:latin typeface="+mn-lt"/>
              <a:ea typeface="+mn-ea"/>
              <a:cs typeface="+mn-cs"/>
            </a:defRPr>
          </a:lvl6pPr>
          <a:lvl7pPr marL="5485303" algn="l" defTabSz="1828434" rtl="0" eaLnBrk="1" latinLnBrk="0" hangingPunct="1">
            <a:defRPr sz="3600" kern="1200">
              <a:solidFill>
                <a:schemeClr val="lt1"/>
              </a:solidFill>
              <a:latin typeface="+mn-lt"/>
              <a:ea typeface="+mn-ea"/>
              <a:cs typeface="+mn-cs"/>
            </a:defRPr>
          </a:lvl7pPr>
          <a:lvl8pPr marL="6399520" algn="l" defTabSz="1828434" rtl="0" eaLnBrk="1" latinLnBrk="0" hangingPunct="1">
            <a:defRPr sz="3600" kern="1200">
              <a:solidFill>
                <a:schemeClr val="lt1"/>
              </a:solidFill>
              <a:latin typeface="+mn-lt"/>
              <a:ea typeface="+mn-ea"/>
              <a:cs typeface="+mn-cs"/>
            </a:defRPr>
          </a:lvl8pPr>
          <a:lvl9pPr marL="7313737" algn="l" defTabSz="1828434" rtl="0" eaLnBrk="1" latinLnBrk="0" hangingPunct="1">
            <a:defRPr sz="3600" kern="1200">
              <a:solidFill>
                <a:schemeClr val="lt1"/>
              </a:solidFill>
              <a:latin typeface="+mn-lt"/>
              <a:ea typeface="+mn-ea"/>
              <a:cs typeface="+mn-cs"/>
            </a:defRPr>
          </a:lvl9pPr>
        </a:lstStyle>
        <a:p xmlns:a="http://schemas.openxmlformats.org/drawingml/2006/main">
          <a:pPr marL="0" marR="0" lvl="0" indent="0" algn="ctr" defTabSz="1828434" rtl="0" eaLnBrk="1" fontAlgn="auto" latinLnBrk="0" hangingPunct="1">
            <a:lnSpc>
              <a:spcPct val="100000"/>
            </a:lnSpc>
            <a:spcBef>
              <a:spcPts val="0"/>
            </a:spcBef>
            <a:spcAft>
              <a:spcPts val="0"/>
            </a:spcAft>
            <a:buClrTx/>
            <a:buSzTx/>
            <a:buFontTx/>
            <a:buNone/>
            <a:tabLst/>
            <a:defRPr/>
          </a:pPr>
          <a:endParaRPr kumimoji="0" lang="en-US" sz="3200" b="0" i="0" u="none" strike="noStrike" kern="1200" cap="none" spc="0" normalizeH="0" baseline="0" noProof="0" dirty="0">
            <a:ln>
              <a:noFill/>
            </a:ln>
            <a:solidFill>
              <a:prstClr val="white"/>
            </a:solidFill>
            <a:effectLst/>
            <a:uLnTx/>
            <a:uFillTx/>
            <a:latin typeface="Lato" panose="020F0502020204030203" pitchFamily="34" charset="0"/>
            <a:ea typeface="Lato" panose="020F0502020204030203" pitchFamily="34" charset="0"/>
            <a:cs typeface="Lato" panose="020F0502020204030203" pitchFamily="34" charset="0"/>
          </a:endParaRPr>
        </a:p>
      </cdr:txBody>
    </cdr:sp>
  </cdr:relSizeAnchor>
  <cdr:relSizeAnchor xmlns:cdr="http://schemas.openxmlformats.org/drawingml/2006/chartDrawing">
    <cdr:from>
      <cdr:x>0.79155</cdr:x>
      <cdr:y>0.16251</cdr:y>
    </cdr:from>
    <cdr:to>
      <cdr:x>0.92011</cdr:x>
      <cdr:y>0.50029</cdr:y>
    </cdr:to>
    <cdr:sp macro="" textlink="">
      <cdr:nvSpPr>
        <cdr:cNvPr id="3" name="Oval 2">
          <a:extLst xmlns:a="http://schemas.openxmlformats.org/drawingml/2006/main">
            <a:ext uri="{FF2B5EF4-FFF2-40B4-BE49-F238E27FC236}">
              <a16:creationId xmlns:a16="http://schemas.microsoft.com/office/drawing/2014/main" id="{939D6112-4AC3-596E-7517-07E57A4F539F}"/>
            </a:ext>
          </a:extLst>
        </cdr:cNvPr>
        <cdr:cNvSpPr/>
      </cdr:nvSpPr>
      <cdr:spPr>
        <a:xfrm xmlns:a="http://schemas.openxmlformats.org/drawingml/2006/main">
          <a:off x="4704682" y="456337"/>
          <a:ext cx="764109" cy="948476"/>
        </a:xfrm>
        <a:prstGeom xmlns:a="http://schemas.openxmlformats.org/drawingml/2006/main" prst="ellipse">
          <a:avLst/>
        </a:prstGeom>
        <a:solidFill xmlns:a="http://schemas.openxmlformats.org/drawingml/2006/main">
          <a:srgbClr val="C00000">
            <a:alpha val="2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n-US"/>
          </a:defPPr>
          <a:lvl1pPr marL="0" algn="l" defTabSz="1828434" rtl="0" eaLnBrk="1" latinLnBrk="0" hangingPunct="1">
            <a:defRPr sz="3600" kern="1200">
              <a:solidFill>
                <a:schemeClr val="lt1"/>
              </a:solidFill>
              <a:latin typeface="+mn-lt"/>
              <a:ea typeface="+mn-ea"/>
              <a:cs typeface="+mn-cs"/>
            </a:defRPr>
          </a:lvl1pPr>
          <a:lvl2pPr marL="914217" algn="l" defTabSz="1828434" rtl="0" eaLnBrk="1" latinLnBrk="0" hangingPunct="1">
            <a:defRPr sz="3600" kern="1200">
              <a:solidFill>
                <a:schemeClr val="lt1"/>
              </a:solidFill>
              <a:latin typeface="+mn-lt"/>
              <a:ea typeface="+mn-ea"/>
              <a:cs typeface="+mn-cs"/>
            </a:defRPr>
          </a:lvl2pPr>
          <a:lvl3pPr marL="1828434" algn="l" defTabSz="1828434" rtl="0" eaLnBrk="1" latinLnBrk="0" hangingPunct="1">
            <a:defRPr sz="3600" kern="1200">
              <a:solidFill>
                <a:schemeClr val="lt1"/>
              </a:solidFill>
              <a:latin typeface="+mn-lt"/>
              <a:ea typeface="+mn-ea"/>
              <a:cs typeface="+mn-cs"/>
            </a:defRPr>
          </a:lvl3pPr>
          <a:lvl4pPr marL="2742651" algn="l" defTabSz="1828434" rtl="0" eaLnBrk="1" latinLnBrk="0" hangingPunct="1">
            <a:defRPr sz="3600" kern="1200">
              <a:solidFill>
                <a:schemeClr val="lt1"/>
              </a:solidFill>
              <a:latin typeface="+mn-lt"/>
              <a:ea typeface="+mn-ea"/>
              <a:cs typeface="+mn-cs"/>
            </a:defRPr>
          </a:lvl4pPr>
          <a:lvl5pPr marL="3656868" algn="l" defTabSz="1828434" rtl="0" eaLnBrk="1" latinLnBrk="0" hangingPunct="1">
            <a:defRPr sz="3600" kern="1200">
              <a:solidFill>
                <a:schemeClr val="lt1"/>
              </a:solidFill>
              <a:latin typeface="+mn-lt"/>
              <a:ea typeface="+mn-ea"/>
              <a:cs typeface="+mn-cs"/>
            </a:defRPr>
          </a:lvl5pPr>
          <a:lvl6pPr marL="4571086" algn="l" defTabSz="1828434" rtl="0" eaLnBrk="1" latinLnBrk="0" hangingPunct="1">
            <a:defRPr sz="3600" kern="1200">
              <a:solidFill>
                <a:schemeClr val="lt1"/>
              </a:solidFill>
              <a:latin typeface="+mn-lt"/>
              <a:ea typeface="+mn-ea"/>
              <a:cs typeface="+mn-cs"/>
            </a:defRPr>
          </a:lvl6pPr>
          <a:lvl7pPr marL="5485303" algn="l" defTabSz="1828434" rtl="0" eaLnBrk="1" latinLnBrk="0" hangingPunct="1">
            <a:defRPr sz="3600" kern="1200">
              <a:solidFill>
                <a:schemeClr val="lt1"/>
              </a:solidFill>
              <a:latin typeface="+mn-lt"/>
              <a:ea typeface="+mn-ea"/>
              <a:cs typeface="+mn-cs"/>
            </a:defRPr>
          </a:lvl7pPr>
          <a:lvl8pPr marL="6399520" algn="l" defTabSz="1828434" rtl="0" eaLnBrk="1" latinLnBrk="0" hangingPunct="1">
            <a:defRPr sz="3600" kern="1200">
              <a:solidFill>
                <a:schemeClr val="lt1"/>
              </a:solidFill>
              <a:latin typeface="+mn-lt"/>
              <a:ea typeface="+mn-ea"/>
              <a:cs typeface="+mn-cs"/>
            </a:defRPr>
          </a:lvl8pPr>
          <a:lvl9pPr marL="7313737" algn="l" defTabSz="1828434" rtl="0" eaLnBrk="1" latinLnBrk="0" hangingPunct="1">
            <a:defRPr sz="3600" kern="1200">
              <a:solidFill>
                <a:schemeClr val="lt1"/>
              </a:solidFill>
              <a:latin typeface="+mn-lt"/>
              <a:ea typeface="+mn-ea"/>
              <a:cs typeface="+mn-cs"/>
            </a:defRPr>
          </a:lvl9pPr>
        </a:lstStyle>
        <a:p xmlns:a="http://schemas.openxmlformats.org/drawingml/2006/main">
          <a:pPr marL="0" marR="0" lvl="0" indent="0" algn="ctr" defTabSz="1828434" rtl="0" eaLnBrk="1" fontAlgn="auto" latinLnBrk="0" hangingPunct="1">
            <a:lnSpc>
              <a:spcPct val="100000"/>
            </a:lnSpc>
            <a:spcBef>
              <a:spcPts val="0"/>
            </a:spcBef>
            <a:spcAft>
              <a:spcPts val="0"/>
            </a:spcAft>
            <a:buClrTx/>
            <a:buSzTx/>
            <a:buFontTx/>
            <a:buNone/>
            <a:tabLst/>
            <a:defRPr/>
          </a:pPr>
          <a:endParaRPr kumimoji="0" lang="en-US" sz="3200" b="0" i="0" u="none" strike="noStrike" kern="1200" cap="none" spc="0" normalizeH="0" baseline="0" noProof="0" dirty="0">
            <a:ln>
              <a:noFill/>
            </a:ln>
            <a:solidFill>
              <a:prstClr val="white"/>
            </a:solidFill>
            <a:effectLst/>
            <a:uLnTx/>
            <a:uFillTx/>
            <a:latin typeface="Lato" panose="020F0502020204030203" pitchFamily="34" charset="0"/>
            <a:ea typeface="Lato" panose="020F0502020204030203" pitchFamily="34" charset="0"/>
            <a:cs typeface="Lato" panose="020F0502020204030203"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24">
    <a:dk1>
      <a:srgbClr val="3F3F3F"/>
    </a:dk1>
    <a:lt1>
      <a:sysClr val="window" lastClr="FFFFFF"/>
    </a:lt1>
    <a:dk2>
      <a:srgbClr val="D8D8D8"/>
    </a:dk2>
    <a:lt2>
      <a:srgbClr val="D8D8D8"/>
    </a:lt2>
    <a:accent1>
      <a:srgbClr val="1A5155"/>
    </a:accent1>
    <a:accent2>
      <a:srgbClr val="24797E"/>
    </a:accent2>
    <a:accent3>
      <a:srgbClr val="30A5AC"/>
    </a:accent3>
    <a:accent4>
      <a:srgbClr val="3FD1D9"/>
    </a:accent4>
    <a:accent5>
      <a:srgbClr val="7BEAF0"/>
    </a:accent5>
    <a:accent6>
      <a:srgbClr val="445469"/>
    </a:accent6>
    <a:hlink>
      <a:srgbClr val="F33B48"/>
    </a:hlink>
    <a:folHlink>
      <a:srgbClr val="FFC000"/>
    </a:folHlink>
  </a:clrScheme>
  <a:fontScheme name="Custom 1">
    <a:majorFont>
      <a:latin typeface="Lato"/>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Eur16</b:Tag>
    <b:SourceType>DocumentFromInternetSite</b:SourceType>
    <b:Guid>{68F0B22D-3644-46E0-B67F-3BE55D6F46B2}</b:Guid>
    <b:Author>
      <b:Author>
        <b:Corporate>European Commission</b:Corporate>
      </b:Author>
    </b:Author>
    <b:Year>2016</b:Year>
    <b:URL>europa.eu: europa.eu/rapid/press-release_MEMO-16-4023_en.pdf</b:URL>
    <b:RefOrder>2</b:RefOrder>
  </b:Source>
  <b:Source>
    <b:Tag>EMB23</b:Tag>
    <b:SourceType>DocumentFromInternetSite</b:SourceType>
    <b:Guid>{5E0602A1-55B1-4ECE-A8C9-15DF4075BD3D}</b:Guid>
    <b:Author>
      <b:Author>
        <b:Corporate>EMBER</b:Corporate>
      </b:Author>
    </b:Author>
    <b:Year>2023</b:Year>
    <b:URL>https://ember-climate.org/countries-and-regions/countries/spain/</b:URL>
    <b:RefOrder>37</b:RefOrder>
  </b:Source>
  <b:Source>
    <b:Tag>Glo</b:Tag>
    <b:SourceType>DocumentFromInternetSite</b:SourceType>
    <b:Guid>{FFB71268-33D6-4EAD-B4A4-25415938D4C7}</b:Guid>
    <b:Author>
      <b:Author>
        <b:Corporate>Global Energy Monitor</b:Corporate>
      </b:Author>
    </b:Author>
    <b:URL>https://globalenergymonitor.org/projects/global-coal-plant-tracker/?gclid=Cj0KCQjwhL6pBhDjARIsAGx8D5_iOKhdlyFo0-lfZ6B-ShFeH8YYEBxfrJ-KdbMbFWX9Q3Cjr4oJHB8aAhsQEALw_wcB</b:URL>
    <b:Year>2023</b:Year>
    <b:RefOrder>39</b:RefOrder>
  </b:Source>
  <b:Source>
    <b:Tag>ENT23</b:Tag>
    <b:SourceType>InternetSite</b:SourceType>
    <b:Guid>{CE469550-230B-440D-A156-78E4DD573061}</b:Guid>
    <b:Author>
      <b:Author>
        <b:Corporate>ENTSO Transparency Platform</b:Corporate>
      </b:Author>
    </b:Author>
    <b:Year>2023</b:Year>
    <b:URL>https://transparency.entsoe.eu/generation/r2/actualGenerationPerProductionType/show?name=&amp;defaultValue=false&amp;viewType=TABLE&amp;areaType=CTY&amp;atch=false&amp;datepicker-day-offset-select-dv-date-from_input=D%2B-%2B1&amp;dateTime.dateTime=01.01.2015%2B00%3A00%7CCET%7CDA</b:URL>
    <b:RefOrder>41</b:RefOrder>
  </b:Source>
  <b:Source>
    <b:Tag>Kap</b:Tag>
    <b:SourceType>Misc</b:SourceType>
    <b:Guid>{9BA274D3-7CF9-43D6-A512-A8215ECD9B2F}</b:Guid>
    <b:Author>
      <b:Author>
        <b:Corporate>Kapasite Rezervi Yönetmeliği</b:Corporate>
      </b:Author>
    </b:Author>
    <b:Title>11. Bölüm</b:Title>
    <b:RefOrder>49</b:RefOrder>
  </b:Source>
  <b:Source>
    <b:Tag>Alm</b:Tag>
    <b:SourceType>Misc</b:SourceType>
    <b:Guid>{0CDE37B2-7B9B-4D7E-A48D-3EE4F674F8CC}</b:Guid>
    <b:Author>
      <b:Author>
        <b:Corporate>Alman Enerji Yasası</b:Corporate>
      </b:Author>
    </b:Author>
    <b:Title>13. Madde</b:Title>
    <b:RefOrder>50</b:RefOrder>
  </b:Source>
  <b:Source>
    <b:Tag>Öza10</b:Tag>
    <b:SourceType>JournalArticle</b:SourceType>
    <b:Guid>{57BCB1C7-6917-46DC-B875-F7A5BDDC0F56}</b:Guid>
    <b:Author>
      <b:Author>
        <b:NameList>
          <b:Person>
            <b:Last>Özata</b:Last>
            <b:First>Erkan</b:First>
          </b:Person>
        </b:NameList>
      </b:Author>
    </b:Author>
    <b:Title>Türkiye’de Enerji Tüketimi ve Ekonomik Büyüme Arasındaki İlişkilerin Ekonometrik İncelemesi</b:Title>
    <b:Year>2010</b:Year>
    <b:JournalName>Dumlupınar Üniversitesi Sosyal Bilimler Dergisi</b:JournalName>
    <b:RefOrder>44</b:RefOrder>
  </b:Source>
  <b:Source>
    <b:Tag>Han22</b:Tag>
    <b:SourceType>Misc</b:SourceType>
    <b:Guid>{B383A33E-BCE2-4B15-8E42-D8CD4AC95F0B}</b:Guid>
    <b:Author>
      <b:Author>
        <b:NameList>
          <b:Person>
            <b:Last>Hancher</b:Last>
            <b:First>L.,</b:First>
            <b:Middle>Hauteclocque, A. de, Sadowska, M., &amp; Huhta, K.</b:Middle>
          </b:Person>
        </b:NameList>
      </b:Author>
    </b:Author>
    <b:Title>Capacity mechanisms in the EU Energy Market: Law, policy, and economics</b:Title>
    <b:Year>2022</b:Year>
    <b:Publisher>Oxford University Press</b:Publisher>
    <b:RefOrder>30</b:RefOrder>
  </b:Source>
  <b:Source>
    <b:Tag>Iza21</b:Tag>
    <b:SourceType>InternetSite</b:SourceType>
    <b:Guid>{49C22282-FEE6-4352-A65D-4A09F2B38180}</b:Guid>
    <b:Author>
      <b:Author>
        <b:NameList>
          <b:Person>
            <b:Last>Filipiak</b:Last>
            <b:First>Izabela</b:First>
          </b:Person>
          <b:Person>
            <b:Last>Mielczarski</b:Last>
            <b:First>Wladyslaw</b:First>
          </b:Person>
        </b:NameList>
      </b:Author>
    </b:Author>
    <b:Title>Capacity markets: The Polish experience.</b:Title>
    <b:Year>2021</b:Year>
    <b:URL>https://doi.org/10.2139/ssrn.3969801</b:URL>
    <b:RefOrder>43</b:RefOrder>
  </b:Source>
  <b:Source>
    <b:Tag>Ene23</b:Tag>
    <b:SourceType>Report</b:SourceType>
    <b:Guid>{58192243-8A6A-4A22-9A16-657345EA61EF}</b:Guid>
    <b:Author>
      <b:Author>
        <b:Corporate>Enerji ve Tabii Kaynaklar Bakanlığı</b:Corporate>
      </b:Author>
    </b:Author>
    <b:Title>Türkiye Ulusal Enerji Planı</b:Title>
    <b:Year>2023</b:Year>
    <b:RefOrder>9</b:RefOrder>
  </b:Source>
  <b:Source>
    <b:Tag>The</b:Tag>
    <b:SourceType>Misc</b:SourceType>
    <b:Guid>{11CE2657-23DE-426C-94E6-C9C11689DACC}</b:Guid>
    <b:Title>The Electricity Capacity Regulations</b:Title>
    <b:Year> 2014</b:Year>
    <b:RefOrder>20</b:RefOrder>
  </b:Source>
  <b:Source>
    <b:Tag>IEE16</b:Tag>
    <b:SourceType>Misc</b:SourceType>
    <b:Guid>{D277494C-893F-4467-A2F8-4AB3BDB92851}</b:Guid>
    <b:Author>
      <b:Author>
        <b:Corporate>IEEFA</b:Corporate>
      </b:Author>
    </b:Author>
    <b:Title>Spains capacity market energy security or subsidy </b:Title>
    <b:Year>2016</b:Year>
    <b:RefOrder>29</b:RefOrder>
  </b:Source>
  <b:Source>
    <b:Tag>Spa</b:Tag>
    <b:SourceType>InternetSite</b:SourceType>
    <b:Guid>{7DB50813-3820-4EB5-8FB4-F3860C0E71D8}</b:Guid>
    <b:Title>Spain is our green country of the month</b:Title>
    <b:InternetSiteTitle>Euronews</b:InternetSiteTitle>
    <b:URL>https://www.euronews.com/green/2023/08/31/free-train-tickets-renewables-and-coal-plant-closures-why-spain-is-our-green-country-of-th#:~:text=Spain%20is%20moving%20away%20from%20coal%20and%20towards%20renewables&amp;text=This%20month%2C%20it%20was%20confirmed,</b:URL>
    <b:Year>2023</b:Year>
    <b:RefOrder>35</b:RefOrder>
  </b:Source>
  <b:Source>
    <b:Tag>IEA22</b:Tag>
    <b:SourceType>Report</b:SourceType>
    <b:Guid>{44F86BF0-979B-4CF1-876D-CEB7C80B5930}</b:Guid>
    <b:Title>Spain Electricity Security Policy</b:Title>
    <b:Year>2022</b:Year>
    <b:Author>
      <b:Author>
        <b:Corporate>IEA</b:Corporate>
      </b:Author>
    </b:Author>
    <b:RefOrder>36</b:RefOrder>
  </b:Source>
  <b:Source>
    <b:Tag>IEA21</b:Tag>
    <b:SourceType>Misc</b:SourceType>
    <b:Guid>{E8F0116A-1C95-49C9-9818-4C9A05ADD1C8}</b:Guid>
    <b:Author>
      <b:Author>
        <b:Corporate>IEA</b:Corporate>
      </b:Author>
    </b:Author>
    <b:Title>Spain 2021 Energy Policy Review</b:Title>
    <b:Year>2021</b:Year>
    <b:RefOrder>33</b:RefOrder>
  </b:Source>
  <b:Source>
    <b:Tag>ACE21</b:Tag>
    <b:SourceType>Report</b:SourceType>
    <b:Guid>{A500F05D-153E-40F5-9E05-79515B783523}</b:Guid>
    <b:Author>
      <b:Author>
        <b:Corporate>ACER</b:Corporate>
      </b:Author>
    </b:Author>
    <b:Title>Security of EU Electricity Supply in 2021</b:Title>
    <b:Year>2021</b:Year>
    <b:Publisher>ACER</b:Publisher>
    <b:RefOrder>31</b:RefOrder>
  </b:Source>
  <b:Source>
    <b:Tag>ACE23</b:Tag>
    <b:SourceType>Report</b:SourceType>
    <b:Guid>{95F16977-10CA-482E-9672-2A67BD1E40AC}</b:Guid>
    <b:Title>Security of EU Electricity Supply</b:Title>
    <b:Year>2023</b:Year>
    <b:Author>
      <b:Author>
        <b:Corporate>ACER</b:Corporate>
      </b:Author>
    </b:Author>
    <b:Publisher>ACER</b:Publisher>
    <b:RefOrder>10</b:RefOrder>
  </b:Source>
  <b:Source>
    <b:Tag>IEA221</b:Tag>
    <b:SourceType>DocumentFromInternetSite</b:SourceType>
    <b:Guid>{FB0F2752-C706-4BF8-99AB-1D910813C1FF}</b:Guid>
    <b:Author>
      <b:Author>
        <b:Corporate>IEA</b:Corporate>
      </b:Author>
    </b:Author>
    <b:Title>Poland Electricity Security Policy – analysis. </b:Title>
    <b:Year>2022</b:Year>
    <b:URL>https://www.iea.org/articles/poland-electricity-security-policy </b:URL>
    <b:RefOrder>38</b:RefOrder>
  </b:Source>
  <b:Source>
    <b:Tag>ACE211</b:Tag>
    <b:SourceType>Misc</b:SourceType>
    <b:Guid>{9C2E9662-1F4B-442F-A89D-A3045C7F0D7C}</b:Guid>
    <b:Author>
      <b:Author>
        <b:Corporate>ACER</b:Corporate>
      </b:Author>
    </b:Author>
    <b:Title>Opinion No 02/2021 of the European Union Agency for the Cooperation of Energy Regulators</b:Title>
    <b:Year>2021</b:Year>
    <b:RefOrder>32</b:RefOrder>
  </b:Source>
  <b:Source>
    <b:Tag>Ene231</b:Tag>
    <b:SourceType>Misc</b:SourceType>
    <b:Guid>{396D2B8E-61C8-4B17-9A8A-B9596264AC41}</b:Guid>
    <b:Title>National Report of the President of Energy Regulatory Office</b:Title>
    <b:Year>2023</b:Year>
    <b:Publisher>www.ure.gov.pl</b:Publisher>
    <b:Author>
      <b:Author>
        <b:Corporate>Energy Regulatory Office</b:Corporate>
      </b:Author>
    </b:Author>
    <b:Month>July</b:Month>
    <b:RefOrder>40</b:RefOrder>
  </b:Source>
  <b:Source>
    <b:Tag>TEİ23</b:Tag>
    <b:SourceType>Misc</b:SourceType>
    <b:Guid>{339974C8-7ED1-4801-A684-48C8FA775835}</b:Guid>
    <b:Author>
      <b:Author>
        <b:Corporate>TEİAŞ</b:Corporate>
      </b:Author>
    </b:Author>
    <b:Title>Kapasite Mekanizması Ödemeler Listesi</b:Title>
    <b:Year>2023</b:Year>
    <b:RefOrder>8</b:RefOrder>
  </b:Source>
  <b:Source>
    <b:Tag>EPİ23</b:Tag>
    <b:SourceType>InternetSite</b:SourceType>
    <b:Guid>{53E8CCAA-0ABD-454A-AF05-7396A79A4539}</b:Guid>
    <b:Author>
      <b:Author>
        <b:Corporate>EPİAŞ</b:Corporate>
      </b:Author>
    </b:Author>
    <b:Title>EPİAŞ Şeffaflık Platformu</b:Title>
    <b:Year>2023</b:Year>
    <b:URL>https://seffaflik.epias.com.tr/transparency/piyasalar/gop/ptf.xhtml</b:URL>
    <b:RefOrder>46</b:RefOrder>
  </b:Source>
  <b:Source>
    <b:Tag>Min</b:Tag>
    <b:SourceType>Misc</b:SourceType>
    <b:Guid>{3B0F5442-B863-43EB-B9FA-48FC6D9F148A}</b:Guid>
    <b:Title>Energy policy of Poland until 2040 (EPP2040)</b:Title>
    <b:Author>
      <b:Author>
        <b:Corporate>Ministry of Climate and Environment.</b:Corporate>
      </b:Author>
    </b:Author>
    <b:RefOrder>42</b:RefOrder>
  </b:Source>
  <b:Source>
    <b:Tag>Res21</b:Tag>
    <b:SourceType>Misc</b:SourceType>
    <b:Guid>{BE4482AD-70E8-4E93-9717-5F24706A0659}</b:Guid>
    <b:Author>
      <b:Author>
        <b:Corporate>Resmi Gazete</b:Corporate>
      </b:Author>
    </b:Author>
    <b:Title>Elektrik Piyasası Kapasite Mekanizması Yönetmeliği</b:Title>
    <b:Year>2021</b:Year>
    <b:Month>Aralık</b:Month>
    <b:Day>18</b:Day>
    <b:RefOrder>7</b:RefOrder>
  </b:Source>
  <b:Source>
    <b:Tag>Res18</b:Tag>
    <b:SourceType>Misc</b:SourceType>
    <b:Guid>{C5F57AEF-6CC2-4B73-BAB7-CAA5E8182754}</b:Guid>
    <b:Author>
      <b:Author>
        <b:Corporate>Resmi Gazete</b:Corporate>
      </b:Author>
    </b:Author>
    <b:Title>Elektrik Piyasası Kapasite Mekanizması Yönetmeliği</b:Title>
    <b:Year>2018</b:Year>
    <b:Month>Ocak</b:Month>
    <b:Day>20</b:Day>
    <b:RefOrder>6</b:RefOrder>
  </b:Source>
  <b:Source>
    <b:Tag>Res16</b:Tag>
    <b:SourceType>Misc</b:SourceType>
    <b:Guid>{C4B96879-AADC-4ED6-95C7-A01C390B164C}</b:Guid>
    <b:Title>Elektrik Piyasası Kanunu'nda Değişiklik Yapılması</b:Title>
    <b:Year>2016</b:Year>
    <b:Author>
      <b:Author>
        <b:Corporate>Resmi Gazete</b:Corporate>
      </b:Author>
    </b:Author>
    <b:RefOrder>5</b:RefOrder>
  </b:Source>
  <b:Source>
    <b:Tag>BOT23</b:Tag>
    <b:SourceType>Misc</b:SourceType>
    <b:Guid>{B54C575B-EEAD-4785-B1AB-2D34F664EF92}</b:Guid>
    <b:Title>Doğal Gaz Tarifeleri</b:Title>
    <b:Year>2023</b:Year>
    <b:Author>
      <b:Author>
        <b:Corporate>BOTAŞ</b:Corporate>
      </b:Author>
    </b:Author>
    <b:RefOrder>45</b:RefOrder>
  </b:Source>
  <b:Source>
    <b:Tag>ENT</b:Tag>
    <b:SourceType>Misc</b:SourceType>
    <b:Guid>{C0882279-DC2F-45DA-B717-B591CB12DB8E}</b:Guid>
    <b:Author>
      <b:Author>
        <b:Corporate>ENTSO</b:Corporate>
      </b:Author>
    </b:Author>
    <b:Title>Central Collection and publication of electricity generation, transportation and consumption data and information for the pan-European market</b:Title>
    <b:Year>2023</b:Year>
    <b:RefOrder>34</b:RefOrder>
  </b:Source>
  <b:Source>
    <b:Tag>ACE13</b:Tag>
    <b:SourceType>Report</b:SourceType>
    <b:Guid>{9A2E505A-F79F-4E88-8C08-B9757F72FB56}</b:Guid>
    <b:Title>Capacity Remuneration Mechanisms and the Internal Market for Electricity</b:Title>
    <b:Year>2013</b:Year>
    <b:Author>
      <b:Author>
        <b:Corporate>ACER</b:Corporate>
      </b:Author>
    </b:Author>
    <b:RefOrder>3</b:RefOrder>
  </b:Source>
  <b:Source>
    <b:Tag>Eur17</b:Tag>
    <b:SourceType>Report</b:SourceType>
    <b:Guid>{FEBA144E-DCF2-47C3-913B-5D0BEB62AD05}</b:Guid>
    <b:Author>
      <b:Author>
        <b:Corporate>European Parliament</b:Corporate>
      </b:Author>
    </b:Author>
    <b:Title>Capacity Mechanism for Electricity</b:Title>
    <b:Year>2017</b:Year>
    <b:RefOrder>4</b:RefOrder>
  </b:Source>
  <b:Source>
    <b:Tag>FTI16</b:Tag>
    <b:SourceType>Misc</b:SourceType>
    <b:Guid>{7F31C7A2-F522-4CFA-803D-C98A001F7D53}</b:Guid>
    <b:Author>
      <b:Author>
        <b:Corporate>FTI CL Energy</b:Corporate>
      </b:Author>
    </b:Author>
    <b:Title>Assessment of the impact</b:Title>
    <b:Year>2016</b:Year>
    <b:RefOrder>1</b:RefOrder>
  </b:Source>
  <b:Source>
    <b:Tag>Res22</b:Tag>
    <b:SourceType>Misc</b:SourceType>
    <b:Guid>{1ACC26A0-E9DB-4807-AF80-8302A75A6347}</b:Guid>
    <b:Title>Elektrik Piyasasında Depolama Faaliyetleri Yönetmeliği</b:Title>
    <b:Year>2022</b:Year>
    <b:Month>Kasım</b:Month>
    <b:Day>19</b:Day>
    <b:Author>
      <b:Author>
        <b:Corporate>Resmi Gazete</b:Corporate>
      </b:Author>
    </b:Author>
    <b:RefOrder>47</b:RefOrder>
  </b:Source>
  <b:Source>
    <b:Tag>EPD23</b:Tag>
    <b:SourceType>Misc</b:SourceType>
    <b:Guid>{A3BF49E3-1D46-44C5-8D92-59E3BD961A4B}</b:Guid>
    <b:Author>
      <b:Author>
        <b:Corporate>EPDK</b:Corporate>
      </b:Author>
    </b:Author>
    <b:Title>Elektrik Piyasası Önlisansları</b:Title>
    <b:Year>2023</b:Year>
    <b:Month>Ekim</b:Month>
    <b:RefOrder>48</b:RefOrder>
  </b:Source>
  <b:Source>
    <b:Tag>Eur18</b:Tag>
    <b:SourceType>Misc</b:SourceType>
    <b:Guid>{08F31267-63FF-4B3B-9EEC-1D0D59E73F94}</b:Guid>
    <b:Author>
      <b:Author>
        <b:Corporate>European Commission</b:Corporate>
      </b:Author>
    </b:Author>
    <b:PublicationTitle>Commission Decision (EU) 2018/860</b:PublicationTitle>
    <b:Year>2018</b:Year>
    <b:RefOrder>11</b:RefOrder>
  </b:Source>
  <b:Source>
    <b:Tag>Ges05</b:Tag>
    <b:SourceType>Misc</b:SourceType>
    <b:Guid>{7A0FC439-08B3-42A9-B9C8-CA12DEB7447A}</b:Guid>
    <b:Author>
      <b:Author>
        <b:Corporate>Gesetze im Internet</b:Corporate>
      </b:Author>
    </b:Author>
    <b:Title>Energiewirtschaftsgesetz- EnWG</b:Title>
    <b:Year>2005</b:Year>
    <b:RefOrder>12</b:RefOrder>
  </b:Source>
  <b:Source>
    <b:Tag>Ges19</b:Tag>
    <b:SourceType>Misc</b:SourceType>
    <b:Guid>{DACC1F8E-794B-4366-89E3-D38B69309E3B}</b:Guid>
    <b:Author>
      <b:Author>
        <b:Corporate>Gesetze im Internet</b:Corporate>
      </b:Author>
    </b:Author>
    <b:Title>Capacity Reserve Ordinance</b:Title>
    <b:Year>2019</b:Year>
    <b:RefOrder>13</b:RefOrder>
  </b:Source>
  <b:Source>
    <b:Tag>Bun21</b:Tag>
    <b:SourceType>Misc</b:SourceType>
    <b:Guid>{1BD8263A-AD97-41E6-B811-2F6342A52F10}</b:Guid>
    <b:Author>
      <b:Author>
        <b:Corporate>Bundesnetzagentur</b:Corporate>
      </b:Author>
    </b:Author>
    <b:Title>Monitoring Report</b:Title>
    <b:Year>2021</b:Year>
    <b:RefOrder>14</b:RefOrder>
  </b:Source>
  <b:Source>
    <b:Tag>Eur22</b:Tag>
    <b:SourceType>Misc</b:SourceType>
    <b:Guid>{A1320309-D3E4-41EE-88C6-9EB57983EF96}</b:Guid>
    <b:Author>
      <b:Author>
        <b:Corporate>European Commission</b:Corporate>
      </b:Author>
    </b:Author>
    <b:Title> Regulation on coordinated demand reduction measures for gas (EU/2022/1369)</b:Title>
    <b:Year>2022</b:Year>
    <b:RefOrder>15</b:RefOrder>
  </b:Source>
  <b:Source>
    <b:Tag>Net23</b:Tag>
    <b:SourceType>InternetSite</b:SourceType>
    <b:Guid>{4BF8EFD3-0351-4859-9BC4-F9A249FB44BD}</b:Guid>
    <b:Author>
      <b:Author>
        <b:Corporate>Netztransparenz</b:Corporate>
      </b:Author>
    </b:Author>
    <b:Year>2023</b:Year>
    <b:URL>https://www.netztransparenz.de/de-de/Systemdienstleistungen/Betriebsf%C3%BChrung/Kapazit%C3%A4tsreserve/Ver%C3%B6ffentlichungen-zum-Erbringungszeitraum-2022-2024</b:URL>
    <b:RefOrder>16</b:RefOrder>
  </b:Source>
  <b:Source>
    <b:Tag>Bun23</b:Tag>
    <b:SourceType>InternetSite</b:SourceType>
    <b:Guid>{DDE2D671-CCAC-4E44-9DE3-66549A30BC8A}</b:Guid>
    <b:Author>
      <b:Author>
        <b:Corporate>Bundesnetzagentur</b:Corporate>
      </b:Author>
    </b:Author>
    <b:Year>2023</b:Year>
    <b:URL>https://www.smard.de/page/en/marktdaten/78?marketDataAttributes=%7B%22resolution%22:%22month%22,%22region%22:%22DE%22,%22from%22:1633730400000,%22to%22:1696888799999,%22moduleIds%22:%5B3000186,3000187,3000188,3000189,3000190,3000194,3000195,3000196,300019</b:URL>
    <b:RefOrder>17</b:RefOrder>
  </b:Source>
  <b:Source>
    <b:Tag>Deu20</b:Tag>
    <b:SourceType>InternetSite</b:SourceType>
    <b:Guid>{A48E218A-CA63-4A22-87C6-D6D8EC878FC0}</b:Guid>
    <b:Author>
      <b:Author>
        <b:Corporate>Deutscher Bundestag</b:Corporate>
      </b:Author>
    </b:Author>
    <b:Title>Kohleausstiegsgesetz</b:Title>
    <b:Year>2020</b:Year>
    <b:URL> https://www.smard.de/page/en/topic-article/5892/206022</b:URL>
    <b:RefOrder>18</b:RefOrder>
  </b:Source>
  <b:Source>
    <b:Tag>Our23</b:Tag>
    <b:SourceType>InternetSite</b:SourceType>
    <b:Guid>{A74BC90B-64E7-4BB6-9130-EB0419A365B1}</b:Guid>
    <b:Author>
      <b:Author>
        <b:Corporate>Our World in Data</b:Corporate>
      </b:Author>
    </b:Author>
    <b:Year>2023</b:Year>
    <b:URL>https://ourworldindata.org/co2/country/germany?country=~DEU</b:URL>
    <b:RefOrder>19</b:RefOrder>
  </b:Source>
  <b:Source>
    <b:Tag>Ofg23</b:Tag>
    <b:SourceType>Misc</b:SourceType>
    <b:Guid>{E52BE192-B638-4FF5-8E2E-DD36D8B6D908}</b:Guid>
    <b:Author>
      <b:Author>
        <b:Corporate>Ofgem</b:Corporate>
      </b:Author>
    </b:Author>
    <b:Title> Informal Consolidated Version of the Capacity Market Rules</b:Title>
    <b:Year>2023</b:Year>
    <b:RefOrder>21</b:RefOrder>
  </b:Source>
  <b:Source>
    <b:Tag>Nat14</b:Tag>
    <b:SourceType>Misc</b:SourceType>
    <b:Guid>{2640E794-40A9-4A0E-9911-DA9960BFCC41}</b:Guid>
    <b:Author>
      <b:Author>
        <b:Corporate>National Grid</b:Corporate>
      </b:Author>
    </b:Author>
    <b:Title>T-4 Capacity Market Final Auction Results</b:Title>
    <b:Year>2014</b:Year>
    <b:RefOrder>23</b:RefOrder>
  </b:Source>
  <b:Source>
    <b:Tag>Nat23</b:Tag>
    <b:SourceType>Misc</b:SourceType>
    <b:Guid>{734C62AD-B459-4F28-95A2-F9D437CA740E}</b:Guid>
    <b:Author>
      <b:Author>
        <b:Corporate>National Grid</b:Corporate>
      </b:Author>
    </b:Author>
    <b:Title>Final Auction Reports, 2014- 2022</b:Title>
    <b:Year>2023</b:Year>
    <b:RefOrder>24</b:RefOrder>
  </b:Source>
  <b:Source>
    <b:Tag>Dep19</b:Tag>
    <b:SourceType>Misc</b:SourceType>
    <b:Guid>{E2DE8574-FF66-4833-A663-545A3257A21A}</b:Guid>
    <b:Author>
      <b:Author>
        <b:Corporate>Department for Energy Security and Net Zero and Department for Business, Energy &amp; Industrial Strategy</b:Corporate>
      </b:Author>
    </b:Author>
    <b:Title>The Capacity Market (Amendment) (No. 4) Rules 2019</b:Title>
    <b:Year>2019</b:Year>
    <b:RefOrder>25</b:RefOrder>
  </b:Source>
  <b:Source>
    <b:Tag>Ofg20</b:Tag>
    <b:SourceType>Misc</b:SourceType>
    <b:Guid>{915C925A-FCDB-484A-8F20-357584E5C01D}</b:Guid>
    <b:Author>
      <b:Author>
        <b:Corporate>Ofgem</b:Corporate>
      </b:Author>
    </b:Author>
    <b:Title>Annual Report on the Operation of the Capacity Market in 2019/20</b:Title>
    <b:Year>2020</b:Year>
    <b:RefOrder>26</b:RefOrder>
  </b:Source>
  <b:Source>
    <b:Tag>Dep23</b:Tag>
    <b:SourceType>Misc</b:SourceType>
    <b:Guid>{C576723D-A778-4516-8AD7-2B0992916A5D}</b:Guid>
    <b:Author>
      <b:Author>
        <b:Corporate>Department for Energy Security &amp; Net Zero</b:Corporate>
      </b:Author>
    </b:Author>
    <b:Title>Energy Trends Collection</b:Title>
    <b:Year>2023</b:Year>
    <b:RefOrder>27</b:RefOrder>
  </b:Source>
  <b:Source>
    <b:Tag>Nat231</b:Tag>
    <b:SourceType>InternetSite</b:SourceType>
    <b:Guid>{D630EC21-5229-4BFB-B319-51FCC9D59F98}</b:Guid>
    <b:Year>2023</b:Year>
    <b:Author>
      <b:Author>
        <b:Corporate>National Grid Data Portal</b:Corporate>
      </b:Author>
    </b:Author>
    <b:URL>https://www.nationalgrideso.com/data-portal/historic-generation-mix</b:URL>
    <b:RefOrder>28</b:RefOrder>
  </b:Source>
  <b:Source>
    <b:Tag>Nat221</b:Tag>
    <b:SourceType>Report</b:SourceType>
    <b:Guid>{932FD17A-6DF2-4671-A5B5-EDD8F367415D}</b:Guid>
    <b:Title>Electricity Capacity Report</b:Title>
    <b:Year>2022</b:Year>
    <b:Author>
      <b:Author>
        <b:NameList>
          <b:Person>
            <b:Last>National Grid</b:Last>
            <b:First>ESO</b:First>
          </b:Person>
        </b:NameList>
      </b:Author>
    </b:Author>
    <b:Publisher>National Grid ESO</b:Publisher>
    <b:RefOrder>22</b:RefOrder>
  </b:Source>
</b:Sources>
</file>

<file path=customXml/item2.xml>
</file>

<file path=customXml/itemProps1.xml><?xml version="1.0" encoding="utf-8"?>
<ds:datastoreItem xmlns:ds="http://schemas.openxmlformats.org/officeDocument/2006/customXml" ds:itemID="{B79EEF1C-8C10-4177-A5D7-03AEB12A9B20}">
  <ds:schemaRefs>
    <ds:schemaRef ds:uri="http://schemas.openxmlformats.org/officeDocument/2006/bibliography"/>
  </ds:schemaRefs>
</ds:datastoreItem>
</file>

<file path=customXml/itemProps2.xml><?xml version="1.0" encoding="utf-8"?>
<ds:datastoreItem xmlns:ds="http://schemas.openxmlformats.org/officeDocument/2006/customXml" ds:itemID="{6A0138A1-8D67-4A26-8DAA-0B9C0A760866}"/>
</file>

<file path=docProps/app.xml><?xml version="1.0" encoding="utf-8"?>
<Properties xmlns="http://schemas.openxmlformats.org/officeDocument/2006/extended-properties" xmlns:vt="http://schemas.openxmlformats.org/officeDocument/2006/docPropsVTypes">
  <Template>Normal</Template>
  <TotalTime>34</TotalTime>
  <Pages>90</Pages>
  <Words>23797</Words>
  <Characters>135643</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159122</CharactersWithSpaces>
  <SharedDoc>false</SharedDoc>
  <HLinks>
    <vt:vector size="438" baseType="variant">
      <vt:variant>
        <vt:i4>1441841</vt:i4>
      </vt:variant>
      <vt:variant>
        <vt:i4>440</vt:i4>
      </vt:variant>
      <vt:variant>
        <vt:i4>0</vt:i4>
      </vt:variant>
      <vt:variant>
        <vt:i4>5</vt:i4>
      </vt:variant>
      <vt:variant>
        <vt:lpwstr/>
      </vt:variant>
      <vt:variant>
        <vt:lpwstr>_Toc150531305</vt:lpwstr>
      </vt:variant>
      <vt:variant>
        <vt:i4>1441841</vt:i4>
      </vt:variant>
      <vt:variant>
        <vt:i4>434</vt:i4>
      </vt:variant>
      <vt:variant>
        <vt:i4>0</vt:i4>
      </vt:variant>
      <vt:variant>
        <vt:i4>5</vt:i4>
      </vt:variant>
      <vt:variant>
        <vt:lpwstr/>
      </vt:variant>
      <vt:variant>
        <vt:lpwstr>_Toc150531304</vt:lpwstr>
      </vt:variant>
      <vt:variant>
        <vt:i4>1441841</vt:i4>
      </vt:variant>
      <vt:variant>
        <vt:i4>428</vt:i4>
      </vt:variant>
      <vt:variant>
        <vt:i4>0</vt:i4>
      </vt:variant>
      <vt:variant>
        <vt:i4>5</vt:i4>
      </vt:variant>
      <vt:variant>
        <vt:lpwstr/>
      </vt:variant>
      <vt:variant>
        <vt:lpwstr>_Toc150531303</vt:lpwstr>
      </vt:variant>
      <vt:variant>
        <vt:i4>1441841</vt:i4>
      </vt:variant>
      <vt:variant>
        <vt:i4>422</vt:i4>
      </vt:variant>
      <vt:variant>
        <vt:i4>0</vt:i4>
      </vt:variant>
      <vt:variant>
        <vt:i4>5</vt:i4>
      </vt:variant>
      <vt:variant>
        <vt:lpwstr/>
      </vt:variant>
      <vt:variant>
        <vt:lpwstr>_Toc150531302</vt:lpwstr>
      </vt:variant>
      <vt:variant>
        <vt:i4>1441841</vt:i4>
      </vt:variant>
      <vt:variant>
        <vt:i4>416</vt:i4>
      </vt:variant>
      <vt:variant>
        <vt:i4>0</vt:i4>
      </vt:variant>
      <vt:variant>
        <vt:i4>5</vt:i4>
      </vt:variant>
      <vt:variant>
        <vt:lpwstr/>
      </vt:variant>
      <vt:variant>
        <vt:lpwstr>_Toc150531301</vt:lpwstr>
      </vt:variant>
      <vt:variant>
        <vt:i4>1441841</vt:i4>
      </vt:variant>
      <vt:variant>
        <vt:i4>410</vt:i4>
      </vt:variant>
      <vt:variant>
        <vt:i4>0</vt:i4>
      </vt:variant>
      <vt:variant>
        <vt:i4>5</vt:i4>
      </vt:variant>
      <vt:variant>
        <vt:lpwstr/>
      </vt:variant>
      <vt:variant>
        <vt:lpwstr>_Toc150531300</vt:lpwstr>
      </vt:variant>
      <vt:variant>
        <vt:i4>2031664</vt:i4>
      </vt:variant>
      <vt:variant>
        <vt:i4>404</vt:i4>
      </vt:variant>
      <vt:variant>
        <vt:i4>0</vt:i4>
      </vt:variant>
      <vt:variant>
        <vt:i4>5</vt:i4>
      </vt:variant>
      <vt:variant>
        <vt:lpwstr/>
      </vt:variant>
      <vt:variant>
        <vt:lpwstr>_Toc150531299</vt:lpwstr>
      </vt:variant>
      <vt:variant>
        <vt:i4>2031664</vt:i4>
      </vt:variant>
      <vt:variant>
        <vt:i4>398</vt:i4>
      </vt:variant>
      <vt:variant>
        <vt:i4>0</vt:i4>
      </vt:variant>
      <vt:variant>
        <vt:i4>5</vt:i4>
      </vt:variant>
      <vt:variant>
        <vt:lpwstr/>
      </vt:variant>
      <vt:variant>
        <vt:lpwstr>_Toc150531298</vt:lpwstr>
      </vt:variant>
      <vt:variant>
        <vt:i4>2031664</vt:i4>
      </vt:variant>
      <vt:variant>
        <vt:i4>392</vt:i4>
      </vt:variant>
      <vt:variant>
        <vt:i4>0</vt:i4>
      </vt:variant>
      <vt:variant>
        <vt:i4>5</vt:i4>
      </vt:variant>
      <vt:variant>
        <vt:lpwstr/>
      </vt:variant>
      <vt:variant>
        <vt:lpwstr>_Toc150531297</vt:lpwstr>
      </vt:variant>
      <vt:variant>
        <vt:i4>2031664</vt:i4>
      </vt:variant>
      <vt:variant>
        <vt:i4>383</vt:i4>
      </vt:variant>
      <vt:variant>
        <vt:i4>0</vt:i4>
      </vt:variant>
      <vt:variant>
        <vt:i4>5</vt:i4>
      </vt:variant>
      <vt:variant>
        <vt:lpwstr/>
      </vt:variant>
      <vt:variant>
        <vt:lpwstr>_Toc150531296</vt:lpwstr>
      </vt:variant>
      <vt:variant>
        <vt:i4>2031664</vt:i4>
      </vt:variant>
      <vt:variant>
        <vt:i4>377</vt:i4>
      </vt:variant>
      <vt:variant>
        <vt:i4>0</vt:i4>
      </vt:variant>
      <vt:variant>
        <vt:i4>5</vt:i4>
      </vt:variant>
      <vt:variant>
        <vt:lpwstr/>
      </vt:variant>
      <vt:variant>
        <vt:lpwstr>_Toc150531295</vt:lpwstr>
      </vt:variant>
      <vt:variant>
        <vt:i4>2031664</vt:i4>
      </vt:variant>
      <vt:variant>
        <vt:i4>371</vt:i4>
      </vt:variant>
      <vt:variant>
        <vt:i4>0</vt:i4>
      </vt:variant>
      <vt:variant>
        <vt:i4>5</vt:i4>
      </vt:variant>
      <vt:variant>
        <vt:lpwstr/>
      </vt:variant>
      <vt:variant>
        <vt:lpwstr>_Toc150531294</vt:lpwstr>
      </vt:variant>
      <vt:variant>
        <vt:i4>2031664</vt:i4>
      </vt:variant>
      <vt:variant>
        <vt:i4>365</vt:i4>
      </vt:variant>
      <vt:variant>
        <vt:i4>0</vt:i4>
      </vt:variant>
      <vt:variant>
        <vt:i4>5</vt:i4>
      </vt:variant>
      <vt:variant>
        <vt:lpwstr/>
      </vt:variant>
      <vt:variant>
        <vt:lpwstr>_Toc150531293</vt:lpwstr>
      </vt:variant>
      <vt:variant>
        <vt:i4>2031664</vt:i4>
      </vt:variant>
      <vt:variant>
        <vt:i4>359</vt:i4>
      </vt:variant>
      <vt:variant>
        <vt:i4>0</vt:i4>
      </vt:variant>
      <vt:variant>
        <vt:i4>5</vt:i4>
      </vt:variant>
      <vt:variant>
        <vt:lpwstr/>
      </vt:variant>
      <vt:variant>
        <vt:lpwstr>_Toc150531292</vt:lpwstr>
      </vt:variant>
      <vt:variant>
        <vt:i4>2031664</vt:i4>
      </vt:variant>
      <vt:variant>
        <vt:i4>353</vt:i4>
      </vt:variant>
      <vt:variant>
        <vt:i4>0</vt:i4>
      </vt:variant>
      <vt:variant>
        <vt:i4>5</vt:i4>
      </vt:variant>
      <vt:variant>
        <vt:lpwstr/>
      </vt:variant>
      <vt:variant>
        <vt:lpwstr>_Toc150531291</vt:lpwstr>
      </vt:variant>
      <vt:variant>
        <vt:i4>2031664</vt:i4>
      </vt:variant>
      <vt:variant>
        <vt:i4>347</vt:i4>
      </vt:variant>
      <vt:variant>
        <vt:i4>0</vt:i4>
      </vt:variant>
      <vt:variant>
        <vt:i4>5</vt:i4>
      </vt:variant>
      <vt:variant>
        <vt:lpwstr/>
      </vt:variant>
      <vt:variant>
        <vt:lpwstr>_Toc150531290</vt:lpwstr>
      </vt:variant>
      <vt:variant>
        <vt:i4>1966128</vt:i4>
      </vt:variant>
      <vt:variant>
        <vt:i4>341</vt:i4>
      </vt:variant>
      <vt:variant>
        <vt:i4>0</vt:i4>
      </vt:variant>
      <vt:variant>
        <vt:i4>5</vt:i4>
      </vt:variant>
      <vt:variant>
        <vt:lpwstr/>
      </vt:variant>
      <vt:variant>
        <vt:lpwstr>_Toc150531289</vt:lpwstr>
      </vt:variant>
      <vt:variant>
        <vt:i4>1966128</vt:i4>
      </vt:variant>
      <vt:variant>
        <vt:i4>335</vt:i4>
      </vt:variant>
      <vt:variant>
        <vt:i4>0</vt:i4>
      </vt:variant>
      <vt:variant>
        <vt:i4>5</vt:i4>
      </vt:variant>
      <vt:variant>
        <vt:lpwstr/>
      </vt:variant>
      <vt:variant>
        <vt:lpwstr>_Toc150531288</vt:lpwstr>
      </vt:variant>
      <vt:variant>
        <vt:i4>1966128</vt:i4>
      </vt:variant>
      <vt:variant>
        <vt:i4>329</vt:i4>
      </vt:variant>
      <vt:variant>
        <vt:i4>0</vt:i4>
      </vt:variant>
      <vt:variant>
        <vt:i4>5</vt:i4>
      </vt:variant>
      <vt:variant>
        <vt:lpwstr/>
      </vt:variant>
      <vt:variant>
        <vt:lpwstr>_Toc150531287</vt:lpwstr>
      </vt:variant>
      <vt:variant>
        <vt:i4>1966128</vt:i4>
      </vt:variant>
      <vt:variant>
        <vt:i4>323</vt:i4>
      </vt:variant>
      <vt:variant>
        <vt:i4>0</vt:i4>
      </vt:variant>
      <vt:variant>
        <vt:i4>5</vt:i4>
      </vt:variant>
      <vt:variant>
        <vt:lpwstr/>
      </vt:variant>
      <vt:variant>
        <vt:lpwstr>_Toc150531286</vt:lpwstr>
      </vt:variant>
      <vt:variant>
        <vt:i4>1966128</vt:i4>
      </vt:variant>
      <vt:variant>
        <vt:i4>317</vt:i4>
      </vt:variant>
      <vt:variant>
        <vt:i4>0</vt:i4>
      </vt:variant>
      <vt:variant>
        <vt:i4>5</vt:i4>
      </vt:variant>
      <vt:variant>
        <vt:lpwstr/>
      </vt:variant>
      <vt:variant>
        <vt:lpwstr>_Toc150531285</vt:lpwstr>
      </vt:variant>
      <vt:variant>
        <vt:i4>1966128</vt:i4>
      </vt:variant>
      <vt:variant>
        <vt:i4>311</vt:i4>
      </vt:variant>
      <vt:variant>
        <vt:i4>0</vt:i4>
      </vt:variant>
      <vt:variant>
        <vt:i4>5</vt:i4>
      </vt:variant>
      <vt:variant>
        <vt:lpwstr/>
      </vt:variant>
      <vt:variant>
        <vt:lpwstr>_Toc150531284</vt:lpwstr>
      </vt:variant>
      <vt:variant>
        <vt:i4>1966128</vt:i4>
      </vt:variant>
      <vt:variant>
        <vt:i4>305</vt:i4>
      </vt:variant>
      <vt:variant>
        <vt:i4>0</vt:i4>
      </vt:variant>
      <vt:variant>
        <vt:i4>5</vt:i4>
      </vt:variant>
      <vt:variant>
        <vt:lpwstr/>
      </vt:variant>
      <vt:variant>
        <vt:lpwstr>_Toc150531283</vt:lpwstr>
      </vt:variant>
      <vt:variant>
        <vt:i4>1966128</vt:i4>
      </vt:variant>
      <vt:variant>
        <vt:i4>299</vt:i4>
      </vt:variant>
      <vt:variant>
        <vt:i4>0</vt:i4>
      </vt:variant>
      <vt:variant>
        <vt:i4>5</vt:i4>
      </vt:variant>
      <vt:variant>
        <vt:lpwstr/>
      </vt:variant>
      <vt:variant>
        <vt:lpwstr>_Toc150531282</vt:lpwstr>
      </vt:variant>
      <vt:variant>
        <vt:i4>1966128</vt:i4>
      </vt:variant>
      <vt:variant>
        <vt:i4>293</vt:i4>
      </vt:variant>
      <vt:variant>
        <vt:i4>0</vt:i4>
      </vt:variant>
      <vt:variant>
        <vt:i4>5</vt:i4>
      </vt:variant>
      <vt:variant>
        <vt:lpwstr/>
      </vt:variant>
      <vt:variant>
        <vt:lpwstr>_Toc150531281</vt:lpwstr>
      </vt:variant>
      <vt:variant>
        <vt:i4>1966128</vt:i4>
      </vt:variant>
      <vt:variant>
        <vt:i4>287</vt:i4>
      </vt:variant>
      <vt:variant>
        <vt:i4>0</vt:i4>
      </vt:variant>
      <vt:variant>
        <vt:i4>5</vt:i4>
      </vt:variant>
      <vt:variant>
        <vt:lpwstr/>
      </vt:variant>
      <vt:variant>
        <vt:lpwstr>_Toc150531280</vt:lpwstr>
      </vt:variant>
      <vt:variant>
        <vt:i4>1114160</vt:i4>
      </vt:variant>
      <vt:variant>
        <vt:i4>281</vt:i4>
      </vt:variant>
      <vt:variant>
        <vt:i4>0</vt:i4>
      </vt:variant>
      <vt:variant>
        <vt:i4>5</vt:i4>
      </vt:variant>
      <vt:variant>
        <vt:lpwstr/>
      </vt:variant>
      <vt:variant>
        <vt:lpwstr>_Toc150531279</vt:lpwstr>
      </vt:variant>
      <vt:variant>
        <vt:i4>1114160</vt:i4>
      </vt:variant>
      <vt:variant>
        <vt:i4>275</vt:i4>
      </vt:variant>
      <vt:variant>
        <vt:i4>0</vt:i4>
      </vt:variant>
      <vt:variant>
        <vt:i4>5</vt:i4>
      </vt:variant>
      <vt:variant>
        <vt:lpwstr/>
      </vt:variant>
      <vt:variant>
        <vt:lpwstr>_Toc150531278</vt:lpwstr>
      </vt:variant>
      <vt:variant>
        <vt:i4>1114160</vt:i4>
      </vt:variant>
      <vt:variant>
        <vt:i4>269</vt:i4>
      </vt:variant>
      <vt:variant>
        <vt:i4>0</vt:i4>
      </vt:variant>
      <vt:variant>
        <vt:i4>5</vt:i4>
      </vt:variant>
      <vt:variant>
        <vt:lpwstr/>
      </vt:variant>
      <vt:variant>
        <vt:lpwstr>_Toc150531277</vt:lpwstr>
      </vt:variant>
      <vt:variant>
        <vt:i4>1114160</vt:i4>
      </vt:variant>
      <vt:variant>
        <vt:i4>263</vt:i4>
      </vt:variant>
      <vt:variant>
        <vt:i4>0</vt:i4>
      </vt:variant>
      <vt:variant>
        <vt:i4>5</vt:i4>
      </vt:variant>
      <vt:variant>
        <vt:lpwstr/>
      </vt:variant>
      <vt:variant>
        <vt:lpwstr>_Toc150531276</vt:lpwstr>
      </vt:variant>
      <vt:variant>
        <vt:i4>1114160</vt:i4>
      </vt:variant>
      <vt:variant>
        <vt:i4>257</vt:i4>
      </vt:variant>
      <vt:variant>
        <vt:i4>0</vt:i4>
      </vt:variant>
      <vt:variant>
        <vt:i4>5</vt:i4>
      </vt:variant>
      <vt:variant>
        <vt:lpwstr/>
      </vt:variant>
      <vt:variant>
        <vt:lpwstr>_Toc150531275</vt:lpwstr>
      </vt:variant>
      <vt:variant>
        <vt:i4>21495830</vt:i4>
      </vt:variant>
      <vt:variant>
        <vt:i4>251</vt:i4>
      </vt:variant>
      <vt:variant>
        <vt:i4>0</vt:i4>
      </vt:variant>
      <vt:variant>
        <vt:i4>5</vt:i4>
      </vt:variant>
      <vt:variant>
        <vt:lpwstr>https://apluserenerji-my.sharepoint.com/personal/vyigit_aplusenerji_com_tr/Documents/YATIRIM/01 Projects/02 Ongoing/06 ECF Capacity Payments/APLUSEnerji_ECF_KapasiteMekanizması_20231110_GB.docx</vt:lpwstr>
      </vt:variant>
      <vt:variant>
        <vt:lpwstr>_Toc150531274</vt:lpwstr>
      </vt:variant>
      <vt:variant>
        <vt:i4>1114160</vt:i4>
      </vt:variant>
      <vt:variant>
        <vt:i4>245</vt:i4>
      </vt:variant>
      <vt:variant>
        <vt:i4>0</vt:i4>
      </vt:variant>
      <vt:variant>
        <vt:i4>5</vt:i4>
      </vt:variant>
      <vt:variant>
        <vt:lpwstr/>
      </vt:variant>
      <vt:variant>
        <vt:lpwstr>_Toc150531273</vt:lpwstr>
      </vt:variant>
      <vt:variant>
        <vt:i4>1114160</vt:i4>
      </vt:variant>
      <vt:variant>
        <vt:i4>239</vt:i4>
      </vt:variant>
      <vt:variant>
        <vt:i4>0</vt:i4>
      </vt:variant>
      <vt:variant>
        <vt:i4>5</vt:i4>
      </vt:variant>
      <vt:variant>
        <vt:lpwstr/>
      </vt:variant>
      <vt:variant>
        <vt:lpwstr>_Toc150531272</vt:lpwstr>
      </vt:variant>
      <vt:variant>
        <vt:i4>1114160</vt:i4>
      </vt:variant>
      <vt:variant>
        <vt:i4>233</vt:i4>
      </vt:variant>
      <vt:variant>
        <vt:i4>0</vt:i4>
      </vt:variant>
      <vt:variant>
        <vt:i4>5</vt:i4>
      </vt:variant>
      <vt:variant>
        <vt:lpwstr/>
      </vt:variant>
      <vt:variant>
        <vt:lpwstr>_Toc150531271</vt:lpwstr>
      </vt:variant>
      <vt:variant>
        <vt:i4>1114160</vt:i4>
      </vt:variant>
      <vt:variant>
        <vt:i4>227</vt:i4>
      </vt:variant>
      <vt:variant>
        <vt:i4>0</vt:i4>
      </vt:variant>
      <vt:variant>
        <vt:i4>5</vt:i4>
      </vt:variant>
      <vt:variant>
        <vt:lpwstr/>
      </vt:variant>
      <vt:variant>
        <vt:lpwstr>_Toc150531270</vt:lpwstr>
      </vt:variant>
      <vt:variant>
        <vt:i4>1048624</vt:i4>
      </vt:variant>
      <vt:variant>
        <vt:i4>221</vt:i4>
      </vt:variant>
      <vt:variant>
        <vt:i4>0</vt:i4>
      </vt:variant>
      <vt:variant>
        <vt:i4>5</vt:i4>
      </vt:variant>
      <vt:variant>
        <vt:lpwstr/>
      </vt:variant>
      <vt:variant>
        <vt:lpwstr>_Toc150531269</vt:lpwstr>
      </vt:variant>
      <vt:variant>
        <vt:i4>1048624</vt:i4>
      </vt:variant>
      <vt:variant>
        <vt:i4>215</vt:i4>
      </vt:variant>
      <vt:variant>
        <vt:i4>0</vt:i4>
      </vt:variant>
      <vt:variant>
        <vt:i4>5</vt:i4>
      </vt:variant>
      <vt:variant>
        <vt:lpwstr/>
      </vt:variant>
      <vt:variant>
        <vt:lpwstr>_Toc150531268</vt:lpwstr>
      </vt:variant>
      <vt:variant>
        <vt:i4>1048624</vt:i4>
      </vt:variant>
      <vt:variant>
        <vt:i4>209</vt:i4>
      </vt:variant>
      <vt:variant>
        <vt:i4>0</vt:i4>
      </vt:variant>
      <vt:variant>
        <vt:i4>5</vt:i4>
      </vt:variant>
      <vt:variant>
        <vt:lpwstr/>
      </vt:variant>
      <vt:variant>
        <vt:lpwstr>_Toc150531267</vt:lpwstr>
      </vt:variant>
      <vt:variant>
        <vt:i4>1048624</vt:i4>
      </vt:variant>
      <vt:variant>
        <vt:i4>203</vt:i4>
      </vt:variant>
      <vt:variant>
        <vt:i4>0</vt:i4>
      </vt:variant>
      <vt:variant>
        <vt:i4>5</vt:i4>
      </vt:variant>
      <vt:variant>
        <vt:lpwstr/>
      </vt:variant>
      <vt:variant>
        <vt:lpwstr>_Toc150531266</vt:lpwstr>
      </vt:variant>
      <vt:variant>
        <vt:i4>1048624</vt:i4>
      </vt:variant>
      <vt:variant>
        <vt:i4>197</vt:i4>
      </vt:variant>
      <vt:variant>
        <vt:i4>0</vt:i4>
      </vt:variant>
      <vt:variant>
        <vt:i4>5</vt:i4>
      </vt:variant>
      <vt:variant>
        <vt:lpwstr/>
      </vt:variant>
      <vt:variant>
        <vt:lpwstr>_Toc150531265</vt:lpwstr>
      </vt:variant>
      <vt:variant>
        <vt:i4>21561366</vt:i4>
      </vt:variant>
      <vt:variant>
        <vt:i4>191</vt:i4>
      </vt:variant>
      <vt:variant>
        <vt:i4>0</vt:i4>
      </vt:variant>
      <vt:variant>
        <vt:i4>5</vt:i4>
      </vt:variant>
      <vt:variant>
        <vt:lpwstr>https://apluserenerji-my.sharepoint.com/personal/vyigit_aplusenerji_com_tr/Documents/YATIRIM/01 Projects/02 Ongoing/06 ECF Capacity Payments/APLUSEnerji_ECF_KapasiteMekanizması_20231110_GB.docx</vt:lpwstr>
      </vt:variant>
      <vt:variant>
        <vt:lpwstr>_Toc150531264</vt:lpwstr>
      </vt:variant>
      <vt:variant>
        <vt:i4>1048624</vt:i4>
      </vt:variant>
      <vt:variant>
        <vt:i4>185</vt:i4>
      </vt:variant>
      <vt:variant>
        <vt:i4>0</vt:i4>
      </vt:variant>
      <vt:variant>
        <vt:i4>5</vt:i4>
      </vt:variant>
      <vt:variant>
        <vt:lpwstr/>
      </vt:variant>
      <vt:variant>
        <vt:lpwstr>_Toc150531263</vt:lpwstr>
      </vt:variant>
      <vt:variant>
        <vt:i4>1048624</vt:i4>
      </vt:variant>
      <vt:variant>
        <vt:i4>179</vt:i4>
      </vt:variant>
      <vt:variant>
        <vt:i4>0</vt:i4>
      </vt:variant>
      <vt:variant>
        <vt:i4>5</vt:i4>
      </vt:variant>
      <vt:variant>
        <vt:lpwstr/>
      </vt:variant>
      <vt:variant>
        <vt:lpwstr>_Toc150531262</vt:lpwstr>
      </vt:variant>
      <vt:variant>
        <vt:i4>1048624</vt:i4>
      </vt:variant>
      <vt:variant>
        <vt:i4>173</vt:i4>
      </vt:variant>
      <vt:variant>
        <vt:i4>0</vt:i4>
      </vt:variant>
      <vt:variant>
        <vt:i4>5</vt:i4>
      </vt:variant>
      <vt:variant>
        <vt:lpwstr/>
      </vt:variant>
      <vt:variant>
        <vt:lpwstr>_Toc150531261</vt:lpwstr>
      </vt:variant>
      <vt:variant>
        <vt:i4>1048624</vt:i4>
      </vt:variant>
      <vt:variant>
        <vt:i4>167</vt:i4>
      </vt:variant>
      <vt:variant>
        <vt:i4>0</vt:i4>
      </vt:variant>
      <vt:variant>
        <vt:i4>5</vt:i4>
      </vt:variant>
      <vt:variant>
        <vt:lpwstr/>
      </vt:variant>
      <vt:variant>
        <vt:lpwstr>_Toc150531260</vt:lpwstr>
      </vt:variant>
      <vt:variant>
        <vt:i4>1245232</vt:i4>
      </vt:variant>
      <vt:variant>
        <vt:i4>161</vt:i4>
      </vt:variant>
      <vt:variant>
        <vt:i4>0</vt:i4>
      </vt:variant>
      <vt:variant>
        <vt:i4>5</vt:i4>
      </vt:variant>
      <vt:variant>
        <vt:lpwstr/>
      </vt:variant>
      <vt:variant>
        <vt:lpwstr>_Toc150531259</vt:lpwstr>
      </vt:variant>
      <vt:variant>
        <vt:i4>1835068</vt:i4>
      </vt:variant>
      <vt:variant>
        <vt:i4>152</vt:i4>
      </vt:variant>
      <vt:variant>
        <vt:i4>0</vt:i4>
      </vt:variant>
      <vt:variant>
        <vt:i4>5</vt:i4>
      </vt:variant>
      <vt:variant>
        <vt:lpwstr/>
      </vt:variant>
      <vt:variant>
        <vt:lpwstr>_Toc155708816</vt:lpwstr>
      </vt:variant>
      <vt:variant>
        <vt:i4>1835068</vt:i4>
      </vt:variant>
      <vt:variant>
        <vt:i4>146</vt:i4>
      </vt:variant>
      <vt:variant>
        <vt:i4>0</vt:i4>
      </vt:variant>
      <vt:variant>
        <vt:i4>5</vt:i4>
      </vt:variant>
      <vt:variant>
        <vt:lpwstr/>
      </vt:variant>
      <vt:variant>
        <vt:lpwstr>_Toc155708815</vt:lpwstr>
      </vt:variant>
      <vt:variant>
        <vt:i4>1835068</vt:i4>
      </vt:variant>
      <vt:variant>
        <vt:i4>140</vt:i4>
      </vt:variant>
      <vt:variant>
        <vt:i4>0</vt:i4>
      </vt:variant>
      <vt:variant>
        <vt:i4>5</vt:i4>
      </vt:variant>
      <vt:variant>
        <vt:lpwstr/>
      </vt:variant>
      <vt:variant>
        <vt:lpwstr>_Toc155708814</vt:lpwstr>
      </vt:variant>
      <vt:variant>
        <vt:i4>1835068</vt:i4>
      </vt:variant>
      <vt:variant>
        <vt:i4>134</vt:i4>
      </vt:variant>
      <vt:variant>
        <vt:i4>0</vt:i4>
      </vt:variant>
      <vt:variant>
        <vt:i4>5</vt:i4>
      </vt:variant>
      <vt:variant>
        <vt:lpwstr/>
      </vt:variant>
      <vt:variant>
        <vt:lpwstr>_Toc155708813</vt:lpwstr>
      </vt:variant>
      <vt:variant>
        <vt:i4>1835068</vt:i4>
      </vt:variant>
      <vt:variant>
        <vt:i4>128</vt:i4>
      </vt:variant>
      <vt:variant>
        <vt:i4>0</vt:i4>
      </vt:variant>
      <vt:variant>
        <vt:i4>5</vt:i4>
      </vt:variant>
      <vt:variant>
        <vt:lpwstr/>
      </vt:variant>
      <vt:variant>
        <vt:lpwstr>_Toc155708812</vt:lpwstr>
      </vt:variant>
      <vt:variant>
        <vt:i4>1835068</vt:i4>
      </vt:variant>
      <vt:variant>
        <vt:i4>122</vt:i4>
      </vt:variant>
      <vt:variant>
        <vt:i4>0</vt:i4>
      </vt:variant>
      <vt:variant>
        <vt:i4>5</vt:i4>
      </vt:variant>
      <vt:variant>
        <vt:lpwstr/>
      </vt:variant>
      <vt:variant>
        <vt:lpwstr>_Toc155708811</vt:lpwstr>
      </vt:variant>
      <vt:variant>
        <vt:i4>1835068</vt:i4>
      </vt:variant>
      <vt:variant>
        <vt:i4>116</vt:i4>
      </vt:variant>
      <vt:variant>
        <vt:i4>0</vt:i4>
      </vt:variant>
      <vt:variant>
        <vt:i4>5</vt:i4>
      </vt:variant>
      <vt:variant>
        <vt:lpwstr/>
      </vt:variant>
      <vt:variant>
        <vt:lpwstr>_Toc155708810</vt:lpwstr>
      </vt:variant>
      <vt:variant>
        <vt:i4>1900604</vt:i4>
      </vt:variant>
      <vt:variant>
        <vt:i4>110</vt:i4>
      </vt:variant>
      <vt:variant>
        <vt:i4>0</vt:i4>
      </vt:variant>
      <vt:variant>
        <vt:i4>5</vt:i4>
      </vt:variant>
      <vt:variant>
        <vt:lpwstr/>
      </vt:variant>
      <vt:variant>
        <vt:lpwstr>_Toc155708809</vt:lpwstr>
      </vt:variant>
      <vt:variant>
        <vt:i4>1900604</vt:i4>
      </vt:variant>
      <vt:variant>
        <vt:i4>104</vt:i4>
      </vt:variant>
      <vt:variant>
        <vt:i4>0</vt:i4>
      </vt:variant>
      <vt:variant>
        <vt:i4>5</vt:i4>
      </vt:variant>
      <vt:variant>
        <vt:lpwstr/>
      </vt:variant>
      <vt:variant>
        <vt:lpwstr>_Toc155708808</vt:lpwstr>
      </vt:variant>
      <vt:variant>
        <vt:i4>1900604</vt:i4>
      </vt:variant>
      <vt:variant>
        <vt:i4>98</vt:i4>
      </vt:variant>
      <vt:variant>
        <vt:i4>0</vt:i4>
      </vt:variant>
      <vt:variant>
        <vt:i4>5</vt:i4>
      </vt:variant>
      <vt:variant>
        <vt:lpwstr/>
      </vt:variant>
      <vt:variant>
        <vt:lpwstr>_Toc155708807</vt:lpwstr>
      </vt:variant>
      <vt:variant>
        <vt:i4>1900604</vt:i4>
      </vt:variant>
      <vt:variant>
        <vt:i4>92</vt:i4>
      </vt:variant>
      <vt:variant>
        <vt:i4>0</vt:i4>
      </vt:variant>
      <vt:variant>
        <vt:i4>5</vt:i4>
      </vt:variant>
      <vt:variant>
        <vt:lpwstr/>
      </vt:variant>
      <vt:variant>
        <vt:lpwstr>_Toc155708806</vt:lpwstr>
      </vt:variant>
      <vt:variant>
        <vt:i4>1900604</vt:i4>
      </vt:variant>
      <vt:variant>
        <vt:i4>86</vt:i4>
      </vt:variant>
      <vt:variant>
        <vt:i4>0</vt:i4>
      </vt:variant>
      <vt:variant>
        <vt:i4>5</vt:i4>
      </vt:variant>
      <vt:variant>
        <vt:lpwstr/>
      </vt:variant>
      <vt:variant>
        <vt:lpwstr>_Toc155708805</vt:lpwstr>
      </vt:variant>
      <vt:variant>
        <vt:i4>1900604</vt:i4>
      </vt:variant>
      <vt:variant>
        <vt:i4>80</vt:i4>
      </vt:variant>
      <vt:variant>
        <vt:i4>0</vt:i4>
      </vt:variant>
      <vt:variant>
        <vt:i4>5</vt:i4>
      </vt:variant>
      <vt:variant>
        <vt:lpwstr/>
      </vt:variant>
      <vt:variant>
        <vt:lpwstr>_Toc155708804</vt:lpwstr>
      </vt:variant>
      <vt:variant>
        <vt:i4>1900604</vt:i4>
      </vt:variant>
      <vt:variant>
        <vt:i4>74</vt:i4>
      </vt:variant>
      <vt:variant>
        <vt:i4>0</vt:i4>
      </vt:variant>
      <vt:variant>
        <vt:i4>5</vt:i4>
      </vt:variant>
      <vt:variant>
        <vt:lpwstr/>
      </vt:variant>
      <vt:variant>
        <vt:lpwstr>_Toc155708803</vt:lpwstr>
      </vt:variant>
      <vt:variant>
        <vt:i4>1900604</vt:i4>
      </vt:variant>
      <vt:variant>
        <vt:i4>68</vt:i4>
      </vt:variant>
      <vt:variant>
        <vt:i4>0</vt:i4>
      </vt:variant>
      <vt:variant>
        <vt:i4>5</vt:i4>
      </vt:variant>
      <vt:variant>
        <vt:lpwstr/>
      </vt:variant>
      <vt:variant>
        <vt:lpwstr>_Toc155708802</vt:lpwstr>
      </vt:variant>
      <vt:variant>
        <vt:i4>1900604</vt:i4>
      </vt:variant>
      <vt:variant>
        <vt:i4>62</vt:i4>
      </vt:variant>
      <vt:variant>
        <vt:i4>0</vt:i4>
      </vt:variant>
      <vt:variant>
        <vt:i4>5</vt:i4>
      </vt:variant>
      <vt:variant>
        <vt:lpwstr/>
      </vt:variant>
      <vt:variant>
        <vt:lpwstr>_Toc155708801</vt:lpwstr>
      </vt:variant>
      <vt:variant>
        <vt:i4>1900604</vt:i4>
      </vt:variant>
      <vt:variant>
        <vt:i4>56</vt:i4>
      </vt:variant>
      <vt:variant>
        <vt:i4>0</vt:i4>
      </vt:variant>
      <vt:variant>
        <vt:i4>5</vt:i4>
      </vt:variant>
      <vt:variant>
        <vt:lpwstr/>
      </vt:variant>
      <vt:variant>
        <vt:lpwstr>_Toc155708800</vt:lpwstr>
      </vt:variant>
      <vt:variant>
        <vt:i4>1310771</vt:i4>
      </vt:variant>
      <vt:variant>
        <vt:i4>50</vt:i4>
      </vt:variant>
      <vt:variant>
        <vt:i4>0</vt:i4>
      </vt:variant>
      <vt:variant>
        <vt:i4>5</vt:i4>
      </vt:variant>
      <vt:variant>
        <vt:lpwstr/>
      </vt:variant>
      <vt:variant>
        <vt:lpwstr>_Toc155708799</vt:lpwstr>
      </vt:variant>
      <vt:variant>
        <vt:i4>1310771</vt:i4>
      </vt:variant>
      <vt:variant>
        <vt:i4>44</vt:i4>
      </vt:variant>
      <vt:variant>
        <vt:i4>0</vt:i4>
      </vt:variant>
      <vt:variant>
        <vt:i4>5</vt:i4>
      </vt:variant>
      <vt:variant>
        <vt:lpwstr/>
      </vt:variant>
      <vt:variant>
        <vt:lpwstr>_Toc155708798</vt:lpwstr>
      </vt:variant>
      <vt:variant>
        <vt:i4>1310771</vt:i4>
      </vt:variant>
      <vt:variant>
        <vt:i4>38</vt:i4>
      </vt:variant>
      <vt:variant>
        <vt:i4>0</vt:i4>
      </vt:variant>
      <vt:variant>
        <vt:i4>5</vt:i4>
      </vt:variant>
      <vt:variant>
        <vt:lpwstr/>
      </vt:variant>
      <vt:variant>
        <vt:lpwstr>_Toc155708797</vt:lpwstr>
      </vt:variant>
      <vt:variant>
        <vt:i4>1310771</vt:i4>
      </vt:variant>
      <vt:variant>
        <vt:i4>32</vt:i4>
      </vt:variant>
      <vt:variant>
        <vt:i4>0</vt:i4>
      </vt:variant>
      <vt:variant>
        <vt:i4>5</vt:i4>
      </vt:variant>
      <vt:variant>
        <vt:lpwstr/>
      </vt:variant>
      <vt:variant>
        <vt:lpwstr>_Toc155708796</vt:lpwstr>
      </vt:variant>
      <vt:variant>
        <vt:i4>1310771</vt:i4>
      </vt:variant>
      <vt:variant>
        <vt:i4>26</vt:i4>
      </vt:variant>
      <vt:variant>
        <vt:i4>0</vt:i4>
      </vt:variant>
      <vt:variant>
        <vt:i4>5</vt:i4>
      </vt:variant>
      <vt:variant>
        <vt:lpwstr/>
      </vt:variant>
      <vt:variant>
        <vt:lpwstr>_Toc155708795</vt:lpwstr>
      </vt:variant>
      <vt:variant>
        <vt:i4>1310771</vt:i4>
      </vt:variant>
      <vt:variant>
        <vt:i4>20</vt:i4>
      </vt:variant>
      <vt:variant>
        <vt:i4>0</vt:i4>
      </vt:variant>
      <vt:variant>
        <vt:i4>5</vt:i4>
      </vt:variant>
      <vt:variant>
        <vt:lpwstr/>
      </vt:variant>
      <vt:variant>
        <vt:lpwstr>_Toc155708794</vt:lpwstr>
      </vt:variant>
      <vt:variant>
        <vt:i4>1310771</vt:i4>
      </vt:variant>
      <vt:variant>
        <vt:i4>14</vt:i4>
      </vt:variant>
      <vt:variant>
        <vt:i4>0</vt:i4>
      </vt:variant>
      <vt:variant>
        <vt:i4>5</vt:i4>
      </vt:variant>
      <vt:variant>
        <vt:lpwstr/>
      </vt:variant>
      <vt:variant>
        <vt:lpwstr>_Toc155708793</vt:lpwstr>
      </vt:variant>
      <vt:variant>
        <vt:i4>1310771</vt:i4>
      </vt:variant>
      <vt:variant>
        <vt:i4>8</vt:i4>
      </vt:variant>
      <vt:variant>
        <vt:i4>0</vt:i4>
      </vt:variant>
      <vt:variant>
        <vt:i4>5</vt:i4>
      </vt:variant>
      <vt:variant>
        <vt:lpwstr/>
      </vt:variant>
      <vt:variant>
        <vt:lpwstr>_Toc155708792</vt:lpwstr>
      </vt:variant>
      <vt:variant>
        <vt:i4>1310771</vt:i4>
      </vt:variant>
      <vt:variant>
        <vt:i4>2</vt:i4>
      </vt:variant>
      <vt:variant>
        <vt:i4>0</vt:i4>
      </vt:variant>
      <vt:variant>
        <vt:i4>5</vt:i4>
      </vt:variant>
      <vt:variant>
        <vt:lpwstr/>
      </vt:variant>
      <vt:variant>
        <vt:lpwstr>_Toc155708791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KOYUNCUOGLU</dc:creator>
  <cp:keywords/>
  <dc:description/>
  <cp:lastModifiedBy>Elif KOYUNCUOGLU</cp:lastModifiedBy>
  <cp:revision>40</cp:revision>
  <dcterms:created xsi:type="dcterms:W3CDTF">2024-01-12T09:30:00Z</dcterms:created>
  <dcterms:modified xsi:type="dcterms:W3CDTF">2024-01-15T08:27:00Z</dcterms:modified>
</cp:coreProperties>
</file>